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299DFC" w14:textId="77777777" w:rsidTr="00F363FE">
        <w:tc>
          <w:tcPr>
            <w:tcW w:w="6512" w:type="dxa"/>
          </w:tcPr>
          <w:p w14:paraId="579BC4D0" w14:textId="4461117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DDA34D6" w14:textId="715E293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8B34D4">
              <w:rPr>
                <w:b/>
                <w:bCs/>
                <w:lang w:bidi="ar-EG"/>
              </w:rPr>
              <w:t>126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0A24B48" w14:textId="77777777" w:rsidTr="00F363FE">
        <w:tc>
          <w:tcPr>
            <w:tcW w:w="6512" w:type="dxa"/>
          </w:tcPr>
          <w:p w14:paraId="629E6E6A" w14:textId="77777777" w:rsidR="007B0AA0" w:rsidRPr="008B34D4" w:rsidRDefault="007B0AA0" w:rsidP="00F363FE">
            <w:pPr>
              <w:spacing w:before="60" w:after="60" w:line="26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117" w:type="dxa"/>
          </w:tcPr>
          <w:p w14:paraId="72FEB63E" w14:textId="15558613" w:rsidR="007B0AA0" w:rsidRPr="00795F94" w:rsidRDefault="00795F9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95F94">
              <w:rPr>
                <w:rFonts w:hint="cs"/>
                <w:b/>
                <w:bCs/>
                <w:rtl/>
                <w:lang w:bidi="ar-EG"/>
              </w:rPr>
              <w:t>14 يونيو</w:t>
            </w:r>
            <w:r w:rsidR="007B0AA0" w:rsidRPr="00795F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95F94">
              <w:rPr>
                <w:b/>
                <w:bCs/>
                <w:lang w:bidi="ar-EG"/>
              </w:rPr>
              <w:t>202</w:t>
            </w:r>
            <w:r w:rsidR="00B6080B" w:rsidRPr="00795F94">
              <w:rPr>
                <w:b/>
                <w:bCs/>
                <w:lang w:bidi="ar-EG"/>
              </w:rPr>
              <w:t>4</w:t>
            </w:r>
          </w:p>
        </w:tc>
      </w:tr>
      <w:tr w:rsidR="007B0AA0" w14:paraId="00DE4B55" w14:textId="77777777" w:rsidTr="00F363FE">
        <w:tc>
          <w:tcPr>
            <w:tcW w:w="6512" w:type="dxa"/>
          </w:tcPr>
          <w:p w14:paraId="5D2ECC3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75D499F" w14:textId="02AF0BD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310A8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F59F723" w14:textId="77777777" w:rsidTr="00F363FE">
        <w:tc>
          <w:tcPr>
            <w:tcW w:w="6512" w:type="dxa"/>
          </w:tcPr>
          <w:p w14:paraId="6AFCA4F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95079B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59BC838D" w14:textId="1D2D2672" w:rsidR="00421994" w:rsidRDefault="00421994" w:rsidP="00EE140F">
      <w:pPr>
        <w:pStyle w:val="ResNo"/>
        <w:spacing w:before="720"/>
        <w:rPr>
          <w:rFonts w:eastAsia="Calibri"/>
        </w:rPr>
      </w:pPr>
      <w:r w:rsidRPr="00AC65D5">
        <w:rPr>
          <w:rFonts w:hint="cs"/>
          <w:rtl/>
        </w:rPr>
        <w:t xml:space="preserve">القرار </w:t>
      </w:r>
      <w:r w:rsidR="008B34D4">
        <w:rPr>
          <w:rFonts w:eastAsia="Calibri"/>
        </w:rPr>
        <w:t>1423</w:t>
      </w:r>
    </w:p>
    <w:p w14:paraId="7560713F" w14:textId="3C9BCAEA" w:rsidR="008B34D4" w:rsidRDefault="00795F94" w:rsidP="00EE140F">
      <w:pPr>
        <w:jc w:val="center"/>
      </w:pPr>
      <w:r>
        <w:rPr>
          <w:rFonts w:hint="cs"/>
          <w:rtl/>
        </w:rPr>
        <w:t>(المعتمَد في الجلسة العامة السادسة)</w:t>
      </w:r>
    </w:p>
    <w:p w14:paraId="300FADC9" w14:textId="77777777" w:rsidR="00421994" w:rsidRDefault="00421994" w:rsidP="00DC7886">
      <w:pPr>
        <w:pStyle w:val="Restitle"/>
        <w:rPr>
          <w:rtl/>
        </w:rPr>
      </w:pPr>
      <w:r w:rsidRPr="008061B7">
        <w:rPr>
          <w:rtl/>
        </w:rPr>
        <w:t xml:space="preserve">تشجيع الدول الأعضاء في الاتحاد وأعضاء قطاعات الاتحاد على </w:t>
      </w:r>
      <w:r>
        <w:rPr>
          <w:rFonts w:hint="cs"/>
          <w:rtl/>
        </w:rPr>
        <w:t>إعطاء الأولوية</w:t>
      </w:r>
      <w:r w:rsidRPr="008061B7">
        <w:rPr>
          <w:rtl/>
        </w:rPr>
        <w:t xml:space="preserve"> </w:t>
      </w:r>
      <w:r>
        <w:rPr>
          <w:rFonts w:hint="cs"/>
          <w:rtl/>
        </w:rPr>
        <w:t>ل</w:t>
      </w:r>
      <w:r w:rsidRPr="008061B7">
        <w:rPr>
          <w:rtl/>
        </w:rPr>
        <w:t xml:space="preserve">أنشطة حماية الأطفال على </w:t>
      </w:r>
      <w:r>
        <w:rPr>
          <w:rFonts w:hint="cs"/>
          <w:rtl/>
        </w:rPr>
        <w:t xml:space="preserve">الإنترنت </w:t>
      </w:r>
      <w:r>
        <w:t>(COP)</w:t>
      </w:r>
      <w:r w:rsidRPr="008061B7">
        <w:rPr>
          <w:rtl/>
        </w:rPr>
        <w:t xml:space="preserve"> وتعميم</w:t>
      </w:r>
      <w:r>
        <w:rPr>
          <w:rFonts w:hint="cs"/>
          <w:rtl/>
        </w:rPr>
        <w:t xml:space="preserve"> هذه الأنشطة</w:t>
      </w:r>
      <w:r w:rsidRPr="008061B7">
        <w:rPr>
          <w:rtl/>
        </w:rPr>
        <w:t xml:space="preserve"> وتعزيزها </w:t>
      </w:r>
      <w:r>
        <w:rPr>
          <w:rFonts w:hint="cs"/>
          <w:rtl/>
          <w:lang w:bidi="ar-SA"/>
        </w:rPr>
        <w:t>من خلال</w:t>
      </w:r>
      <w:r w:rsidRPr="008061B7">
        <w:rPr>
          <w:rtl/>
        </w:rPr>
        <w:t xml:space="preserve"> برامج محددة مثل الاحتفال ب</w:t>
      </w:r>
      <w:r>
        <w:rPr>
          <w:rFonts w:hint="cs"/>
          <w:rtl/>
        </w:rPr>
        <w:t xml:space="preserve">حدث </w:t>
      </w:r>
      <w:r w:rsidRPr="008061B7">
        <w:rPr>
          <w:rtl/>
        </w:rPr>
        <w:t>الفتيات في مجال تكنولوجيا المعلومات والاتصالات</w:t>
      </w:r>
    </w:p>
    <w:p w14:paraId="3C9916FB" w14:textId="77777777" w:rsidR="00421994" w:rsidRPr="003A2A2A" w:rsidRDefault="00421994" w:rsidP="00421994">
      <w:pPr>
        <w:pStyle w:val="Normalaftertitle"/>
        <w:rPr>
          <w:rtl/>
        </w:rPr>
      </w:pPr>
      <w:r w:rsidRPr="003A2A2A">
        <w:rPr>
          <w:rtl/>
        </w:rPr>
        <w:t xml:space="preserve">إن </w:t>
      </w:r>
      <w:r>
        <w:rPr>
          <w:rFonts w:hint="cs"/>
          <w:rtl/>
        </w:rPr>
        <w:t>مجلس الاتحاد الدولي للاتصالات</w:t>
      </w:r>
      <w:r w:rsidRPr="003A2A2A">
        <w:rPr>
          <w:rtl/>
        </w:rPr>
        <w:t>،</w:t>
      </w:r>
    </w:p>
    <w:p w14:paraId="581380EF" w14:textId="77777777" w:rsidR="00421994" w:rsidRPr="003A2A2A" w:rsidRDefault="00421994" w:rsidP="00421994">
      <w:pPr>
        <w:pStyle w:val="Call"/>
        <w:rPr>
          <w:rtl/>
        </w:rPr>
      </w:pPr>
      <w:r w:rsidRPr="003A2A2A">
        <w:rPr>
          <w:rFonts w:hint="cs"/>
          <w:rtl/>
        </w:rPr>
        <w:t xml:space="preserve">إذ </w:t>
      </w:r>
      <w:r>
        <w:rPr>
          <w:rFonts w:hint="cs"/>
          <w:rtl/>
        </w:rPr>
        <w:t>يضع في اعتباره</w:t>
      </w:r>
    </w:p>
    <w:p w14:paraId="7F464449" w14:textId="40E63C34" w:rsidR="00421994" w:rsidRPr="003A2A2A" w:rsidRDefault="00421994" w:rsidP="00421994">
      <w:pPr>
        <w:rPr>
          <w:rtl/>
        </w:rPr>
      </w:pPr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r w:rsidRPr="003A2A2A">
        <w:tab/>
      </w:r>
      <w:r w:rsidRPr="003A2A2A">
        <w:rPr>
          <w:rFonts w:hint="cs"/>
          <w:rtl/>
        </w:rPr>
        <w:t xml:space="preserve">القرار </w:t>
      </w:r>
      <w:r w:rsidRPr="003A2A2A">
        <w:t>179</w:t>
      </w:r>
      <w:r w:rsidRPr="003A2A2A">
        <w:rPr>
          <w:rFonts w:hint="cs"/>
          <w:rtl/>
        </w:rPr>
        <w:t xml:space="preserve"> (المراجَع في </w:t>
      </w:r>
      <w:r>
        <w:rPr>
          <w:rFonts w:hint="cs"/>
          <w:rtl/>
        </w:rPr>
        <w:t>بوخارست</w:t>
      </w:r>
      <w:r w:rsidRPr="003A2A2A">
        <w:rPr>
          <w:rFonts w:hint="cs"/>
          <w:rtl/>
        </w:rPr>
        <w:t xml:space="preserve">، </w:t>
      </w:r>
      <w:r>
        <w:t>2022</w:t>
      </w:r>
      <w:r w:rsidRPr="003A2A2A">
        <w:rPr>
          <w:rFonts w:hint="cs"/>
          <w:rtl/>
        </w:rPr>
        <w:t>) لمؤتمر المندوبين المفوضين، ب</w:t>
      </w:r>
      <w:r>
        <w:rPr>
          <w:rFonts w:hint="cs"/>
          <w:rtl/>
        </w:rPr>
        <w:t>عنوان</w:t>
      </w:r>
      <w:r w:rsidRPr="003A2A2A">
        <w:rPr>
          <w:rFonts w:hint="cs"/>
          <w:rtl/>
        </w:rPr>
        <w:t xml:space="preserve"> </w:t>
      </w:r>
      <w:r w:rsidR="006440FC">
        <w:rPr>
          <w:rFonts w:hint="cs"/>
          <w:rtl/>
        </w:rPr>
        <w:t>"</w:t>
      </w:r>
      <w:r w:rsidRPr="003A2A2A">
        <w:rPr>
          <w:rFonts w:hint="cs"/>
          <w:rtl/>
        </w:rPr>
        <w:t>دور الاتحاد الدولي للاتصالات في حماية الأطفال على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الإنترنت</w:t>
      </w:r>
      <w:r w:rsidR="006440FC">
        <w:rPr>
          <w:rFonts w:hint="cs"/>
          <w:rtl/>
        </w:rPr>
        <w:t>"</w:t>
      </w:r>
      <w:r>
        <w:rPr>
          <w:rFonts w:hint="cs"/>
          <w:rtl/>
        </w:rPr>
        <w:t>؛</w:t>
      </w:r>
    </w:p>
    <w:p w14:paraId="45B6A133" w14:textId="725B7924" w:rsidR="00421994" w:rsidRPr="003A2A2A" w:rsidRDefault="00421994" w:rsidP="00421994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i/>
          <w:iCs/>
          <w:rtl/>
        </w:rPr>
        <w:tab/>
      </w:r>
      <w:r w:rsidRPr="0091349E">
        <w:rPr>
          <w:rtl/>
        </w:rPr>
        <w:t xml:space="preserve">القرار </w:t>
      </w:r>
      <w:r w:rsidRPr="0091349E">
        <w:t>67</w:t>
      </w:r>
      <w:r w:rsidRPr="0091349E">
        <w:rPr>
          <w:rtl/>
        </w:rPr>
        <w:t xml:space="preserve"> (كيغالي،</w:t>
      </w:r>
      <w:r w:rsidRPr="0091349E">
        <w:rPr>
          <w:rFonts w:hint="cs"/>
          <w:rtl/>
        </w:rPr>
        <w:t xml:space="preserve"> </w:t>
      </w:r>
      <w:r w:rsidRPr="0091349E">
        <w:t>2022</w:t>
      </w:r>
      <w:r w:rsidRPr="0091349E">
        <w:rPr>
          <w:rtl/>
        </w:rPr>
        <w:t xml:space="preserve">) </w:t>
      </w:r>
      <w:r w:rsidRPr="0091349E">
        <w:rPr>
          <w:rFonts w:hint="eastAsia"/>
          <w:rtl/>
        </w:rPr>
        <w:t>للمؤتمر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العالمي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لتنمية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الاتصالات</w:t>
      </w:r>
      <w:r>
        <w:rPr>
          <w:rFonts w:hint="cs"/>
          <w:rtl/>
        </w:rPr>
        <w:t xml:space="preserve">، بعنوان </w:t>
      </w:r>
      <w:r w:rsidR="006440FC">
        <w:rPr>
          <w:rFonts w:hint="cs"/>
          <w:rtl/>
        </w:rPr>
        <w:t>"</w:t>
      </w:r>
      <w:r w:rsidRPr="0091349E">
        <w:rPr>
          <w:rFonts w:hint="eastAsia"/>
          <w:rtl/>
        </w:rPr>
        <w:t>دور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قطاع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تنمية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الاتصالات</w:t>
      </w:r>
      <w:r w:rsidRPr="0091349E">
        <w:rPr>
          <w:rFonts w:hint="cs"/>
          <w:rtl/>
        </w:rPr>
        <w:t xml:space="preserve"> في </w:t>
      </w:r>
      <w:r w:rsidRPr="0091349E">
        <w:rPr>
          <w:rFonts w:hint="eastAsia"/>
          <w:rtl/>
        </w:rPr>
        <w:t>حماية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الأطفال</w:t>
      </w:r>
      <w:r w:rsidRPr="0091349E">
        <w:rPr>
          <w:rtl/>
        </w:rPr>
        <w:t xml:space="preserve"> </w:t>
      </w:r>
      <w:r w:rsidRPr="0091349E">
        <w:rPr>
          <w:rFonts w:hint="eastAsia"/>
          <w:rtl/>
        </w:rPr>
        <w:t>على</w:t>
      </w:r>
      <w:r w:rsidRPr="0091349E">
        <w:rPr>
          <w:rFonts w:hint="cs"/>
          <w:rtl/>
        </w:rPr>
        <w:t xml:space="preserve"> </w:t>
      </w:r>
      <w:r w:rsidRPr="0091349E">
        <w:rPr>
          <w:rFonts w:hint="eastAsia"/>
          <w:rtl/>
        </w:rPr>
        <w:t>الإنترنت</w:t>
      </w:r>
      <w:r w:rsidR="006440FC">
        <w:rPr>
          <w:rFonts w:hint="cs"/>
          <w:rtl/>
        </w:rPr>
        <w:t>"</w:t>
      </w:r>
      <w:r w:rsidRPr="003A2A2A">
        <w:rPr>
          <w:rFonts w:hint="cs"/>
          <w:rtl/>
        </w:rPr>
        <w:t>؛</w:t>
      </w:r>
    </w:p>
    <w:p w14:paraId="0A5304F6" w14:textId="28A61BDB" w:rsidR="00421994" w:rsidRPr="00536262" w:rsidRDefault="00421994" w:rsidP="000047B3"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</w:r>
      <w:r>
        <w:rPr>
          <w:rFonts w:hint="cs"/>
          <w:rtl/>
        </w:rPr>
        <w:t xml:space="preserve">القرار 1306 (الصادر في دورة المجلس لعام 2009، والمعدَّل آخر مرة في دورة المجلس لعام 2015)، بعنوان </w:t>
      </w:r>
      <w:r w:rsidR="006440FC">
        <w:rPr>
          <w:rFonts w:hint="cs"/>
          <w:rtl/>
        </w:rPr>
        <w:t>"</w:t>
      </w:r>
      <w:r>
        <w:rPr>
          <w:rFonts w:hint="cs"/>
          <w:rtl/>
        </w:rPr>
        <w:t>دور الاتحاد بشأن قضايا السياسة العامة الدولية المتعلقة بتهيئة بيئة أكثر أمناَ للأطفال على شبكة الإنترنت</w:t>
      </w:r>
      <w:r w:rsidR="006440FC">
        <w:rPr>
          <w:rFonts w:hint="cs"/>
          <w:rtl/>
        </w:rPr>
        <w:t>"</w:t>
      </w:r>
      <w:r>
        <w:rPr>
          <w:rFonts w:hint="cs"/>
          <w:rtl/>
        </w:rPr>
        <w:t>،</w:t>
      </w:r>
    </w:p>
    <w:p w14:paraId="2DF20645" w14:textId="77777777" w:rsidR="00421994" w:rsidRPr="0091349E" w:rsidRDefault="00421994" w:rsidP="00421994">
      <w:pPr>
        <w:pStyle w:val="Call"/>
        <w:rPr>
          <w:rtl/>
        </w:rPr>
      </w:pPr>
      <w:r w:rsidRPr="0091349E">
        <w:rPr>
          <w:rtl/>
        </w:rPr>
        <w:t>وإذ يذكِّر</w:t>
      </w:r>
    </w:p>
    <w:p w14:paraId="38E741AF" w14:textId="77777777" w:rsidR="00421994" w:rsidRPr="009D0B0B" w:rsidRDefault="00421994" w:rsidP="00421994">
      <w:pPr>
        <w:rPr>
          <w:rtl/>
        </w:rPr>
      </w:pPr>
      <w:r>
        <w:rPr>
          <w:rFonts w:hint="cs"/>
          <w:rtl/>
        </w:rPr>
        <w:t>بالقرار 1306 (دورة المجلس لعام 2009)، الذي ينص على إنشاء فريق عمل معني بحماية الأطفال على الإنترنت،</w:t>
      </w:r>
    </w:p>
    <w:p w14:paraId="1ACFAE65" w14:textId="77777777" w:rsidR="00421994" w:rsidRDefault="00421994" w:rsidP="00421994">
      <w:pPr>
        <w:pStyle w:val="Call"/>
        <w:rPr>
          <w:rtl/>
        </w:rPr>
      </w:pPr>
      <w:r w:rsidRPr="0091349E">
        <w:rPr>
          <w:rtl/>
        </w:rPr>
        <w:t>وإذ يأخذ في الحسبان</w:t>
      </w:r>
    </w:p>
    <w:p w14:paraId="2C6207AC" w14:textId="77777777" w:rsidR="00421994" w:rsidRPr="0091349E" w:rsidRDefault="00421994" w:rsidP="00421994">
      <w:pPr>
        <w:rPr>
          <w:rtl/>
        </w:rPr>
      </w:pPr>
      <w:r>
        <w:rPr>
          <w:rFonts w:hint="cs"/>
          <w:rtl/>
        </w:rPr>
        <w:t xml:space="preserve">أن القرار </w:t>
      </w:r>
      <w:r w:rsidRPr="003A2A2A">
        <w:t>179</w:t>
      </w:r>
      <w:r w:rsidRPr="003A2A2A">
        <w:rPr>
          <w:rFonts w:hint="cs"/>
          <w:rtl/>
        </w:rPr>
        <w:t xml:space="preserve"> (المراجَع في </w:t>
      </w:r>
      <w:r>
        <w:rPr>
          <w:rFonts w:hint="cs"/>
          <w:rtl/>
        </w:rPr>
        <w:t>بوخارست</w:t>
      </w:r>
      <w:r w:rsidRPr="003A2A2A">
        <w:rPr>
          <w:rFonts w:hint="cs"/>
          <w:rtl/>
        </w:rPr>
        <w:t xml:space="preserve">، </w:t>
      </w:r>
      <w:r>
        <w:t>2022</w:t>
      </w:r>
      <w:r w:rsidRPr="003A2A2A">
        <w:rPr>
          <w:rFonts w:hint="cs"/>
          <w:rtl/>
        </w:rPr>
        <w:t>)</w:t>
      </w:r>
      <w:r>
        <w:rPr>
          <w:rFonts w:hint="cs"/>
          <w:rtl/>
        </w:rPr>
        <w:t xml:space="preserve"> ينص في فقرة </w:t>
      </w:r>
      <w:r w:rsidRPr="00FF08CC">
        <w:rPr>
          <w:rFonts w:hint="cs"/>
          <w:i/>
          <w:iCs/>
          <w:rtl/>
        </w:rPr>
        <w:t>"يقرر"</w:t>
      </w:r>
      <w:r>
        <w:rPr>
          <w:rFonts w:hint="cs"/>
          <w:rtl/>
        </w:rPr>
        <w:t xml:space="preserve"> على أمور منها:</w:t>
      </w:r>
    </w:p>
    <w:p w14:paraId="47CD270D" w14:textId="5C1CEE1B" w:rsidR="00421994" w:rsidRPr="0091349E" w:rsidRDefault="00421994" w:rsidP="00421994">
      <w:pPr>
        <w:rPr>
          <w:rtl/>
        </w:rPr>
      </w:pPr>
      <w:r w:rsidRPr="0091349E">
        <w:rPr>
          <w:rFonts w:hint="cs"/>
          <w:i/>
          <w:iCs/>
          <w:rtl/>
        </w:rPr>
        <w:t> أ )</w:t>
      </w:r>
      <w:r w:rsidRPr="0091349E">
        <w:rPr>
          <w:i/>
          <w:iCs/>
          <w:rtl/>
        </w:rPr>
        <w:tab/>
      </w:r>
      <w:r w:rsidRPr="0091349E">
        <w:rPr>
          <w:rFonts w:hint="cs"/>
          <w:rtl/>
        </w:rPr>
        <w:t>مواصلة تنفيذ مبادرة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حماية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الأطفال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على الإنترنت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باعتبارها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منبراً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للتوعية بقضايا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سلامة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الأطفال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 xml:space="preserve">على الإنترنت ولتبادل الممارسات </w:t>
      </w:r>
      <w:r w:rsidR="00EE140F">
        <w:rPr>
          <w:rFonts w:hint="cs"/>
          <w:rtl/>
        </w:rPr>
        <w:t xml:space="preserve">الفضلى </w:t>
      </w:r>
      <w:r w:rsidRPr="0091349E">
        <w:rPr>
          <w:rFonts w:hint="cs"/>
          <w:rtl/>
        </w:rPr>
        <w:t>المتصلة بها؛</w:t>
      </w:r>
    </w:p>
    <w:p w14:paraId="24600833" w14:textId="07BFB694" w:rsidR="00421994" w:rsidRDefault="00421994" w:rsidP="000047B3">
      <w:pPr>
        <w:rPr>
          <w:rtl/>
        </w:rPr>
      </w:pPr>
      <w:r w:rsidRPr="00C956AE">
        <w:rPr>
          <w:rFonts w:hint="cs"/>
          <w:i/>
          <w:iCs/>
          <w:rtl/>
        </w:rPr>
        <w:t>ب)</w:t>
      </w:r>
      <w:r>
        <w:rPr>
          <w:rtl/>
        </w:rPr>
        <w:tab/>
      </w:r>
      <w:r w:rsidRPr="0091349E">
        <w:rPr>
          <w:rFonts w:hint="cs"/>
          <w:rtl/>
        </w:rPr>
        <w:t>الاستمرار في تقديم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المساعدة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والدعم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إلى الدول الأعضاء،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خاصةً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البلدان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النامية</w:t>
      </w:r>
      <w:r w:rsidR="00EE140F">
        <w:rPr>
          <w:rStyle w:val="FootnoteReference"/>
          <w:rtl/>
        </w:rPr>
        <w:footnoteReference w:customMarkFollows="1" w:id="1"/>
        <w:t>1</w:t>
      </w:r>
      <w:r w:rsidRPr="0091349E">
        <w:rPr>
          <w:rFonts w:hint="cs"/>
          <w:rtl/>
        </w:rPr>
        <w:t>،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من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أجل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وضع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وتنفيذ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خرائط طريق بشأن مبادرة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حماية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الأطفال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على الإنترنت</w:t>
      </w:r>
      <w:r>
        <w:rPr>
          <w:rFonts w:hint="cs"/>
          <w:rtl/>
        </w:rPr>
        <w:t>؛</w:t>
      </w:r>
    </w:p>
    <w:p w14:paraId="13274447" w14:textId="77777777" w:rsidR="00421994" w:rsidRDefault="00421994" w:rsidP="000047B3">
      <w:pPr>
        <w:rPr>
          <w:rtl/>
        </w:rPr>
      </w:pPr>
      <w:r w:rsidRPr="003A2A2A">
        <w:rPr>
          <w:rFonts w:hint="cs"/>
          <w:i/>
          <w:iCs/>
          <w:spacing w:val="2"/>
          <w:rtl/>
        </w:rPr>
        <w:t>ج)</w:t>
      </w:r>
      <w:r w:rsidRPr="003A2A2A">
        <w:rPr>
          <w:rFonts w:hint="cs"/>
          <w:spacing w:val="2"/>
          <w:rtl/>
        </w:rPr>
        <w:tab/>
      </w:r>
      <w:r w:rsidRPr="0091349E">
        <w:rPr>
          <w:rFonts w:hint="cs"/>
          <w:rtl/>
        </w:rPr>
        <w:t>مواصلة تنسيق مبادرة حماية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الأطفال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على الإنترنت بالتعاون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مع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أصحاب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المصلحة</w:t>
      </w:r>
      <w:r w:rsidRPr="0091349E">
        <w:rPr>
          <w:rtl/>
        </w:rPr>
        <w:t xml:space="preserve"> </w:t>
      </w:r>
      <w:r w:rsidRPr="0091349E">
        <w:rPr>
          <w:rFonts w:hint="cs"/>
          <w:rtl/>
        </w:rPr>
        <w:t>المعنيين</w:t>
      </w:r>
      <w:r>
        <w:rPr>
          <w:rFonts w:hint="cs"/>
          <w:rtl/>
        </w:rPr>
        <w:t>،</w:t>
      </w:r>
    </w:p>
    <w:p w14:paraId="647310A9" w14:textId="77777777" w:rsidR="00421994" w:rsidRPr="003A2A2A" w:rsidRDefault="00421994" w:rsidP="00421994">
      <w:pPr>
        <w:pStyle w:val="Call"/>
        <w:rPr>
          <w:rtl/>
        </w:rPr>
      </w:pPr>
      <w:r>
        <w:rPr>
          <w:rFonts w:hint="cs"/>
          <w:rtl/>
        </w:rPr>
        <w:t>و</w:t>
      </w:r>
      <w:r w:rsidRPr="003A2A2A">
        <w:rPr>
          <w:rFonts w:hint="cs"/>
          <w:rtl/>
        </w:rPr>
        <w:t>إذ يدرك</w:t>
      </w:r>
    </w:p>
    <w:p w14:paraId="2D531E6E" w14:textId="77777777" w:rsidR="00421994" w:rsidRPr="003A2A2A" w:rsidRDefault="00421994" w:rsidP="00421994">
      <w:pPr>
        <w:rPr>
          <w:rtl/>
        </w:rPr>
      </w:pPr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r w:rsidRPr="003A2A2A">
        <w:tab/>
      </w:r>
      <w:r>
        <w:rPr>
          <w:rFonts w:hint="cs"/>
          <w:rtl/>
        </w:rPr>
        <w:t>أن الحاجة تدعو حتماً إلى استجابة جماعية عاجلة لمكافحة الانتهاك أو الاستغلال الجنسي للأطفال على الإنترنت؛</w:t>
      </w:r>
    </w:p>
    <w:p w14:paraId="68C31F2D" w14:textId="0D319460" w:rsidR="00421994" w:rsidRPr="003A2A2A" w:rsidRDefault="00421994" w:rsidP="00421994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ب)</w:t>
      </w:r>
      <w:r w:rsidRPr="003A2A2A">
        <w:rPr>
          <w:rFonts w:hint="cs"/>
          <w:i/>
          <w:iCs/>
          <w:rtl/>
        </w:rPr>
        <w:tab/>
      </w:r>
      <w:r>
        <w:rPr>
          <w:rFonts w:hint="cs"/>
          <w:rtl/>
        </w:rPr>
        <w:t xml:space="preserve">القبول الواسع الذي يحظى به حدث الفتيات في مجال تكنولوجيا المعلومات والاتصالات لدى الدول الأعضاء بحيث نُظم، منذ عام 2011، ما مجموعه </w:t>
      </w:r>
      <w:r>
        <w:t>11 400</w:t>
      </w:r>
      <w:r>
        <w:rPr>
          <w:rFonts w:hint="cs"/>
          <w:rtl/>
        </w:rPr>
        <w:t xml:space="preserve"> احتفال باليوم الدولي للفتيات في مجال تكنولوجيا المعلومات والاتصالات في</w:t>
      </w:r>
      <w:r w:rsidR="000047B3">
        <w:rPr>
          <w:rFonts w:hint="eastAsia"/>
          <w:rtl/>
        </w:rPr>
        <w:t> </w:t>
      </w:r>
      <w:r>
        <w:rPr>
          <w:rFonts w:hint="cs"/>
          <w:rtl/>
        </w:rPr>
        <w:t>171 بلداً، وفقاً لخريطة الاتحاد لأحداث يوم الفتيات في مجال تكنولوجيا المعلومات والاتصالات</w:t>
      </w:r>
      <w:r w:rsidR="00EE140F">
        <w:rPr>
          <w:rStyle w:val="FootnoteReference"/>
          <w:rtl/>
        </w:rPr>
        <w:footnoteReference w:customMarkFollows="1" w:id="2"/>
        <w:t>2</w:t>
      </w:r>
      <w:r>
        <w:rPr>
          <w:rFonts w:hint="cs"/>
          <w:rtl/>
        </w:rPr>
        <w:t>،</w:t>
      </w:r>
    </w:p>
    <w:p w14:paraId="208FEA8D" w14:textId="77777777" w:rsidR="00421994" w:rsidRPr="0091349E" w:rsidRDefault="00421994" w:rsidP="004723E3">
      <w:pPr>
        <w:pStyle w:val="Call"/>
        <w:keepLines/>
        <w:rPr>
          <w:rtl/>
        </w:rPr>
      </w:pPr>
      <w:r w:rsidRPr="0091349E">
        <w:rPr>
          <w:rtl/>
        </w:rPr>
        <w:t>يقرر</w:t>
      </w:r>
    </w:p>
    <w:p w14:paraId="4C25D799" w14:textId="77777777" w:rsidR="00421994" w:rsidRPr="0091349E" w:rsidRDefault="00421994" w:rsidP="006440FC">
      <w:pPr>
        <w:rPr>
          <w:rtl/>
        </w:rPr>
      </w:pPr>
      <w:r w:rsidRPr="0091349E">
        <w:t>1</w:t>
      </w:r>
      <w:r w:rsidRPr="0091349E">
        <w:rPr>
          <w:rtl/>
        </w:rPr>
        <w:tab/>
      </w:r>
      <w:r>
        <w:rPr>
          <w:rFonts w:hint="cs"/>
          <w:rtl/>
        </w:rPr>
        <w:t>تعزيز وتنسيق ودعم البرامج المتعلقة بالشمول الرقمي والبرامج الأخرى التي يقودها الاتحاد في مجال حقوق الأطفال ورفاههم، مع توفير معلومات وموارد بشأن السلامة على الإنترنت؛</w:t>
      </w:r>
    </w:p>
    <w:p w14:paraId="62CCE125" w14:textId="33015D7C" w:rsidR="00421994" w:rsidRPr="0091349E" w:rsidRDefault="00421994" w:rsidP="006440FC">
      <w:pPr>
        <w:rPr>
          <w:rtl/>
        </w:rPr>
      </w:pPr>
      <w:r w:rsidRPr="0091349E">
        <w:t>2</w:t>
      </w:r>
      <w:r w:rsidRPr="0091349E">
        <w:rPr>
          <w:rtl/>
        </w:rPr>
        <w:tab/>
      </w:r>
      <w:r>
        <w:rPr>
          <w:rFonts w:hint="cs"/>
          <w:rtl/>
        </w:rPr>
        <w:t>تخصيص الموارد اللازمة لضمان تمكين الأطفال والشباب وتزويدهم بمهارات السلامة على الإنترنت</w:t>
      </w:r>
      <w:r w:rsidR="00EE140F">
        <w:rPr>
          <w:rFonts w:hint="cs"/>
          <w:rtl/>
        </w:rPr>
        <w:t>،</w:t>
      </w:r>
    </w:p>
    <w:p w14:paraId="68E63D1A" w14:textId="77777777" w:rsidR="00421994" w:rsidRPr="002464B8" w:rsidRDefault="00421994" w:rsidP="002464B8">
      <w:pPr>
        <w:pStyle w:val="Call"/>
        <w:rPr>
          <w:rtl/>
        </w:rPr>
      </w:pPr>
      <w:r w:rsidRPr="002464B8">
        <w:rPr>
          <w:rFonts w:hint="cs"/>
          <w:rtl/>
        </w:rPr>
        <w:t>يدعو الدول الأعضاء وأعضاء القطاعات إلى</w:t>
      </w:r>
    </w:p>
    <w:p w14:paraId="63C30787" w14:textId="64BC606D" w:rsidR="00421994" w:rsidRPr="003A2A2A" w:rsidRDefault="00421994" w:rsidP="006440FC">
      <w:pPr>
        <w:rPr>
          <w:rtl/>
        </w:rPr>
      </w:pPr>
      <w:r w:rsidRPr="003A2A2A">
        <w:t>1</w:t>
      </w:r>
      <w:r w:rsidRPr="003A2A2A">
        <w:tab/>
      </w:r>
      <w:r>
        <w:rPr>
          <w:rFonts w:hint="cs"/>
          <w:rtl/>
        </w:rPr>
        <w:t xml:space="preserve">إعطاء </w:t>
      </w:r>
      <w:r w:rsidRPr="006440FC">
        <w:rPr>
          <w:rFonts w:hint="cs"/>
          <w:rtl/>
        </w:rPr>
        <w:t>الأولوية للأنشطة الاستراتيجية لحماية الأطفال على الإنترنت، وتعميم هذه الأنشطة وتعزيزها من خلال برامج محددة مثل الاحتفا</w:t>
      </w:r>
      <w:r>
        <w:rPr>
          <w:rFonts w:hint="cs"/>
          <w:rtl/>
        </w:rPr>
        <w:t>ل بحدث الفتيات في مجال تكنولوجيا المعلومات والاتصالات</w:t>
      </w:r>
      <w:r w:rsidRPr="003A2A2A">
        <w:rPr>
          <w:rFonts w:hint="cs"/>
          <w:rtl/>
        </w:rPr>
        <w:t>؛</w:t>
      </w:r>
    </w:p>
    <w:p w14:paraId="4C04B443" w14:textId="77777777" w:rsidR="00421994" w:rsidRDefault="00421994" w:rsidP="00421994">
      <w:pPr>
        <w:pStyle w:val="enumlev1"/>
        <w:rPr>
          <w:rtl/>
          <w:lang w:bidi="ar-SA"/>
        </w:rPr>
      </w:pPr>
      <w:r w:rsidRPr="003A2A2A">
        <w:t>2</w:t>
      </w:r>
      <w:r w:rsidRPr="003A2A2A">
        <w:tab/>
      </w:r>
      <w:r>
        <w:rPr>
          <w:rFonts w:hint="cs"/>
          <w:rtl/>
        </w:rPr>
        <w:t>مواصلة التعاون مع الأعضاء الآخرين في الاتحاد بشأن هذه المسألة.</w:t>
      </w:r>
    </w:p>
    <w:p w14:paraId="6B844F98" w14:textId="77777777" w:rsidR="00421994" w:rsidRDefault="00421994" w:rsidP="0042199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21994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CF82" w14:textId="77777777" w:rsidR="00076FAD" w:rsidRDefault="00076FAD" w:rsidP="006C3242">
      <w:pPr>
        <w:spacing w:before="0" w:line="240" w:lineRule="auto"/>
      </w:pPr>
      <w:r>
        <w:separator/>
      </w:r>
    </w:p>
  </w:endnote>
  <w:endnote w:type="continuationSeparator" w:id="0">
    <w:p w14:paraId="55134978" w14:textId="77777777" w:rsidR="00076FAD" w:rsidRDefault="00076F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6F51D94" w14:textId="77777777" w:rsidTr="00357086">
      <w:trPr>
        <w:jc w:val="center"/>
      </w:trPr>
      <w:tc>
        <w:tcPr>
          <w:tcW w:w="868" w:type="pct"/>
          <w:vAlign w:val="center"/>
        </w:tcPr>
        <w:p w14:paraId="08F26642" w14:textId="55BDC051" w:rsidR="00F50E3F" w:rsidRPr="00E02A3B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6"/>
              <w:szCs w:val="10"/>
            </w:rPr>
          </w:pPr>
        </w:p>
      </w:tc>
      <w:tc>
        <w:tcPr>
          <w:tcW w:w="3912" w:type="pct"/>
        </w:tcPr>
        <w:p w14:paraId="5649AD3E" w14:textId="3C6806A2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74C16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8B34D4">
            <w:rPr>
              <w:rFonts w:ascii="Calibri" w:hAnsi="Calibri" w:cs="Arial"/>
              <w:bCs/>
              <w:color w:val="7F7F7F"/>
              <w:sz w:val="18"/>
            </w:rPr>
            <w:t>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388175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47CABF4" w14:textId="6C4114BE" w:rsidR="00387876" w:rsidRPr="00E02A3B" w:rsidRDefault="00387876" w:rsidP="00EE140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EA44BED" w14:textId="77777777" w:rsidTr="00F50E3F">
      <w:trPr>
        <w:jc w:val="center"/>
      </w:trPr>
      <w:tc>
        <w:tcPr>
          <w:tcW w:w="868" w:type="pct"/>
          <w:vAlign w:val="center"/>
        </w:tcPr>
        <w:p w14:paraId="7467CBEC" w14:textId="77777777" w:rsidR="007B0AA0" w:rsidRPr="007B0AA0" w:rsidRDefault="0020450D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D070D5A" w14:textId="108C538D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74C16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8B34D4">
            <w:rPr>
              <w:rFonts w:ascii="Calibri" w:hAnsi="Calibri" w:cs="Arial"/>
              <w:bCs/>
              <w:color w:val="7F7F7F"/>
              <w:sz w:val="18"/>
            </w:rPr>
            <w:t>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980FD6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018C01" w14:textId="73FA398F" w:rsidR="00387876" w:rsidRPr="00E02A3B" w:rsidRDefault="00387876" w:rsidP="00EE140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AB05" w14:textId="77777777" w:rsidR="00076FAD" w:rsidRDefault="00076FAD" w:rsidP="006C3242">
      <w:pPr>
        <w:spacing w:before="0" w:line="240" w:lineRule="auto"/>
      </w:pPr>
      <w:r>
        <w:separator/>
      </w:r>
    </w:p>
  </w:footnote>
  <w:footnote w:type="continuationSeparator" w:id="0">
    <w:p w14:paraId="4B12043A" w14:textId="77777777" w:rsidR="00076FAD" w:rsidRDefault="00076FAD" w:rsidP="006C3242">
      <w:pPr>
        <w:spacing w:before="0" w:line="240" w:lineRule="auto"/>
      </w:pPr>
      <w:r>
        <w:continuationSeparator/>
      </w:r>
    </w:p>
  </w:footnote>
  <w:footnote w:id="1">
    <w:p w14:paraId="3A55E454" w14:textId="45CD795F" w:rsidR="00EE140F" w:rsidRPr="006048ED" w:rsidRDefault="00EE140F" w:rsidP="008B34D4">
      <w:pPr>
        <w:pStyle w:val="Footnotetexte"/>
        <w:spacing w:after="120"/>
        <w:rPr>
          <w:rStyle w:val="FootnoteTextChar"/>
          <w:rFonts w:ascii="Dubai" w:hAnsi="Dubai" w:cs="Dubai"/>
          <w:sz w:val="18"/>
          <w:szCs w:val="18"/>
          <w:rtl/>
        </w:rPr>
      </w:pPr>
      <w:r>
        <w:rPr>
          <w:rStyle w:val="FootnoteReference"/>
          <w:rtl/>
        </w:rPr>
        <w:t>1</w:t>
      </w:r>
      <w:r>
        <w:rPr>
          <w:szCs w:val="26"/>
          <w:rtl/>
        </w:rPr>
        <w:t xml:space="preserve"> </w:t>
      </w:r>
      <w:r w:rsidRPr="006048ED">
        <w:rPr>
          <w:sz w:val="18"/>
          <w:szCs w:val="18"/>
          <w:rtl/>
        </w:rPr>
        <w:tab/>
      </w:r>
      <w:r w:rsidRPr="006048ED">
        <w:rPr>
          <w:rStyle w:val="FootnoteTextChar"/>
          <w:rFonts w:ascii="Dubai" w:hAnsi="Dubai" w:cs="Dubai"/>
          <w:sz w:val="18"/>
          <w:szCs w:val="18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  <w:footnote w:id="2">
    <w:p w14:paraId="44911724" w14:textId="4506A62F" w:rsidR="00EE140F" w:rsidRPr="006048ED" w:rsidRDefault="00EE140F" w:rsidP="00421994">
      <w:pPr>
        <w:pStyle w:val="Footnotetexte"/>
        <w:rPr>
          <w:sz w:val="18"/>
          <w:szCs w:val="18"/>
          <w:rtl/>
        </w:rPr>
      </w:pPr>
      <w:r>
        <w:rPr>
          <w:rStyle w:val="FootnoteReference"/>
          <w:rtl/>
        </w:rPr>
        <w:t>2</w:t>
      </w:r>
      <w:r>
        <w:rPr>
          <w:szCs w:val="26"/>
          <w:rtl/>
        </w:rPr>
        <w:t xml:space="preserve"> </w:t>
      </w:r>
      <w:r>
        <w:rPr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>هذه البيانات مستقاة من خريطة الاتحاد لأحداث يوم الفتيات في مجال تكنولوجيا المعلومات والاتصالات المتاحة عبر الرابط</w:t>
      </w:r>
      <w:r w:rsidRPr="006048ED">
        <w:rPr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ab/>
      </w:r>
      <w:r>
        <w:rPr>
          <w:sz w:val="18"/>
          <w:szCs w:val="18"/>
          <w:rtl/>
        </w:rPr>
        <w:br/>
      </w:r>
      <w:hyperlink r:id="rId1" w:history="1">
        <w:r w:rsidRPr="005A09C3">
          <w:rPr>
            <w:rStyle w:val="Hyperlink"/>
            <w:sz w:val="18"/>
            <w:szCs w:val="18"/>
          </w:rPr>
          <w:t>https://www.itu.int/en/ITU-D/Digital-Inclusion/Women-and-Girls/Girls-in-ICT-Portal/Pages/Portaldev.aspx</w:t>
        </w:r>
      </w:hyperlink>
      <w:r w:rsidRPr="006048ED">
        <w:rPr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7FAB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1FE77" wp14:editId="43CBDD3E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995671C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7EF36E55" wp14:editId="5BDCB8C6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BF12CF"/>
    <w:multiLevelType w:val="hybridMultilevel"/>
    <w:tmpl w:val="84145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F721B"/>
    <w:multiLevelType w:val="hybridMultilevel"/>
    <w:tmpl w:val="A11C2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A4129"/>
    <w:multiLevelType w:val="hybridMultilevel"/>
    <w:tmpl w:val="3DF8C852"/>
    <w:lvl w:ilvl="0" w:tplc="D4E01740">
      <w:start w:val="2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851479920">
    <w:abstractNumId w:val="13"/>
  </w:num>
  <w:num w:numId="13" w16cid:durableId="1005128478">
    <w:abstractNumId w:val="11"/>
  </w:num>
  <w:num w:numId="14" w16cid:durableId="1073310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D"/>
    <w:rsid w:val="000047B3"/>
    <w:rsid w:val="000212E6"/>
    <w:rsid w:val="0006468A"/>
    <w:rsid w:val="00076FAD"/>
    <w:rsid w:val="00084328"/>
    <w:rsid w:val="00090574"/>
    <w:rsid w:val="0009186A"/>
    <w:rsid w:val="00097C1C"/>
    <w:rsid w:val="000C1C0E"/>
    <w:rsid w:val="000C548A"/>
    <w:rsid w:val="00132628"/>
    <w:rsid w:val="00174C16"/>
    <w:rsid w:val="00195B5F"/>
    <w:rsid w:val="001C0169"/>
    <w:rsid w:val="001D059D"/>
    <w:rsid w:val="001D1D50"/>
    <w:rsid w:val="001D6745"/>
    <w:rsid w:val="001E446E"/>
    <w:rsid w:val="0020236C"/>
    <w:rsid w:val="0020450D"/>
    <w:rsid w:val="002154EE"/>
    <w:rsid w:val="002276D2"/>
    <w:rsid w:val="0023283D"/>
    <w:rsid w:val="002464B8"/>
    <w:rsid w:val="00252327"/>
    <w:rsid w:val="0026373E"/>
    <w:rsid w:val="00271C43"/>
    <w:rsid w:val="00290728"/>
    <w:rsid w:val="002978F4"/>
    <w:rsid w:val="002B028D"/>
    <w:rsid w:val="002B385A"/>
    <w:rsid w:val="002E6541"/>
    <w:rsid w:val="00310A85"/>
    <w:rsid w:val="00332020"/>
    <w:rsid w:val="00334924"/>
    <w:rsid w:val="003409BC"/>
    <w:rsid w:val="00357185"/>
    <w:rsid w:val="00383829"/>
    <w:rsid w:val="00387876"/>
    <w:rsid w:val="003B2302"/>
    <w:rsid w:val="003C25C9"/>
    <w:rsid w:val="003F4B29"/>
    <w:rsid w:val="00421994"/>
    <w:rsid w:val="0042686F"/>
    <w:rsid w:val="004317D8"/>
    <w:rsid w:val="00434183"/>
    <w:rsid w:val="00443869"/>
    <w:rsid w:val="00447F32"/>
    <w:rsid w:val="00455E09"/>
    <w:rsid w:val="004723E3"/>
    <w:rsid w:val="004B7334"/>
    <w:rsid w:val="004E11DC"/>
    <w:rsid w:val="00525DDD"/>
    <w:rsid w:val="005409AC"/>
    <w:rsid w:val="00545760"/>
    <w:rsid w:val="0055516A"/>
    <w:rsid w:val="00562241"/>
    <w:rsid w:val="00562A38"/>
    <w:rsid w:val="0058491B"/>
    <w:rsid w:val="00592EA5"/>
    <w:rsid w:val="005A3170"/>
    <w:rsid w:val="0063313C"/>
    <w:rsid w:val="006440FC"/>
    <w:rsid w:val="00677396"/>
    <w:rsid w:val="0069200F"/>
    <w:rsid w:val="006A65CB"/>
    <w:rsid w:val="006C3242"/>
    <w:rsid w:val="006C7CC0"/>
    <w:rsid w:val="006F5ED7"/>
    <w:rsid w:val="006F63F7"/>
    <w:rsid w:val="007025C7"/>
    <w:rsid w:val="00706D7A"/>
    <w:rsid w:val="00722F0D"/>
    <w:rsid w:val="0074420E"/>
    <w:rsid w:val="0077450D"/>
    <w:rsid w:val="00783E26"/>
    <w:rsid w:val="00795F94"/>
    <w:rsid w:val="007B0AA0"/>
    <w:rsid w:val="007C3BC7"/>
    <w:rsid w:val="007C3BCD"/>
    <w:rsid w:val="007D4ACF"/>
    <w:rsid w:val="007F0787"/>
    <w:rsid w:val="00800FBD"/>
    <w:rsid w:val="00810B7B"/>
    <w:rsid w:val="00813F84"/>
    <w:rsid w:val="0082358A"/>
    <w:rsid w:val="008235CD"/>
    <w:rsid w:val="008247DE"/>
    <w:rsid w:val="008339C0"/>
    <w:rsid w:val="00840B10"/>
    <w:rsid w:val="008513CB"/>
    <w:rsid w:val="00893550"/>
    <w:rsid w:val="008A7F84"/>
    <w:rsid w:val="008B34D4"/>
    <w:rsid w:val="00914C0D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67FDB"/>
    <w:rsid w:val="00A97F94"/>
    <w:rsid w:val="00AA7EA2"/>
    <w:rsid w:val="00AB0088"/>
    <w:rsid w:val="00B03099"/>
    <w:rsid w:val="00B05BC8"/>
    <w:rsid w:val="00B6080B"/>
    <w:rsid w:val="00B64B47"/>
    <w:rsid w:val="00B91B14"/>
    <w:rsid w:val="00B95654"/>
    <w:rsid w:val="00BA1948"/>
    <w:rsid w:val="00C002DE"/>
    <w:rsid w:val="00C36C3D"/>
    <w:rsid w:val="00C53BF8"/>
    <w:rsid w:val="00C55E61"/>
    <w:rsid w:val="00C66157"/>
    <w:rsid w:val="00C674FE"/>
    <w:rsid w:val="00C67501"/>
    <w:rsid w:val="00C75633"/>
    <w:rsid w:val="00CB30EC"/>
    <w:rsid w:val="00CD26EC"/>
    <w:rsid w:val="00CE2EE1"/>
    <w:rsid w:val="00CE3349"/>
    <w:rsid w:val="00CE36E5"/>
    <w:rsid w:val="00CE5481"/>
    <w:rsid w:val="00CF27F5"/>
    <w:rsid w:val="00CF3FFD"/>
    <w:rsid w:val="00D10CCF"/>
    <w:rsid w:val="00D13941"/>
    <w:rsid w:val="00D45691"/>
    <w:rsid w:val="00D51512"/>
    <w:rsid w:val="00D53E32"/>
    <w:rsid w:val="00D63735"/>
    <w:rsid w:val="00D77D0F"/>
    <w:rsid w:val="00DA1CF0"/>
    <w:rsid w:val="00DC1E02"/>
    <w:rsid w:val="00DC24B4"/>
    <w:rsid w:val="00DC5FB0"/>
    <w:rsid w:val="00DC7886"/>
    <w:rsid w:val="00DF16DC"/>
    <w:rsid w:val="00E02A3B"/>
    <w:rsid w:val="00E45211"/>
    <w:rsid w:val="00E473C5"/>
    <w:rsid w:val="00E55F15"/>
    <w:rsid w:val="00E61BE8"/>
    <w:rsid w:val="00E92863"/>
    <w:rsid w:val="00E95327"/>
    <w:rsid w:val="00EB796D"/>
    <w:rsid w:val="00EE07F2"/>
    <w:rsid w:val="00EE140F"/>
    <w:rsid w:val="00F058DC"/>
    <w:rsid w:val="00F24FC4"/>
    <w:rsid w:val="00F2676C"/>
    <w:rsid w:val="00F363FE"/>
    <w:rsid w:val="00F50E3F"/>
    <w:rsid w:val="00F84366"/>
    <w:rsid w:val="00F85089"/>
    <w:rsid w:val="00F974C5"/>
    <w:rsid w:val="00FA1DFB"/>
    <w:rsid w:val="00FA6F46"/>
    <w:rsid w:val="00FC4592"/>
    <w:rsid w:val="00FD2F43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F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3B2302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421994"/>
    <w:rPr>
      <w:rFonts w:ascii="Dubai" w:hAnsi="Dubai" w:cs="Dubai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C2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Digital-Inclusion/Women-and-Girls/Girls-in-ICT-Portal/Pages/Portaldev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1423 - Child online protection</dc:title>
  <dc:subject>2024 session of the Council</dc:subject>
  <dc:creator/>
  <cp:keywords>Council-24; C24; Council 2024</cp:keywords>
  <dc:description/>
  <cp:lastModifiedBy/>
  <cp:revision>1</cp:revision>
  <dcterms:created xsi:type="dcterms:W3CDTF">2024-06-26T08:25:00Z</dcterms:created>
  <dcterms:modified xsi:type="dcterms:W3CDTF">2024-06-27T12:15:00Z</dcterms:modified>
  <cp:category>Conference document</cp:category>
</cp:coreProperties>
</file>