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C7BB5" w14:paraId="0043AC80" w14:textId="77777777" w:rsidTr="00AD3606">
        <w:trPr>
          <w:cantSplit/>
          <w:trHeight w:val="23"/>
        </w:trPr>
        <w:tc>
          <w:tcPr>
            <w:tcW w:w="3969" w:type="dxa"/>
            <w:vMerge w:val="restart"/>
            <w:tcMar>
              <w:left w:w="0" w:type="dxa"/>
            </w:tcMar>
          </w:tcPr>
          <w:p w14:paraId="60A806D3" w14:textId="2F4E46FB" w:rsidR="00AD3606" w:rsidRPr="00EC7BB5" w:rsidRDefault="00AD3606" w:rsidP="00472BAD">
            <w:pPr>
              <w:tabs>
                <w:tab w:val="left" w:pos="851"/>
              </w:tabs>
              <w:spacing w:before="0" w:line="240" w:lineRule="atLeast"/>
              <w:rPr>
                <w:b/>
                <w:lang w:val="fr-FR"/>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AC1B38B" w:rsidR="00AD3606" w:rsidRPr="00EC7BB5" w:rsidRDefault="00AD3606" w:rsidP="00472BAD">
            <w:pPr>
              <w:tabs>
                <w:tab w:val="left" w:pos="851"/>
              </w:tabs>
              <w:spacing w:before="0" w:line="240" w:lineRule="atLeast"/>
              <w:jc w:val="right"/>
              <w:rPr>
                <w:b/>
                <w:lang w:val="fr-FR"/>
              </w:rPr>
            </w:pPr>
            <w:r w:rsidRPr="00EC7BB5">
              <w:rPr>
                <w:b/>
                <w:lang w:val="fr-FR"/>
              </w:rPr>
              <w:t xml:space="preserve">Document </w:t>
            </w:r>
            <w:proofErr w:type="spellStart"/>
            <w:r w:rsidRPr="00EC7BB5">
              <w:rPr>
                <w:b/>
                <w:lang w:val="fr-FR"/>
              </w:rPr>
              <w:t>C2</w:t>
            </w:r>
            <w:r w:rsidR="00E23618" w:rsidRPr="00EC7BB5">
              <w:rPr>
                <w:b/>
                <w:lang w:val="fr-FR"/>
              </w:rPr>
              <w:t>4</w:t>
            </w:r>
            <w:proofErr w:type="spellEnd"/>
            <w:r w:rsidRPr="00EC7BB5">
              <w:rPr>
                <w:b/>
                <w:lang w:val="fr-FR"/>
              </w:rPr>
              <w:t>/</w:t>
            </w:r>
            <w:r w:rsidR="004B26A3" w:rsidRPr="00EC7BB5">
              <w:rPr>
                <w:b/>
                <w:lang w:val="fr-FR"/>
              </w:rPr>
              <w:t>123</w:t>
            </w:r>
            <w:r w:rsidRPr="00EC7BB5">
              <w:rPr>
                <w:b/>
                <w:lang w:val="fr-FR"/>
              </w:rPr>
              <w:t>-</w:t>
            </w:r>
            <w:r w:rsidR="009D1F82" w:rsidRPr="00EC7BB5">
              <w:rPr>
                <w:b/>
                <w:lang w:val="fr-FR"/>
              </w:rPr>
              <w:t>F</w:t>
            </w:r>
          </w:p>
        </w:tc>
      </w:tr>
      <w:tr w:rsidR="00AD3606" w:rsidRPr="00EC7BB5" w14:paraId="789B45BA" w14:textId="77777777" w:rsidTr="00AD3606">
        <w:trPr>
          <w:cantSplit/>
        </w:trPr>
        <w:tc>
          <w:tcPr>
            <w:tcW w:w="3969" w:type="dxa"/>
            <w:vMerge/>
          </w:tcPr>
          <w:p w14:paraId="3F3D4E17" w14:textId="77777777" w:rsidR="00AD3606" w:rsidRPr="00EC7BB5"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DE9ACEA" w14:textId="30EA0E63" w:rsidR="00AD3606" w:rsidRPr="00EC7BB5" w:rsidRDefault="004560FC" w:rsidP="00AD3606">
            <w:pPr>
              <w:tabs>
                <w:tab w:val="left" w:pos="851"/>
              </w:tabs>
              <w:spacing w:before="0"/>
              <w:jc w:val="right"/>
              <w:rPr>
                <w:b/>
                <w:lang w:val="fr-FR"/>
              </w:rPr>
            </w:pPr>
            <w:r w:rsidRPr="00EC7BB5">
              <w:rPr>
                <w:b/>
                <w:lang w:val="fr-FR"/>
              </w:rPr>
              <w:t>14 juin</w:t>
            </w:r>
            <w:r w:rsidR="00AD3606" w:rsidRPr="00EC7BB5">
              <w:rPr>
                <w:b/>
                <w:lang w:val="fr-FR"/>
              </w:rPr>
              <w:t xml:space="preserve"> 202</w:t>
            </w:r>
            <w:r w:rsidR="00E23618" w:rsidRPr="00EC7BB5">
              <w:rPr>
                <w:b/>
                <w:lang w:val="fr-FR"/>
              </w:rPr>
              <w:t>4</w:t>
            </w:r>
          </w:p>
        </w:tc>
      </w:tr>
      <w:tr w:rsidR="00AD3606" w:rsidRPr="00EC7BB5" w14:paraId="58A84C4A" w14:textId="77777777" w:rsidTr="00AD3606">
        <w:trPr>
          <w:cantSplit/>
          <w:trHeight w:val="23"/>
        </w:trPr>
        <w:tc>
          <w:tcPr>
            <w:tcW w:w="3969" w:type="dxa"/>
            <w:vMerge/>
          </w:tcPr>
          <w:p w14:paraId="77CEDDAA" w14:textId="77777777" w:rsidR="00AD3606" w:rsidRPr="00EC7BB5" w:rsidRDefault="00AD3606" w:rsidP="00AD3606">
            <w:pPr>
              <w:tabs>
                <w:tab w:val="left" w:pos="851"/>
              </w:tabs>
              <w:spacing w:line="240" w:lineRule="atLeast"/>
              <w:rPr>
                <w:b/>
                <w:lang w:val="fr-FR"/>
              </w:rPr>
            </w:pPr>
            <w:bookmarkStart w:id="7" w:name="dorlang" w:colFirst="1" w:colLast="1"/>
            <w:bookmarkEnd w:id="6"/>
          </w:p>
        </w:tc>
        <w:tc>
          <w:tcPr>
            <w:tcW w:w="5245" w:type="dxa"/>
          </w:tcPr>
          <w:p w14:paraId="561AAE94" w14:textId="404EF7F2" w:rsidR="00AD3606" w:rsidRPr="00EC7BB5" w:rsidRDefault="00AD3606" w:rsidP="00AD3606">
            <w:pPr>
              <w:tabs>
                <w:tab w:val="left" w:pos="851"/>
              </w:tabs>
              <w:spacing w:before="0" w:line="240" w:lineRule="atLeast"/>
              <w:jc w:val="right"/>
              <w:rPr>
                <w:b/>
                <w:lang w:val="fr-FR"/>
              </w:rPr>
            </w:pPr>
            <w:r w:rsidRPr="00EC7BB5">
              <w:rPr>
                <w:b/>
                <w:lang w:val="fr-FR"/>
              </w:rPr>
              <w:t xml:space="preserve">Original: </w:t>
            </w:r>
            <w:r w:rsidR="009D1F82" w:rsidRPr="00EC7BB5">
              <w:rPr>
                <w:b/>
                <w:lang w:val="fr-FR"/>
              </w:rPr>
              <w:t>anglais</w:t>
            </w:r>
          </w:p>
        </w:tc>
      </w:tr>
      <w:tr w:rsidR="00472BAD" w:rsidRPr="00EC7BB5" w14:paraId="12C5EF5F" w14:textId="77777777" w:rsidTr="00AD3606">
        <w:trPr>
          <w:cantSplit/>
          <w:trHeight w:val="23"/>
        </w:trPr>
        <w:tc>
          <w:tcPr>
            <w:tcW w:w="3969" w:type="dxa"/>
          </w:tcPr>
          <w:p w14:paraId="4B839BA2" w14:textId="77777777" w:rsidR="00472BAD" w:rsidRPr="00EC7BB5" w:rsidRDefault="00472BAD" w:rsidP="00AD3606">
            <w:pPr>
              <w:tabs>
                <w:tab w:val="left" w:pos="851"/>
              </w:tabs>
              <w:spacing w:line="240" w:lineRule="atLeast"/>
              <w:rPr>
                <w:b/>
                <w:lang w:val="fr-FR"/>
              </w:rPr>
            </w:pPr>
          </w:p>
        </w:tc>
        <w:tc>
          <w:tcPr>
            <w:tcW w:w="5245" w:type="dxa"/>
          </w:tcPr>
          <w:p w14:paraId="12F66D25" w14:textId="77777777" w:rsidR="00472BAD" w:rsidRPr="00EC7BB5" w:rsidRDefault="00472BAD" w:rsidP="00AD3606">
            <w:pPr>
              <w:tabs>
                <w:tab w:val="left" w:pos="851"/>
              </w:tabs>
              <w:spacing w:before="0" w:line="240" w:lineRule="atLeast"/>
              <w:jc w:val="right"/>
              <w:rPr>
                <w:b/>
                <w:lang w:val="fr-FR"/>
              </w:rPr>
            </w:pPr>
          </w:p>
        </w:tc>
      </w:tr>
    </w:tbl>
    <w:bookmarkEnd w:id="7"/>
    <w:bookmarkEnd w:id="2"/>
    <w:bookmarkEnd w:id="3"/>
    <w:bookmarkEnd w:id="4"/>
    <w:bookmarkEnd w:id="5"/>
    <w:p w14:paraId="5C54AA04" w14:textId="41207AC2" w:rsidR="009D1F82" w:rsidRPr="00EC7BB5" w:rsidRDefault="009D1F82" w:rsidP="004B26A3">
      <w:pPr>
        <w:pStyle w:val="ResNo"/>
        <w:rPr>
          <w:lang w:val="fr-FR"/>
        </w:rPr>
      </w:pPr>
      <w:r w:rsidRPr="00EC7BB5">
        <w:rPr>
          <w:lang w:val="fr-FR"/>
        </w:rPr>
        <w:t xml:space="preserve">RÉSOLUTION </w:t>
      </w:r>
      <w:r w:rsidR="004B26A3" w:rsidRPr="00EC7BB5">
        <w:rPr>
          <w:lang w:val="fr-FR"/>
        </w:rPr>
        <w:t>1421</w:t>
      </w:r>
    </w:p>
    <w:p w14:paraId="0B33C746" w14:textId="09844836" w:rsidR="009D1F82" w:rsidRPr="00EC7BB5" w:rsidRDefault="009D1F82" w:rsidP="009E0CCE">
      <w:pPr>
        <w:pStyle w:val="Resref"/>
        <w:rPr>
          <w:lang w:val="fr-FR"/>
        </w:rPr>
      </w:pPr>
      <w:r w:rsidRPr="00EC7BB5">
        <w:rPr>
          <w:lang w:val="fr-FR"/>
        </w:rPr>
        <w:t xml:space="preserve">(adoptée à la séance </w:t>
      </w:r>
      <w:r w:rsidR="00404A4E" w:rsidRPr="00EC7BB5">
        <w:rPr>
          <w:lang w:val="fr-FR"/>
        </w:rPr>
        <w:t xml:space="preserve">Plénière </w:t>
      </w:r>
      <w:r w:rsidRPr="00EC7BB5">
        <w:rPr>
          <w:lang w:val="fr-FR"/>
        </w:rPr>
        <w:t>inaugurale</w:t>
      </w:r>
      <w:r w:rsidR="009E0CCE" w:rsidRPr="00EC7BB5">
        <w:rPr>
          <w:lang w:val="fr-FR"/>
        </w:rPr>
        <w:t>)</w:t>
      </w:r>
    </w:p>
    <w:p w14:paraId="370B42DB" w14:textId="77777777" w:rsidR="009D1F82" w:rsidRPr="00EC7BB5" w:rsidRDefault="009D1F82" w:rsidP="004B26A3">
      <w:pPr>
        <w:pStyle w:val="Restitle"/>
        <w:rPr>
          <w:lang w:val="fr-FR"/>
        </w:rPr>
      </w:pPr>
      <w:r w:rsidRPr="00EC7BB5">
        <w:rPr>
          <w:lang w:val="fr-FR"/>
        </w:rPr>
        <w:t>Plan opérationnel de l'Union pour 2025-2028</w:t>
      </w:r>
    </w:p>
    <w:p w14:paraId="46109883" w14:textId="77777777" w:rsidR="009D1F82" w:rsidRPr="00EC7BB5" w:rsidRDefault="009D1F82" w:rsidP="009E0CCE">
      <w:pPr>
        <w:pStyle w:val="Normalaftertitle"/>
        <w:rPr>
          <w:rFonts w:asciiTheme="minorHAnsi" w:hAnsiTheme="minorHAnsi" w:cstheme="minorHAnsi"/>
          <w:lang w:val="fr-FR"/>
        </w:rPr>
      </w:pPr>
      <w:r w:rsidRPr="00EC7BB5">
        <w:rPr>
          <w:rFonts w:asciiTheme="minorHAnsi" w:hAnsiTheme="minorHAnsi" w:cstheme="minorHAnsi"/>
          <w:lang w:val="fr-FR"/>
        </w:rPr>
        <w:t>Le Conseil de l'UIT,</w:t>
      </w:r>
    </w:p>
    <w:p w14:paraId="05B7A1F9" w14:textId="77777777" w:rsidR="009D1F82" w:rsidRPr="00EC7BB5" w:rsidRDefault="009D1F82" w:rsidP="004B26A3">
      <w:pPr>
        <w:pStyle w:val="Call"/>
        <w:rPr>
          <w:lang w:val="fr-FR"/>
        </w:rPr>
      </w:pPr>
      <w:r w:rsidRPr="00EC7BB5">
        <w:rPr>
          <w:lang w:val="fr-FR"/>
        </w:rPr>
        <w:t>reconnaissant</w:t>
      </w:r>
    </w:p>
    <w:p w14:paraId="70CD92C3" w14:textId="77777777" w:rsidR="009D1F82" w:rsidRPr="00EC7BB5" w:rsidRDefault="009D1F82" w:rsidP="009D1F82">
      <w:pPr>
        <w:rPr>
          <w:rFonts w:asciiTheme="minorHAnsi" w:hAnsiTheme="minorHAnsi" w:cstheme="minorHAnsi"/>
          <w:lang w:val="fr-FR"/>
        </w:rPr>
      </w:pPr>
      <w:r w:rsidRPr="00EC7BB5">
        <w:rPr>
          <w:rFonts w:asciiTheme="minorHAnsi" w:hAnsiTheme="minorHAnsi" w:cstheme="minorHAnsi"/>
          <w:lang w:val="fr-FR"/>
        </w:rPr>
        <w:t xml:space="preserve">les dispositions des articles 5, </w:t>
      </w:r>
      <w:proofErr w:type="spellStart"/>
      <w:r w:rsidRPr="00EC7BB5">
        <w:rPr>
          <w:rFonts w:asciiTheme="minorHAnsi" w:hAnsiTheme="minorHAnsi" w:cstheme="minorHAnsi"/>
          <w:lang w:val="fr-FR"/>
        </w:rPr>
        <w:t>11A</w:t>
      </w:r>
      <w:proofErr w:type="spellEnd"/>
      <w:r w:rsidRPr="00EC7BB5">
        <w:rPr>
          <w:rFonts w:asciiTheme="minorHAnsi" w:hAnsiTheme="minorHAnsi" w:cstheme="minorHAnsi"/>
          <w:lang w:val="fr-FR"/>
        </w:rPr>
        <w:t xml:space="preserve">, 12, </w:t>
      </w:r>
      <w:proofErr w:type="spellStart"/>
      <w:r w:rsidRPr="00EC7BB5">
        <w:rPr>
          <w:rFonts w:asciiTheme="minorHAnsi" w:hAnsiTheme="minorHAnsi" w:cstheme="minorHAnsi"/>
          <w:lang w:val="fr-FR"/>
        </w:rPr>
        <w:t>14A</w:t>
      </w:r>
      <w:proofErr w:type="spellEnd"/>
      <w:r w:rsidRPr="00EC7BB5">
        <w:rPr>
          <w:rFonts w:asciiTheme="minorHAnsi" w:hAnsiTheme="minorHAnsi" w:cstheme="minorHAnsi"/>
          <w:lang w:val="fr-FR"/>
        </w:rPr>
        <w:t>, 15 et 18 de la Convention de l'UIT,</w:t>
      </w:r>
    </w:p>
    <w:p w14:paraId="198443B8" w14:textId="77777777" w:rsidR="009D1F82" w:rsidRPr="00EC7BB5" w:rsidRDefault="009D1F82" w:rsidP="004B26A3">
      <w:pPr>
        <w:pStyle w:val="Call"/>
        <w:rPr>
          <w:lang w:val="fr-FR"/>
        </w:rPr>
      </w:pPr>
      <w:r w:rsidRPr="00EC7BB5">
        <w:rPr>
          <w:lang w:val="fr-FR"/>
        </w:rPr>
        <w:t>rappelant</w:t>
      </w:r>
    </w:p>
    <w:p w14:paraId="0226AD82" w14:textId="77777777" w:rsidR="009D1F82" w:rsidRPr="00EC7BB5" w:rsidRDefault="009D1F82" w:rsidP="009D1F82">
      <w:pPr>
        <w:rPr>
          <w:rFonts w:asciiTheme="minorHAnsi" w:hAnsiTheme="minorHAnsi" w:cstheme="minorHAnsi"/>
          <w:lang w:val="fr-FR"/>
        </w:rPr>
      </w:pPr>
      <w:r w:rsidRPr="00EC7BB5">
        <w:rPr>
          <w:rFonts w:asciiTheme="minorHAnsi" w:hAnsiTheme="minorHAnsi" w:cstheme="minorHAnsi"/>
          <w:lang w:val="fr-FR"/>
        </w:rPr>
        <w:t xml:space="preserve">la Résolution 71 (Rév. Bucarest, 2022) de la Conférence de plénipotentiaires relative </w:t>
      </w:r>
      <w:proofErr w:type="gramStart"/>
      <w:r w:rsidRPr="00EC7BB5">
        <w:rPr>
          <w:rFonts w:asciiTheme="minorHAnsi" w:hAnsiTheme="minorHAnsi" w:cstheme="minorHAnsi"/>
          <w:lang w:val="fr-FR"/>
        </w:rPr>
        <w:t>au</w:t>
      </w:r>
      <w:proofErr w:type="gramEnd"/>
      <w:r w:rsidRPr="00EC7BB5">
        <w:rPr>
          <w:rFonts w:asciiTheme="minorHAnsi" w:hAnsiTheme="minorHAnsi" w:cstheme="minorHAnsi"/>
          <w:lang w:val="fr-FR"/>
        </w:rPr>
        <w:t xml:space="preserve"> Plan stratégique de l'Union pour la période 2024-2027 et la Résolution 151 (Rév. Bucarest, 2022) de la Conférence de plénipotentiaires concernant la mise en œuvre à l'UIT de la gestion axée sur les résultats,</w:t>
      </w:r>
    </w:p>
    <w:p w14:paraId="20DB0887" w14:textId="77777777" w:rsidR="009D1F82" w:rsidRPr="00EC7BB5" w:rsidRDefault="009D1F82" w:rsidP="004B26A3">
      <w:pPr>
        <w:pStyle w:val="Call"/>
        <w:rPr>
          <w:lang w:val="fr-FR"/>
        </w:rPr>
      </w:pPr>
      <w:r w:rsidRPr="00EC7BB5">
        <w:rPr>
          <w:lang w:val="fr-FR"/>
        </w:rPr>
        <w:t>ayant considéré</w:t>
      </w:r>
    </w:p>
    <w:p w14:paraId="0DE2F4A5" w14:textId="77777777" w:rsidR="009D1F82" w:rsidRPr="00EC7BB5" w:rsidRDefault="009D1F82" w:rsidP="009D1F82">
      <w:pPr>
        <w:rPr>
          <w:rFonts w:asciiTheme="minorHAnsi" w:hAnsiTheme="minorHAnsi" w:cstheme="minorHAnsi"/>
          <w:lang w:val="fr-FR"/>
        </w:rPr>
      </w:pPr>
      <w:r w:rsidRPr="00EC7BB5">
        <w:rPr>
          <w:rFonts w:asciiTheme="minorHAnsi" w:hAnsiTheme="minorHAnsi" w:cstheme="minorHAnsi"/>
          <w:lang w:val="fr-FR"/>
        </w:rPr>
        <w:t>le Plan opérationnel de l'Union pour 2025-2028 (Document </w:t>
      </w:r>
      <w:proofErr w:type="spellStart"/>
      <w:r w:rsidR="00EC7BB5" w:rsidRPr="00EC7BB5">
        <w:fldChar w:fldCharType="begin"/>
      </w:r>
      <w:r w:rsidR="00EC7BB5" w:rsidRPr="00EC7BB5">
        <w:rPr>
          <w:lang w:val="fr-FR"/>
        </w:rPr>
        <w:instrText>HYPERLINK "https://www.itu.int/md/S24-CL-C-0028/fr"</w:instrText>
      </w:r>
      <w:r w:rsidR="00EC7BB5" w:rsidRPr="00EC7BB5">
        <w:fldChar w:fldCharType="separate"/>
      </w:r>
      <w:r w:rsidRPr="00EC7BB5">
        <w:rPr>
          <w:rStyle w:val="Hyperlink"/>
          <w:rFonts w:asciiTheme="minorHAnsi" w:hAnsiTheme="minorHAnsi" w:cstheme="minorHAnsi"/>
          <w:lang w:val="fr-FR"/>
        </w:rPr>
        <w:t>C24</w:t>
      </w:r>
      <w:proofErr w:type="spellEnd"/>
      <w:r w:rsidRPr="00EC7BB5">
        <w:rPr>
          <w:rStyle w:val="Hyperlink"/>
          <w:rFonts w:asciiTheme="minorHAnsi" w:hAnsiTheme="minorHAnsi" w:cstheme="minorHAnsi"/>
          <w:lang w:val="fr-FR"/>
        </w:rPr>
        <w:t>/28</w:t>
      </w:r>
      <w:r w:rsidR="00EC7BB5" w:rsidRPr="00EC7BB5">
        <w:rPr>
          <w:rStyle w:val="Hyperlink"/>
          <w:rFonts w:asciiTheme="minorHAnsi" w:hAnsiTheme="minorHAnsi" w:cstheme="minorHAnsi"/>
          <w:lang w:val="fr-FR"/>
        </w:rPr>
        <w:fldChar w:fldCharType="end"/>
      </w:r>
      <w:r w:rsidRPr="00EC7BB5">
        <w:rPr>
          <w:rFonts w:asciiTheme="minorHAnsi" w:hAnsiTheme="minorHAnsi" w:cstheme="minorHAnsi"/>
          <w:lang w:val="fr-FR"/>
        </w:rPr>
        <w:t>),</w:t>
      </w:r>
    </w:p>
    <w:p w14:paraId="56D02100" w14:textId="77777777" w:rsidR="009D1F82" w:rsidRPr="00EC7BB5" w:rsidRDefault="009D1F82" w:rsidP="004B26A3">
      <w:pPr>
        <w:pStyle w:val="Call"/>
        <w:rPr>
          <w:lang w:val="fr-FR"/>
        </w:rPr>
      </w:pPr>
      <w:r w:rsidRPr="00EC7BB5">
        <w:rPr>
          <w:lang w:val="fr-FR"/>
        </w:rPr>
        <w:t>ayant considéré en outre</w:t>
      </w:r>
    </w:p>
    <w:p w14:paraId="098EECA6" w14:textId="77777777" w:rsidR="009D1F82" w:rsidRPr="00EC7BB5" w:rsidRDefault="009D1F82" w:rsidP="009D1F82">
      <w:pPr>
        <w:rPr>
          <w:rFonts w:asciiTheme="minorHAnsi" w:hAnsiTheme="minorHAnsi" w:cstheme="minorHAnsi"/>
          <w:lang w:val="fr-FR"/>
        </w:rPr>
      </w:pPr>
      <w:r w:rsidRPr="00EC7BB5">
        <w:rPr>
          <w:rFonts w:asciiTheme="minorHAnsi" w:hAnsiTheme="minorHAnsi" w:cstheme="minorHAnsi"/>
          <w:lang w:val="fr-FR"/>
        </w:rPr>
        <w:t>la nécessité pour le Secrétaire général et les Directeurs des Bureaux de disposer d'une certaine souplesse dans la mise en œuvre des éléments du Plan opérationnel dont ils sont respectivement responsables, afin de tenir compte des changements qui pourraient avoir lieu entre deux sessions du Conseil,</w:t>
      </w:r>
    </w:p>
    <w:p w14:paraId="4B194225" w14:textId="77777777" w:rsidR="009D1F82" w:rsidRPr="00EC7BB5" w:rsidRDefault="009D1F82" w:rsidP="004B26A3">
      <w:pPr>
        <w:pStyle w:val="Call"/>
        <w:rPr>
          <w:lang w:val="fr-FR"/>
        </w:rPr>
      </w:pPr>
      <w:r w:rsidRPr="00EC7BB5">
        <w:rPr>
          <w:lang w:val="fr-FR"/>
        </w:rPr>
        <w:t>décide</w:t>
      </w:r>
    </w:p>
    <w:p w14:paraId="230B54DE" w14:textId="77777777" w:rsidR="009D1F82" w:rsidRPr="00EC7BB5" w:rsidRDefault="009D1F82" w:rsidP="009D1F82">
      <w:pPr>
        <w:rPr>
          <w:rFonts w:asciiTheme="minorHAnsi" w:hAnsiTheme="minorHAnsi" w:cstheme="minorHAnsi"/>
          <w:lang w:val="fr-FR"/>
        </w:rPr>
      </w:pPr>
      <w:r w:rsidRPr="00EC7BB5">
        <w:rPr>
          <w:rFonts w:asciiTheme="minorHAnsi" w:hAnsiTheme="minorHAnsi" w:cstheme="minorHAnsi"/>
          <w:lang w:val="fr-FR"/>
        </w:rPr>
        <w:t>1</w:t>
      </w:r>
      <w:r w:rsidRPr="00EC7BB5">
        <w:rPr>
          <w:rFonts w:asciiTheme="minorHAnsi" w:hAnsiTheme="minorHAnsi" w:cstheme="minorHAnsi"/>
          <w:lang w:val="fr-FR"/>
        </w:rPr>
        <w:tab/>
        <w:t>d'approuver le Plan opérationnel de l'Union pour 2025-2028; et</w:t>
      </w:r>
    </w:p>
    <w:p w14:paraId="04C390CF" w14:textId="77777777" w:rsidR="009D1F82" w:rsidRPr="00EC7BB5" w:rsidRDefault="009D1F82" w:rsidP="009D1F82">
      <w:pPr>
        <w:rPr>
          <w:rFonts w:asciiTheme="minorHAnsi" w:hAnsiTheme="minorHAnsi" w:cstheme="minorHAnsi"/>
          <w:lang w:val="fr-FR"/>
        </w:rPr>
      </w:pPr>
      <w:r w:rsidRPr="00EC7BB5">
        <w:rPr>
          <w:rFonts w:asciiTheme="minorHAnsi" w:hAnsiTheme="minorHAnsi" w:cstheme="minorHAnsi"/>
          <w:lang w:val="fr-FR"/>
        </w:rPr>
        <w:t>2</w:t>
      </w:r>
      <w:r w:rsidRPr="00EC7BB5">
        <w:rPr>
          <w:rFonts w:asciiTheme="minorHAnsi" w:hAnsiTheme="minorHAnsi" w:cstheme="minorHAnsi"/>
          <w:lang w:val="fr-FR"/>
        </w:rPr>
        <w:tab/>
        <w:t>d'octroyer au Secrétaire général et aux Directeurs des Bureaux la souplesse nécessaire dans la mise en œuvre des éléments du Plan opérationnel de l'Union pour 2025-2028 dont ils sont respectivement responsables.</w:t>
      </w:r>
    </w:p>
    <w:p w14:paraId="5E0524D4" w14:textId="77777777" w:rsidR="00457479" w:rsidRPr="00457479" w:rsidRDefault="00457479" w:rsidP="00457479">
      <w:pPr>
        <w:pStyle w:val="Reasons"/>
        <w:rPr>
          <w:rFonts w:asciiTheme="minorHAnsi" w:hAnsiTheme="minorHAnsi" w:cstheme="minorHAnsi"/>
          <w:lang w:val="fr-FR"/>
        </w:rPr>
      </w:pPr>
      <w:bookmarkStart w:id="8" w:name="_Hlk170374256"/>
    </w:p>
    <w:p w14:paraId="21E45A8B" w14:textId="77777777" w:rsidR="00457479" w:rsidRDefault="00457479">
      <w:pPr>
        <w:jc w:val="center"/>
      </w:pPr>
      <w:r>
        <w:t>______________</w:t>
      </w:r>
      <w:bookmarkEnd w:id="8"/>
    </w:p>
    <w:sectPr w:rsidR="00457479" w:rsidSect="00AD3606">
      <w:headerReference w:type="even" r:id="rId8"/>
      <w:headerReference w:type="default" r:id="rId9"/>
      <w:footerReference w:type="even" r:id="rId10"/>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EF80" w14:textId="77777777" w:rsidR="0012685A" w:rsidRDefault="0012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02663BA" w:rsidR="00EE49E8" w:rsidRPr="00457479" w:rsidRDefault="00457479" w:rsidP="00EE49E8">
          <w:pPr>
            <w:pStyle w:val="Header"/>
            <w:jc w:val="left"/>
            <w:rPr>
              <w:b/>
              <w:bCs/>
              <w:noProof/>
            </w:rPr>
          </w:pPr>
          <w:r w:rsidRPr="008D23E5">
            <w:rPr>
              <w:noProof/>
            </w:rPr>
            <w:t>R2401094</w:t>
          </w:r>
        </w:p>
      </w:tc>
      <w:tc>
        <w:tcPr>
          <w:tcW w:w="8261" w:type="dxa"/>
        </w:tcPr>
        <w:p w14:paraId="2D49E76E" w14:textId="507FDC3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850BE">
            <w:rPr>
              <w:bCs/>
            </w:rPr>
            <w:t>4</w:t>
          </w:r>
          <w:proofErr w:type="spellEnd"/>
          <w:r w:rsidRPr="00623AE3">
            <w:rPr>
              <w:bCs/>
            </w:rPr>
            <w:t>/</w:t>
          </w:r>
          <w:r w:rsidR="00457479">
            <w:rPr>
              <w:bCs/>
            </w:rPr>
            <w:t>123</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12685A"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44E72D9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4B26A3">
            <w:rPr>
              <w:bCs/>
            </w:rPr>
            <w:t>123</w:t>
          </w:r>
          <w:r w:rsidRPr="00623AE3">
            <w:rPr>
              <w:bCs/>
            </w:rPr>
            <w:t>-</w:t>
          </w:r>
          <w:r w:rsidR="009A11C2">
            <w:rPr>
              <w:bCs/>
            </w:rPr>
            <w:t>F</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BC67" w14:textId="77777777" w:rsidR="0012685A" w:rsidRDefault="0012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3834" w14:textId="77777777" w:rsidR="0012685A" w:rsidRDefault="00126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9D1F82" w14:paraId="502A3556" w14:textId="77777777" w:rsidTr="009D2A97">
      <w:trPr>
        <w:trHeight w:val="1104"/>
        <w:jc w:val="center"/>
      </w:trPr>
      <w:tc>
        <w:tcPr>
          <w:tcW w:w="4390" w:type="dxa"/>
          <w:vAlign w:val="center"/>
          <w:hideMark/>
        </w:tcPr>
        <w:p w14:paraId="192BBF5F" w14:textId="77777777" w:rsidR="009D1F82" w:rsidRDefault="009D1F82" w:rsidP="009D1F82">
          <w:pPr>
            <w:pStyle w:val="Header"/>
            <w:jc w:val="left"/>
            <w:rPr>
              <w:rFonts w:ascii="Arial" w:hAnsi="Arial" w:cs="Arial"/>
              <w:b/>
              <w:bCs/>
              <w:color w:val="009CD6"/>
              <w:sz w:val="36"/>
              <w:szCs w:val="36"/>
            </w:rPr>
          </w:pPr>
          <w:r>
            <w:rPr>
              <w:noProof/>
            </w:rPr>
            <w:drawing>
              <wp:inline distT="0" distB="0" distL="0" distR="0" wp14:anchorId="69748C0B" wp14:editId="372D64D4">
                <wp:extent cx="2102400" cy="558000"/>
                <wp:effectExtent l="0" t="0" r="0" b="0"/>
                <wp:docPr id="6" name="Picture 6"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blue letters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3E596CFE" w14:textId="77777777" w:rsidR="009D1F82" w:rsidRDefault="009D1F82" w:rsidP="009D1F82">
          <w:pPr>
            <w:pStyle w:val="Header"/>
            <w:jc w:val="right"/>
            <w:rPr>
              <w:rFonts w:ascii="Arial" w:hAnsi="Arial" w:cs="Arial"/>
              <w:b/>
              <w:bCs/>
              <w:color w:val="009CD6"/>
              <w:szCs w:val="18"/>
            </w:rPr>
          </w:pPr>
        </w:p>
        <w:p w14:paraId="07B70FB6" w14:textId="77777777" w:rsidR="009D1F82" w:rsidRDefault="009D1F82" w:rsidP="009D1F82">
          <w:pPr>
            <w:pStyle w:val="Header"/>
            <w:jc w:val="right"/>
            <w:rPr>
              <w:rFonts w:ascii="Arial" w:hAnsi="Arial" w:cs="Arial"/>
              <w:b/>
              <w:bCs/>
              <w:color w:val="009CD6"/>
              <w:szCs w:val="18"/>
            </w:rPr>
          </w:pPr>
        </w:p>
        <w:p w14:paraId="14E27EE1" w14:textId="77777777" w:rsidR="009D1F82" w:rsidRDefault="009D1F82" w:rsidP="009D1F82">
          <w:pPr>
            <w:pStyle w:val="Header"/>
            <w:jc w:val="right"/>
            <w:rPr>
              <w:rFonts w:ascii="Arial" w:hAnsi="Arial" w:cs="Arial"/>
              <w:color w:val="009CD6"/>
              <w:szCs w:val="18"/>
            </w:rPr>
          </w:pPr>
          <w:r>
            <w:rPr>
              <w:rFonts w:ascii="Arial" w:hAnsi="Arial" w:cs="Arial"/>
              <w:b/>
              <w:bCs/>
              <w:color w:val="009CD6"/>
              <w:szCs w:val="18"/>
            </w:rPr>
            <w:t xml:space="preserve"> </w:t>
          </w:r>
        </w:p>
      </w:tc>
    </w:tr>
  </w:tbl>
  <w:p w14:paraId="0D24EB89" w14:textId="4AF98F8E" w:rsidR="00AD3606" w:rsidRPr="009D1F82" w:rsidRDefault="009D1F82" w:rsidP="009D1F82">
    <w:pPr>
      <w:pStyle w:val="Header"/>
      <w:jc w:val="left"/>
    </w:pPr>
    <w:r>
      <w:rPr>
        <w:noProof/>
        <w:lang w:val="en-US"/>
      </w:rPr>
      <mc:AlternateContent>
        <mc:Choice Requires="wps">
          <w:drawing>
            <wp:anchor distT="0" distB="0" distL="114300" distR="114300" simplePos="0" relativeHeight="251659264" behindDoc="0" locked="0" layoutInCell="1" allowOverlap="1" wp14:anchorId="6381E2E5" wp14:editId="08EA48C8">
              <wp:simplePos x="0" y="0"/>
              <wp:positionH relativeFrom="column">
                <wp:posOffset>-879958</wp:posOffset>
              </wp:positionH>
              <wp:positionV relativeFrom="paragraph">
                <wp:posOffset>-560193</wp:posOffset>
              </wp:positionV>
              <wp:extent cx="92075" cy="360680"/>
              <wp:effectExtent l="0" t="0" r="3175"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13315F3" id="Rectangle 8" o:spid="_x0000_s1026" style="position:absolute;margin-left:-69.3pt;margin-top:-44.1pt;width:7.25pt;height:2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" fillcolor="#009cd5"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878C1"/>
    <w:rsid w:val="000B1705"/>
    <w:rsid w:val="000D75B2"/>
    <w:rsid w:val="001121F5"/>
    <w:rsid w:val="0012685A"/>
    <w:rsid w:val="001400DC"/>
    <w:rsid w:val="00140CE1"/>
    <w:rsid w:val="0017539C"/>
    <w:rsid w:val="00175AC2"/>
    <w:rsid w:val="0017609F"/>
    <w:rsid w:val="001A7D1D"/>
    <w:rsid w:val="001B51DD"/>
    <w:rsid w:val="001C5A8E"/>
    <w:rsid w:val="001C628E"/>
    <w:rsid w:val="001E0F7B"/>
    <w:rsid w:val="002119FD"/>
    <w:rsid w:val="002130E0"/>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04A4E"/>
    <w:rsid w:val="00416A24"/>
    <w:rsid w:val="00431D9E"/>
    <w:rsid w:val="00433CE8"/>
    <w:rsid w:val="00434A5C"/>
    <w:rsid w:val="004544D9"/>
    <w:rsid w:val="004560FC"/>
    <w:rsid w:val="00457479"/>
    <w:rsid w:val="00472BAD"/>
    <w:rsid w:val="00473E05"/>
    <w:rsid w:val="00484009"/>
    <w:rsid w:val="00490E72"/>
    <w:rsid w:val="00491157"/>
    <w:rsid w:val="004921C8"/>
    <w:rsid w:val="00495B0B"/>
    <w:rsid w:val="004A1B8B"/>
    <w:rsid w:val="004B26A3"/>
    <w:rsid w:val="004D1851"/>
    <w:rsid w:val="004D599D"/>
    <w:rsid w:val="004E2EA5"/>
    <w:rsid w:val="004E3AEB"/>
    <w:rsid w:val="0050223C"/>
    <w:rsid w:val="005243FF"/>
    <w:rsid w:val="00564FBC"/>
    <w:rsid w:val="005800BC"/>
    <w:rsid w:val="00582442"/>
    <w:rsid w:val="005F3269"/>
    <w:rsid w:val="00623AE3"/>
    <w:rsid w:val="0064737F"/>
    <w:rsid w:val="006535F1"/>
    <w:rsid w:val="0065557D"/>
    <w:rsid w:val="00660D50"/>
    <w:rsid w:val="00662984"/>
    <w:rsid w:val="006716BB"/>
    <w:rsid w:val="006850BE"/>
    <w:rsid w:val="006B1859"/>
    <w:rsid w:val="006B6680"/>
    <w:rsid w:val="006B6DCC"/>
    <w:rsid w:val="006C0FEA"/>
    <w:rsid w:val="00702DEF"/>
    <w:rsid w:val="00703E6F"/>
    <w:rsid w:val="00706861"/>
    <w:rsid w:val="00707B49"/>
    <w:rsid w:val="0075051B"/>
    <w:rsid w:val="00793188"/>
    <w:rsid w:val="00794D34"/>
    <w:rsid w:val="00813E5E"/>
    <w:rsid w:val="0083581B"/>
    <w:rsid w:val="00863874"/>
    <w:rsid w:val="00864AFF"/>
    <w:rsid w:val="00865925"/>
    <w:rsid w:val="008B4A6A"/>
    <w:rsid w:val="008C2D09"/>
    <w:rsid w:val="008C7E27"/>
    <w:rsid w:val="008F2556"/>
    <w:rsid w:val="008F7448"/>
    <w:rsid w:val="0090147A"/>
    <w:rsid w:val="009173EF"/>
    <w:rsid w:val="00932906"/>
    <w:rsid w:val="00961B0B"/>
    <w:rsid w:val="00962D33"/>
    <w:rsid w:val="009A11C2"/>
    <w:rsid w:val="009B38C3"/>
    <w:rsid w:val="009D1F82"/>
    <w:rsid w:val="009E0CCE"/>
    <w:rsid w:val="009E17BD"/>
    <w:rsid w:val="009E485A"/>
    <w:rsid w:val="00A04CEC"/>
    <w:rsid w:val="00A27F92"/>
    <w:rsid w:val="00A32257"/>
    <w:rsid w:val="00A36D20"/>
    <w:rsid w:val="00A514A4"/>
    <w:rsid w:val="00A55622"/>
    <w:rsid w:val="00A83502"/>
    <w:rsid w:val="00AD15B3"/>
    <w:rsid w:val="00AD3606"/>
    <w:rsid w:val="00AD4A3D"/>
    <w:rsid w:val="00AF6E49"/>
    <w:rsid w:val="00B04A67"/>
    <w:rsid w:val="00B0583C"/>
    <w:rsid w:val="00B10265"/>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55FE4"/>
    <w:rsid w:val="00C97B3B"/>
    <w:rsid w:val="00CA6393"/>
    <w:rsid w:val="00CB18FF"/>
    <w:rsid w:val="00CD0C08"/>
    <w:rsid w:val="00CE03FB"/>
    <w:rsid w:val="00CE433C"/>
    <w:rsid w:val="00CF0161"/>
    <w:rsid w:val="00CF33F3"/>
    <w:rsid w:val="00D06183"/>
    <w:rsid w:val="00D22C42"/>
    <w:rsid w:val="00D65041"/>
    <w:rsid w:val="00D8129A"/>
    <w:rsid w:val="00DB1936"/>
    <w:rsid w:val="00DB384B"/>
    <w:rsid w:val="00DF0189"/>
    <w:rsid w:val="00E06FD5"/>
    <w:rsid w:val="00E10E80"/>
    <w:rsid w:val="00E124F0"/>
    <w:rsid w:val="00E227F3"/>
    <w:rsid w:val="00E23618"/>
    <w:rsid w:val="00E3528B"/>
    <w:rsid w:val="00E545C6"/>
    <w:rsid w:val="00E60F04"/>
    <w:rsid w:val="00E65B24"/>
    <w:rsid w:val="00E854E4"/>
    <w:rsid w:val="00E86DBF"/>
    <w:rsid w:val="00EB0D6F"/>
    <w:rsid w:val="00EB2232"/>
    <w:rsid w:val="00EC5337"/>
    <w:rsid w:val="00EC7BB5"/>
    <w:rsid w:val="00EE49E8"/>
    <w:rsid w:val="00F16BAB"/>
    <w:rsid w:val="00F2150A"/>
    <w:rsid w:val="00F231D8"/>
    <w:rsid w:val="00F44C00"/>
    <w:rsid w:val="00F45D2C"/>
    <w:rsid w:val="00F46C5F"/>
    <w:rsid w:val="00F632C0"/>
    <w:rsid w:val="00F63667"/>
    <w:rsid w:val="00F74710"/>
    <w:rsid w:val="00F94A63"/>
    <w:rsid w:val="00FA1C28"/>
    <w:rsid w:val="00FB1279"/>
    <w:rsid w:val="00FB6B76"/>
    <w:rsid w:val="00FB7596"/>
    <w:rsid w:val="00FE4077"/>
    <w:rsid w:val="00FE500D"/>
    <w:rsid w:val="00FE77D2"/>
    <w:rsid w:val="00FF4B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8F2556"/>
    <w:rPr>
      <w:rFonts w:asciiTheme="minorHAnsi" w:hAnsiTheme="minorHAnsi" w:cstheme="minorHAnsi"/>
      <w:lang w:eastAsia="en-GB"/>
    </w:rPr>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Reasons">
    <w:name w:val="Reasons"/>
    <w:basedOn w:val="Normal"/>
    <w:qFormat/>
    <w:rsid w:val="009A11C2"/>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Resolution 1421 - Operational plan for the Union for 2025-2028</vt:lpstr>
    </vt:vector>
  </TitlesOfParts>
  <Manager/>
  <Company/>
  <LinksUpToDate>false</LinksUpToDate>
  <CharactersWithSpaces>1350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1421 - Operational plan for the Union for 2025-2028</dc:title>
  <dc:subject>2024 session of the Council</dc:subject>
  <dc:creator/>
  <cp:keywords>Council-24, C24, Council 2024</cp:keywords>
  <dc:description/>
  <cp:lastModifiedBy/>
  <cp:revision>1</cp:revision>
  <dcterms:created xsi:type="dcterms:W3CDTF">2024-06-18T08:42:00Z</dcterms:created>
  <dcterms:modified xsi:type="dcterms:W3CDTF">2024-06-27T07:54:00Z</dcterms:modified>
  <cp:category>Conference document</cp:category>
</cp:coreProperties>
</file>