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4413C90" w14:textId="77777777" w:rsidTr="00E31DCE">
        <w:trPr>
          <w:cantSplit/>
          <w:trHeight w:val="23"/>
        </w:trPr>
        <w:tc>
          <w:tcPr>
            <w:tcW w:w="3969" w:type="dxa"/>
            <w:vMerge w:val="restart"/>
            <w:tcMar>
              <w:left w:w="0" w:type="dxa"/>
            </w:tcMar>
          </w:tcPr>
          <w:p w14:paraId="64520800" w14:textId="32BB118C"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
        </w:tc>
        <w:tc>
          <w:tcPr>
            <w:tcW w:w="5245" w:type="dxa"/>
          </w:tcPr>
          <w:p w14:paraId="3A09C7C2" w14:textId="18305E77"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1125E8">
              <w:rPr>
                <w:b/>
                <w:lang w:val="fr-CH"/>
              </w:rPr>
              <w:t>122</w:t>
            </w:r>
            <w:r w:rsidRPr="00E24D59">
              <w:rPr>
                <w:b/>
                <w:lang w:val="fr-CH"/>
              </w:rPr>
              <w:t>-C</w:t>
            </w:r>
          </w:p>
        </w:tc>
      </w:tr>
      <w:tr w:rsidR="00E24D59" w:rsidRPr="00813E5E" w14:paraId="494B8673" w14:textId="77777777" w:rsidTr="00E31DCE">
        <w:trPr>
          <w:cantSplit/>
        </w:trPr>
        <w:tc>
          <w:tcPr>
            <w:tcW w:w="3969" w:type="dxa"/>
            <w:vMerge/>
          </w:tcPr>
          <w:p w14:paraId="75BD270B"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748FBCD1" w14:textId="5866CEEA"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314624">
              <w:rPr>
                <w:rFonts w:hint="eastAsia"/>
                <w:b/>
                <w:lang w:eastAsia="zh-CN"/>
              </w:rPr>
              <w:t>8</w:t>
            </w:r>
            <w:r w:rsidR="00C45EB2">
              <w:rPr>
                <w:rFonts w:hint="eastAsia"/>
                <w:b/>
                <w:lang w:eastAsia="zh-CN"/>
              </w:rPr>
              <w:t>月</w:t>
            </w:r>
            <w:r w:rsidR="00314624">
              <w:rPr>
                <w:rFonts w:hint="eastAsia"/>
                <w:b/>
                <w:lang w:eastAsia="zh-CN"/>
              </w:rPr>
              <w:t>29</w:t>
            </w:r>
            <w:r w:rsidR="00C45EB2">
              <w:rPr>
                <w:rFonts w:hint="eastAsia"/>
                <w:b/>
                <w:lang w:eastAsia="zh-CN"/>
              </w:rPr>
              <w:t>日</w:t>
            </w:r>
          </w:p>
        </w:tc>
      </w:tr>
      <w:tr w:rsidR="00E24D59" w:rsidRPr="00813E5E" w14:paraId="15778437" w14:textId="77777777" w:rsidTr="00E31DCE">
        <w:trPr>
          <w:cantSplit/>
          <w:trHeight w:val="23"/>
        </w:trPr>
        <w:tc>
          <w:tcPr>
            <w:tcW w:w="3969" w:type="dxa"/>
            <w:vMerge/>
          </w:tcPr>
          <w:p w14:paraId="7171D299"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36A93C35" w14:textId="1050468A"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1125E8">
              <w:rPr>
                <w:rFonts w:cstheme="minorHAnsi" w:hint="eastAsia"/>
                <w:b/>
                <w:bCs/>
                <w:lang w:val="ru-RU" w:eastAsia="zh-CN"/>
              </w:rPr>
              <w:t>英文</w:t>
            </w:r>
          </w:p>
        </w:tc>
      </w:tr>
      <w:tr w:rsidR="00E24D59" w:rsidRPr="00813E5E" w14:paraId="1936FBF9" w14:textId="77777777" w:rsidTr="00E31DCE">
        <w:trPr>
          <w:cantSplit/>
          <w:trHeight w:val="23"/>
        </w:trPr>
        <w:tc>
          <w:tcPr>
            <w:tcW w:w="3969" w:type="dxa"/>
          </w:tcPr>
          <w:p w14:paraId="2517E5FC" w14:textId="77777777" w:rsidR="00E24D59" w:rsidRPr="00813E5E" w:rsidRDefault="00E24D59" w:rsidP="00E31DCE">
            <w:pPr>
              <w:tabs>
                <w:tab w:val="left" w:pos="851"/>
              </w:tabs>
              <w:spacing w:line="240" w:lineRule="atLeast"/>
              <w:rPr>
                <w:b/>
              </w:rPr>
            </w:pPr>
          </w:p>
        </w:tc>
        <w:tc>
          <w:tcPr>
            <w:tcW w:w="5245" w:type="dxa"/>
          </w:tcPr>
          <w:p w14:paraId="20DEAA46" w14:textId="77777777" w:rsidR="00E24D59" w:rsidRDefault="00E24D59" w:rsidP="00E31DCE">
            <w:pPr>
              <w:tabs>
                <w:tab w:val="left" w:pos="851"/>
              </w:tabs>
              <w:spacing w:before="0" w:line="240" w:lineRule="atLeast"/>
              <w:jc w:val="right"/>
              <w:rPr>
                <w:b/>
              </w:rPr>
            </w:pPr>
          </w:p>
        </w:tc>
      </w:tr>
      <w:bookmarkEnd w:id="2"/>
      <w:bookmarkEnd w:id="4"/>
      <w:tr w:rsidR="001125E8" w:rsidRPr="00813E5E" w14:paraId="79164C6A" w14:textId="77777777" w:rsidTr="00EF7951">
        <w:trPr>
          <w:cantSplit/>
          <w:trHeight w:val="23"/>
        </w:trPr>
        <w:tc>
          <w:tcPr>
            <w:tcW w:w="9214" w:type="dxa"/>
            <w:gridSpan w:val="2"/>
          </w:tcPr>
          <w:p w14:paraId="406EE364" w14:textId="1D9D5D87" w:rsidR="001125E8" w:rsidRPr="0045094D" w:rsidRDefault="001125E8" w:rsidP="001125E8">
            <w:pPr>
              <w:overflowPunct/>
              <w:autoSpaceDE/>
              <w:autoSpaceDN/>
              <w:adjustRightInd/>
              <w:spacing w:before="240" w:after="240"/>
              <w:jc w:val="center"/>
              <w:textAlignment w:val="auto"/>
              <w:rPr>
                <w:b/>
                <w:bCs/>
                <w:sz w:val="28"/>
                <w:szCs w:val="28"/>
                <w:lang w:eastAsia="zh-CN"/>
              </w:rPr>
            </w:pPr>
            <w:r w:rsidRPr="0045094D">
              <w:rPr>
                <w:b/>
                <w:bCs/>
                <w:sz w:val="28"/>
                <w:szCs w:val="28"/>
                <w:lang w:val="zh-CN" w:eastAsia="zh-CN"/>
              </w:rPr>
              <w:t>第十二次暨最后一次全体会议的</w:t>
            </w:r>
            <w:r w:rsidRPr="0045094D">
              <w:rPr>
                <w:b/>
                <w:bCs/>
                <w:sz w:val="28"/>
                <w:szCs w:val="28"/>
                <w:lang w:eastAsia="zh-CN"/>
              </w:rPr>
              <w:br/>
            </w:r>
            <w:r w:rsidRPr="0045094D">
              <w:rPr>
                <w:b/>
                <w:bCs/>
                <w:sz w:val="28"/>
                <w:szCs w:val="28"/>
                <w:lang w:val="zh-CN" w:eastAsia="zh-CN"/>
              </w:rPr>
              <w:t>摘要记录</w:t>
            </w:r>
          </w:p>
        </w:tc>
      </w:tr>
      <w:tr w:rsidR="001125E8" w:rsidRPr="00813E5E" w14:paraId="1D5C336A" w14:textId="77777777" w:rsidTr="00EF7951">
        <w:trPr>
          <w:cantSplit/>
          <w:trHeight w:val="23"/>
        </w:trPr>
        <w:tc>
          <w:tcPr>
            <w:tcW w:w="9214" w:type="dxa"/>
            <w:gridSpan w:val="2"/>
          </w:tcPr>
          <w:p w14:paraId="677E7D96" w14:textId="77777777" w:rsidR="001125E8" w:rsidRPr="007244B9" w:rsidRDefault="001125E8" w:rsidP="00EF7951">
            <w:pPr>
              <w:overflowPunct/>
              <w:autoSpaceDE/>
              <w:autoSpaceDN/>
              <w:adjustRightInd/>
              <w:spacing w:after="240"/>
              <w:jc w:val="center"/>
              <w:textAlignment w:val="auto"/>
            </w:pPr>
            <w:r w:rsidRPr="001F1F75">
              <w:t>2024</w:t>
            </w:r>
            <w:r>
              <w:rPr>
                <w:lang w:val="zh-CN"/>
              </w:rPr>
              <w:t>年</w:t>
            </w:r>
            <w:r w:rsidRPr="001F1F75">
              <w:t>6</w:t>
            </w:r>
            <w:r>
              <w:rPr>
                <w:lang w:val="zh-CN"/>
              </w:rPr>
              <w:t>月</w:t>
            </w:r>
            <w:r w:rsidRPr="001F1F75">
              <w:t>14</w:t>
            </w:r>
            <w:proofErr w:type="spellStart"/>
            <w:r>
              <w:rPr>
                <w:lang w:val="zh-CN"/>
              </w:rPr>
              <w:t>日</w:t>
            </w:r>
            <w:r w:rsidRPr="001F1F75">
              <w:t>（</w:t>
            </w:r>
            <w:r>
              <w:rPr>
                <w:lang w:val="zh-CN"/>
              </w:rPr>
              <w:t>星期五</w:t>
            </w:r>
            <w:proofErr w:type="spellEnd"/>
            <w:r w:rsidRPr="001F1F75">
              <w:t>），</w:t>
            </w:r>
            <w:r w:rsidRPr="001F1F75">
              <w:t>14</w:t>
            </w:r>
            <w:r>
              <w:t>:</w:t>
            </w:r>
            <w:r w:rsidRPr="001F1F75">
              <w:t>30-16</w:t>
            </w:r>
            <w:r>
              <w:t>:</w:t>
            </w:r>
            <w:r w:rsidRPr="001F1F75">
              <w:t>00</w:t>
            </w:r>
          </w:p>
          <w:p w14:paraId="7AA4BFBA" w14:textId="06E24AB1" w:rsidR="001125E8" w:rsidRDefault="001125E8" w:rsidP="00EF7951">
            <w:pPr>
              <w:tabs>
                <w:tab w:val="left" w:pos="851"/>
              </w:tabs>
              <w:spacing w:after="240" w:line="240" w:lineRule="atLeast"/>
              <w:jc w:val="center"/>
              <w:rPr>
                <w:b/>
              </w:rPr>
            </w:pPr>
            <w:proofErr w:type="spellStart"/>
            <w:r w:rsidRPr="001F1F75">
              <w:rPr>
                <w:rFonts w:hint="eastAsia"/>
                <w:b/>
                <w:bCs/>
              </w:rPr>
              <w:t>主席</w:t>
            </w:r>
            <w:proofErr w:type="spellEnd"/>
            <w:r w:rsidRPr="001F1F75">
              <w:rPr>
                <w:rFonts w:hint="eastAsia"/>
                <w:b/>
                <w:bCs/>
              </w:rPr>
              <w:t>：</w:t>
            </w:r>
            <w:r w:rsidRPr="007244B9">
              <w:t>F. SAUVAGE</w:t>
            </w:r>
            <w:proofErr w:type="spellStart"/>
            <w:r>
              <w:rPr>
                <w:lang w:val="zh-CN"/>
              </w:rPr>
              <w:t>先生（法国</w:t>
            </w:r>
            <w:proofErr w:type="spellEnd"/>
            <w:r>
              <w:rPr>
                <w:lang w:val="zh-CN"/>
              </w:rPr>
              <w:t>）</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1125E8" w14:paraId="3B1665DA" w14:textId="77777777" w:rsidTr="00EF7951">
        <w:tc>
          <w:tcPr>
            <w:tcW w:w="242" w:type="pct"/>
          </w:tcPr>
          <w:p w14:paraId="752D3243" w14:textId="77777777" w:rsidR="001125E8" w:rsidRPr="003A3BDC" w:rsidRDefault="001125E8" w:rsidP="0045094D">
            <w:pPr>
              <w:spacing w:before="360" w:after="120"/>
              <w:rPr>
                <w:b/>
                <w:bCs/>
                <w:szCs w:val="24"/>
                <w:lang w:val="en-CA"/>
              </w:rPr>
            </w:pPr>
            <w:bookmarkStart w:id="5" w:name="_Hlk141438382"/>
            <w:r w:rsidRPr="003A3BDC">
              <w:rPr>
                <w:b/>
                <w:bCs/>
                <w:szCs w:val="24"/>
                <w:lang w:val="en-CA"/>
              </w:rPr>
              <w:br w:type="page"/>
            </w:r>
            <w:r w:rsidRPr="003A3BDC">
              <w:rPr>
                <w:b/>
                <w:bCs/>
                <w:szCs w:val="24"/>
                <w:lang w:val="en-CA"/>
              </w:rPr>
              <w:br w:type="page"/>
            </w:r>
          </w:p>
        </w:tc>
        <w:tc>
          <w:tcPr>
            <w:tcW w:w="3580" w:type="pct"/>
            <w:hideMark/>
          </w:tcPr>
          <w:p w14:paraId="61EE1C7D" w14:textId="77777777" w:rsidR="001125E8" w:rsidRPr="003A3BDC" w:rsidRDefault="001125E8" w:rsidP="0045094D">
            <w:pPr>
              <w:spacing w:before="360" w:after="120"/>
              <w:rPr>
                <w:b/>
                <w:bCs/>
                <w:szCs w:val="24"/>
              </w:rPr>
            </w:pPr>
            <w:proofErr w:type="spellStart"/>
            <w:r>
              <w:rPr>
                <w:b/>
                <w:bCs/>
                <w:lang w:val="zh-CN"/>
              </w:rPr>
              <w:t>讨论的议题</w:t>
            </w:r>
            <w:proofErr w:type="spellEnd"/>
          </w:p>
        </w:tc>
        <w:tc>
          <w:tcPr>
            <w:tcW w:w="1178" w:type="pct"/>
            <w:hideMark/>
          </w:tcPr>
          <w:p w14:paraId="06C7D3D6" w14:textId="77777777" w:rsidR="001125E8" w:rsidRPr="003A3BDC" w:rsidRDefault="001125E8" w:rsidP="0045094D">
            <w:pPr>
              <w:spacing w:before="360" w:after="120"/>
              <w:jc w:val="center"/>
              <w:rPr>
                <w:b/>
                <w:bCs/>
                <w:szCs w:val="24"/>
              </w:rPr>
            </w:pPr>
            <w:proofErr w:type="spellStart"/>
            <w:r>
              <w:rPr>
                <w:b/>
                <w:bCs/>
                <w:lang w:val="zh-CN"/>
              </w:rPr>
              <w:t>文件</w:t>
            </w:r>
            <w:proofErr w:type="spellEnd"/>
          </w:p>
        </w:tc>
      </w:tr>
      <w:tr w:rsidR="00F4638C" w:rsidRPr="003A3BDC" w14:paraId="12C5AE0E" w14:textId="77777777" w:rsidTr="00EF7951">
        <w:trPr>
          <w:trHeight w:val="20"/>
        </w:trPr>
        <w:tc>
          <w:tcPr>
            <w:tcW w:w="242" w:type="pct"/>
            <w:hideMark/>
          </w:tcPr>
          <w:p w14:paraId="654E1D02" w14:textId="77777777" w:rsidR="00F4638C" w:rsidRPr="00CF2CF9" w:rsidRDefault="00F4638C" w:rsidP="00F4638C">
            <w:pPr>
              <w:spacing w:before="80" w:after="80"/>
              <w:rPr>
                <w:sz w:val="22"/>
                <w:szCs w:val="22"/>
              </w:rPr>
            </w:pPr>
            <w:r w:rsidRPr="00CF2CF9">
              <w:rPr>
                <w:sz w:val="22"/>
                <w:szCs w:val="22"/>
                <w:lang w:val="zh-CN"/>
              </w:rPr>
              <w:t>1</w:t>
            </w:r>
          </w:p>
        </w:tc>
        <w:tc>
          <w:tcPr>
            <w:tcW w:w="3580" w:type="pct"/>
          </w:tcPr>
          <w:p w14:paraId="00BBB424" w14:textId="77777777" w:rsidR="00F4638C" w:rsidRPr="00CF2CF9" w:rsidRDefault="00F4638C" w:rsidP="00F4638C">
            <w:pPr>
              <w:spacing w:before="80" w:after="80"/>
              <w:rPr>
                <w:sz w:val="22"/>
                <w:szCs w:val="22"/>
                <w:lang w:eastAsia="zh-CN"/>
              </w:rPr>
            </w:pPr>
            <w:bookmarkStart w:id="6" w:name="_Hlk169783802"/>
            <w:r w:rsidRPr="00CF2CF9">
              <w:rPr>
                <w:rFonts w:hint="eastAsia"/>
                <w:sz w:val="22"/>
                <w:szCs w:val="22"/>
                <w:lang w:val="zh-CN" w:eastAsia="zh-CN"/>
              </w:rPr>
              <w:t>绿色数字化转型：</w:t>
            </w:r>
            <w:r w:rsidRPr="00CF2CF9">
              <w:rPr>
                <w:sz w:val="22"/>
                <w:szCs w:val="22"/>
                <w:lang w:val="zh-CN" w:eastAsia="zh-CN"/>
              </w:rPr>
              <w:t>国际电联有关气候变化和环境可持续性的活动（续）</w:t>
            </w:r>
            <w:bookmarkEnd w:id="6"/>
          </w:p>
        </w:tc>
        <w:tc>
          <w:tcPr>
            <w:tcW w:w="1178" w:type="pct"/>
          </w:tcPr>
          <w:p w14:paraId="3BFA7776" w14:textId="7B1244B2" w:rsidR="00F4638C" w:rsidRPr="00CF2CF9" w:rsidRDefault="005D73FD" w:rsidP="00F4638C">
            <w:pPr>
              <w:spacing w:before="80" w:after="80"/>
              <w:jc w:val="center"/>
              <w:rPr>
                <w:sz w:val="22"/>
                <w:szCs w:val="22"/>
              </w:rPr>
            </w:pPr>
            <w:hyperlink r:id="rId8" w:history="1">
              <w:r w:rsidR="00F4638C" w:rsidRPr="00CF2CF9">
                <w:rPr>
                  <w:rStyle w:val="Hyperlink"/>
                  <w:sz w:val="22"/>
                  <w:szCs w:val="22"/>
                  <w:lang w:val="en-CA"/>
                </w:rPr>
                <w:t>C24/72</w:t>
              </w:r>
            </w:hyperlink>
            <w:r w:rsidR="00F4638C" w:rsidRPr="00CF2CF9">
              <w:rPr>
                <w:rFonts w:hint="eastAsia"/>
                <w:sz w:val="22"/>
                <w:szCs w:val="22"/>
                <w:lang w:val="en-CA" w:eastAsia="zh-CN"/>
              </w:rPr>
              <w:t>、</w:t>
            </w:r>
            <w:r w:rsidR="00314624">
              <w:fldChar w:fldCharType="begin"/>
            </w:r>
            <w:r w:rsidR="00314624">
              <w:instrText>HYPERLINK "https://www.itu.int/md/S24-CL-C-0088/en" \h</w:instrText>
            </w:r>
            <w:r w:rsidR="00314624">
              <w:fldChar w:fldCharType="separate"/>
            </w:r>
            <w:r w:rsidR="00F4638C" w:rsidRPr="00CF2CF9">
              <w:rPr>
                <w:rStyle w:val="Hyperlink"/>
                <w:sz w:val="22"/>
                <w:szCs w:val="22"/>
                <w:lang w:val="en-CA"/>
              </w:rPr>
              <w:t>C24/88</w:t>
            </w:r>
            <w:r w:rsidR="00314624">
              <w:rPr>
                <w:rStyle w:val="Hyperlink"/>
                <w:sz w:val="22"/>
                <w:szCs w:val="22"/>
                <w:lang w:val="en-CA"/>
              </w:rPr>
              <w:fldChar w:fldCharType="end"/>
            </w:r>
            <w:r w:rsidR="00CF2CF9">
              <w:rPr>
                <w:rFonts w:hint="eastAsia"/>
                <w:sz w:val="22"/>
                <w:szCs w:val="22"/>
                <w:lang w:val="en-CA" w:eastAsia="zh-CN"/>
              </w:rPr>
              <w:t>、</w:t>
            </w:r>
            <w:r w:rsidR="00314624">
              <w:fldChar w:fldCharType="begin"/>
            </w:r>
            <w:r w:rsidR="00314624">
              <w:instrText>HYPERLINK "https://www.itu.int/md/S24-CL-240604-TD-0011/en" \h</w:instrText>
            </w:r>
            <w:r w:rsidR="00314624">
              <w:fldChar w:fldCharType="separate"/>
            </w:r>
            <w:r w:rsidR="00F4638C" w:rsidRPr="00CF2CF9">
              <w:rPr>
                <w:rStyle w:val="Hyperlink"/>
                <w:sz w:val="22"/>
                <w:szCs w:val="22"/>
                <w:lang w:val="en-CA"/>
              </w:rPr>
              <w:t>C24/DT/11</w:t>
            </w:r>
            <w:r w:rsidR="00314624">
              <w:rPr>
                <w:rStyle w:val="Hyperlink"/>
                <w:sz w:val="22"/>
                <w:szCs w:val="22"/>
                <w:lang w:val="en-CA"/>
              </w:rPr>
              <w:fldChar w:fldCharType="end"/>
            </w:r>
          </w:p>
        </w:tc>
      </w:tr>
      <w:tr w:rsidR="00F4638C" w:rsidRPr="003A3BDC" w14:paraId="4BAFB5DA" w14:textId="77777777" w:rsidTr="00EF7951">
        <w:trPr>
          <w:trHeight w:val="20"/>
        </w:trPr>
        <w:tc>
          <w:tcPr>
            <w:tcW w:w="242" w:type="pct"/>
          </w:tcPr>
          <w:p w14:paraId="44B31944" w14:textId="77777777" w:rsidR="00F4638C" w:rsidRPr="00CF2CF9" w:rsidRDefault="00F4638C" w:rsidP="00F4638C">
            <w:pPr>
              <w:spacing w:before="80" w:after="80"/>
              <w:rPr>
                <w:sz w:val="22"/>
                <w:szCs w:val="22"/>
              </w:rPr>
            </w:pPr>
            <w:r w:rsidRPr="00CF2CF9">
              <w:rPr>
                <w:sz w:val="22"/>
                <w:szCs w:val="22"/>
                <w:lang w:val="zh-CN"/>
              </w:rPr>
              <w:t>2</w:t>
            </w:r>
          </w:p>
        </w:tc>
        <w:tc>
          <w:tcPr>
            <w:tcW w:w="3580" w:type="pct"/>
          </w:tcPr>
          <w:p w14:paraId="25DD18CD" w14:textId="77777777" w:rsidR="00F4638C" w:rsidRPr="00CF2CF9" w:rsidRDefault="00F4638C" w:rsidP="00F4638C">
            <w:pPr>
              <w:spacing w:before="80" w:after="80"/>
              <w:rPr>
                <w:rFonts w:asciiTheme="minorHAnsi" w:hAnsiTheme="minorHAnsi" w:cstheme="minorHAnsi"/>
                <w:color w:val="2F2F2F"/>
                <w:sz w:val="22"/>
                <w:szCs w:val="22"/>
                <w:shd w:val="clear" w:color="auto" w:fill="FFFFFF"/>
                <w:lang w:eastAsia="zh-CN"/>
              </w:rPr>
            </w:pPr>
            <w:r w:rsidRPr="00CF2CF9">
              <w:rPr>
                <w:sz w:val="22"/>
                <w:szCs w:val="22"/>
                <w:lang w:val="zh-CN" w:eastAsia="zh-CN"/>
              </w:rPr>
              <w:t>国际电联</w:t>
            </w:r>
            <w:r w:rsidRPr="00CF2CF9">
              <w:rPr>
                <w:sz w:val="22"/>
                <w:szCs w:val="22"/>
                <w:lang w:val="zh-CN" w:eastAsia="zh-CN"/>
              </w:rPr>
              <w:t>2025</w:t>
            </w:r>
            <w:r w:rsidRPr="00CF2CF9">
              <w:rPr>
                <w:sz w:val="22"/>
                <w:szCs w:val="22"/>
                <w:lang w:val="zh-CN" w:eastAsia="zh-CN"/>
              </w:rPr>
              <w:t>、</w:t>
            </w:r>
            <w:r w:rsidRPr="00CF2CF9">
              <w:rPr>
                <w:sz w:val="22"/>
                <w:szCs w:val="22"/>
                <w:lang w:val="zh-CN" w:eastAsia="zh-CN"/>
              </w:rPr>
              <w:t>2026</w:t>
            </w:r>
            <w:r w:rsidRPr="00CF2CF9">
              <w:rPr>
                <w:sz w:val="22"/>
                <w:szCs w:val="22"/>
                <w:lang w:val="zh-CN" w:eastAsia="zh-CN"/>
              </w:rPr>
              <w:t>和</w:t>
            </w:r>
            <w:r w:rsidRPr="00CF2CF9">
              <w:rPr>
                <w:sz w:val="22"/>
                <w:szCs w:val="22"/>
                <w:lang w:val="zh-CN" w:eastAsia="zh-CN"/>
              </w:rPr>
              <w:t>2027</w:t>
            </w:r>
            <w:r w:rsidRPr="00CF2CF9">
              <w:rPr>
                <w:sz w:val="22"/>
                <w:szCs w:val="22"/>
                <w:lang w:val="zh-CN" w:eastAsia="zh-CN"/>
              </w:rPr>
              <w:t>年理事会</w:t>
            </w:r>
            <w:r w:rsidRPr="00CF2CF9">
              <w:rPr>
                <w:rFonts w:hint="eastAsia"/>
                <w:sz w:val="22"/>
                <w:szCs w:val="22"/>
                <w:lang w:val="zh-CN" w:eastAsia="zh-CN"/>
              </w:rPr>
              <w:t>会议</w:t>
            </w:r>
            <w:r w:rsidRPr="00CF2CF9">
              <w:rPr>
                <w:sz w:val="22"/>
                <w:szCs w:val="22"/>
                <w:lang w:val="zh-CN" w:eastAsia="zh-CN"/>
              </w:rPr>
              <w:t>和理事会工作组</w:t>
            </w:r>
            <w:r w:rsidRPr="00CF2CF9">
              <w:rPr>
                <w:rFonts w:hint="eastAsia"/>
                <w:sz w:val="22"/>
                <w:szCs w:val="22"/>
                <w:lang w:val="zh-CN" w:eastAsia="zh-CN"/>
              </w:rPr>
              <w:t>集中</w:t>
            </w:r>
            <w:r w:rsidRPr="00CF2CF9">
              <w:rPr>
                <w:sz w:val="22"/>
                <w:szCs w:val="22"/>
                <w:lang w:val="zh-CN" w:eastAsia="zh-CN"/>
              </w:rPr>
              <w:t>会议的日期和会期（续）</w:t>
            </w:r>
          </w:p>
        </w:tc>
        <w:tc>
          <w:tcPr>
            <w:tcW w:w="1178" w:type="pct"/>
          </w:tcPr>
          <w:p w14:paraId="2E0D34CF" w14:textId="3E26562D" w:rsidR="00F4638C" w:rsidRPr="00CF2CF9" w:rsidRDefault="005D73FD" w:rsidP="00F4638C">
            <w:pPr>
              <w:spacing w:before="80" w:after="80"/>
              <w:jc w:val="center"/>
              <w:rPr>
                <w:sz w:val="22"/>
                <w:szCs w:val="22"/>
              </w:rPr>
            </w:pPr>
            <w:hyperlink r:id="rId9" w:history="1">
              <w:r w:rsidR="00F4638C" w:rsidRPr="00CF2CF9">
                <w:rPr>
                  <w:rStyle w:val="Hyperlink"/>
                  <w:sz w:val="22"/>
                  <w:szCs w:val="22"/>
                  <w:lang w:val="en-CA"/>
                </w:rPr>
                <w:t>C24/2</w:t>
              </w:r>
            </w:hyperlink>
            <w:r w:rsidR="00F4638C" w:rsidRPr="00CF2CF9">
              <w:rPr>
                <w:rFonts w:hint="eastAsia"/>
                <w:sz w:val="22"/>
                <w:szCs w:val="22"/>
                <w:lang w:val="en-CA" w:eastAsia="zh-CN"/>
              </w:rPr>
              <w:t>、</w:t>
            </w:r>
            <w:r w:rsidR="00314624">
              <w:fldChar w:fldCharType="begin"/>
            </w:r>
            <w:r w:rsidR="00314624">
              <w:instrText>HYPERLINK "https://www.itu.int/md/S24-CL-240604-TD-0013/en"</w:instrText>
            </w:r>
            <w:r w:rsidR="00314624">
              <w:fldChar w:fldCharType="separate"/>
            </w:r>
            <w:r w:rsidR="00F4638C" w:rsidRPr="00CF2CF9">
              <w:rPr>
                <w:rStyle w:val="Hyperlink"/>
                <w:sz w:val="22"/>
                <w:szCs w:val="22"/>
                <w:lang w:val="en-CA"/>
              </w:rPr>
              <w:t>C24/DT/13</w:t>
            </w:r>
            <w:r w:rsidR="00314624">
              <w:rPr>
                <w:rStyle w:val="Hyperlink"/>
                <w:sz w:val="22"/>
                <w:szCs w:val="22"/>
                <w:lang w:val="en-CA"/>
              </w:rPr>
              <w:fldChar w:fldCharType="end"/>
            </w:r>
          </w:p>
        </w:tc>
      </w:tr>
      <w:tr w:rsidR="00F4638C" w:rsidRPr="003A3BDC" w14:paraId="69F77EEB" w14:textId="77777777" w:rsidTr="00EF7951">
        <w:trPr>
          <w:trHeight w:val="20"/>
        </w:trPr>
        <w:tc>
          <w:tcPr>
            <w:tcW w:w="242" w:type="pct"/>
          </w:tcPr>
          <w:p w14:paraId="2EE03F11" w14:textId="77777777" w:rsidR="00F4638C" w:rsidRPr="00CF2CF9" w:rsidRDefault="00F4638C" w:rsidP="00F4638C">
            <w:pPr>
              <w:spacing w:before="80" w:after="80"/>
              <w:rPr>
                <w:sz w:val="22"/>
                <w:szCs w:val="22"/>
              </w:rPr>
            </w:pPr>
            <w:r w:rsidRPr="00CF2CF9">
              <w:rPr>
                <w:sz w:val="22"/>
                <w:szCs w:val="22"/>
                <w:lang w:val="zh-CN"/>
              </w:rPr>
              <w:t>3</w:t>
            </w:r>
          </w:p>
        </w:tc>
        <w:tc>
          <w:tcPr>
            <w:tcW w:w="3580" w:type="pct"/>
          </w:tcPr>
          <w:p w14:paraId="6BE044F7" w14:textId="77777777" w:rsidR="00F4638C" w:rsidRPr="00CF2CF9" w:rsidRDefault="00F4638C" w:rsidP="00F4638C">
            <w:pPr>
              <w:spacing w:before="80" w:after="80"/>
              <w:rPr>
                <w:rFonts w:asciiTheme="minorHAnsi" w:hAnsiTheme="minorHAnsi" w:cstheme="minorHAnsi"/>
                <w:color w:val="2F2F2F"/>
                <w:sz w:val="22"/>
                <w:szCs w:val="22"/>
                <w:shd w:val="clear" w:color="auto" w:fill="FFFFFF"/>
                <w:lang w:eastAsia="zh-CN"/>
              </w:rPr>
            </w:pPr>
            <w:r w:rsidRPr="00CF2CF9">
              <w:rPr>
                <w:sz w:val="22"/>
                <w:szCs w:val="22"/>
                <w:lang w:val="zh-CN" w:eastAsia="zh-CN"/>
              </w:rPr>
              <w:t>理事会工作组和专家组的正副主席名单（续）</w:t>
            </w:r>
          </w:p>
        </w:tc>
        <w:tc>
          <w:tcPr>
            <w:tcW w:w="1178" w:type="pct"/>
          </w:tcPr>
          <w:p w14:paraId="15C2B71D" w14:textId="57928371" w:rsidR="00F4638C" w:rsidRPr="00CF2CF9" w:rsidRDefault="005D73FD" w:rsidP="00F4638C">
            <w:pPr>
              <w:spacing w:before="80" w:after="80"/>
              <w:jc w:val="center"/>
              <w:rPr>
                <w:sz w:val="22"/>
                <w:szCs w:val="22"/>
              </w:rPr>
            </w:pPr>
            <w:hyperlink r:id="rId10" w:history="1">
              <w:r w:rsidR="00F4638C" w:rsidRPr="00CF2CF9">
                <w:rPr>
                  <w:rStyle w:val="Hyperlink"/>
                  <w:sz w:val="22"/>
                  <w:szCs w:val="22"/>
                  <w:lang w:val="en-CA"/>
                </w:rPr>
                <w:t>C24/21(Rev.5)</w:t>
              </w:r>
            </w:hyperlink>
          </w:p>
        </w:tc>
      </w:tr>
      <w:tr w:rsidR="001125E8" w:rsidRPr="003A3BDC" w14:paraId="18C0E14C" w14:textId="77777777" w:rsidTr="00EF7951">
        <w:trPr>
          <w:trHeight w:val="20"/>
        </w:trPr>
        <w:tc>
          <w:tcPr>
            <w:tcW w:w="242" w:type="pct"/>
          </w:tcPr>
          <w:p w14:paraId="56CCDDBA" w14:textId="77777777" w:rsidR="001125E8" w:rsidRPr="00CF2CF9" w:rsidRDefault="001125E8" w:rsidP="00EF7951">
            <w:pPr>
              <w:spacing w:before="80" w:after="80"/>
              <w:rPr>
                <w:sz w:val="22"/>
                <w:szCs w:val="22"/>
              </w:rPr>
            </w:pPr>
            <w:r w:rsidRPr="00CF2CF9">
              <w:rPr>
                <w:sz w:val="22"/>
                <w:szCs w:val="22"/>
                <w:lang w:val="zh-CN"/>
              </w:rPr>
              <w:t>4</w:t>
            </w:r>
          </w:p>
        </w:tc>
        <w:tc>
          <w:tcPr>
            <w:tcW w:w="3580" w:type="pct"/>
          </w:tcPr>
          <w:p w14:paraId="0C63190B" w14:textId="77777777" w:rsidR="001125E8" w:rsidRPr="00CF2CF9" w:rsidRDefault="001125E8" w:rsidP="00EF7951">
            <w:pPr>
              <w:spacing w:before="80" w:after="80"/>
              <w:rPr>
                <w:sz w:val="22"/>
                <w:szCs w:val="22"/>
              </w:rPr>
            </w:pPr>
            <w:proofErr w:type="spellStart"/>
            <w:r w:rsidRPr="00CF2CF9">
              <w:rPr>
                <w:sz w:val="22"/>
                <w:szCs w:val="22"/>
                <w:lang w:val="zh-CN"/>
              </w:rPr>
              <w:t>理事会会议闭幕</w:t>
            </w:r>
            <w:proofErr w:type="spellEnd"/>
          </w:p>
        </w:tc>
        <w:tc>
          <w:tcPr>
            <w:tcW w:w="1178" w:type="pct"/>
          </w:tcPr>
          <w:p w14:paraId="50C460C2" w14:textId="77777777" w:rsidR="001125E8" w:rsidRPr="003A3BDC" w:rsidRDefault="001125E8" w:rsidP="00EF7951">
            <w:pPr>
              <w:spacing w:before="80" w:after="80"/>
              <w:jc w:val="center"/>
              <w:rPr>
                <w:sz w:val="22"/>
                <w:szCs w:val="22"/>
                <w:lang w:val="en-CA"/>
              </w:rPr>
            </w:pPr>
            <w:r w:rsidRPr="003A3BDC">
              <w:rPr>
                <w:sz w:val="22"/>
                <w:szCs w:val="22"/>
                <w:lang w:val="en-CA"/>
              </w:rPr>
              <w:t>-</w:t>
            </w:r>
          </w:p>
        </w:tc>
      </w:tr>
      <w:bookmarkEnd w:id="5"/>
    </w:tbl>
    <w:p w14:paraId="4673BD7A" w14:textId="77777777" w:rsidR="00E24D59" w:rsidRDefault="00E24D59">
      <w:pPr>
        <w:tabs>
          <w:tab w:val="clear" w:pos="794"/>
          <w:tab w:val="clear" w:pos="1191"/>
          <w:tab w:val="clear" w:pos="1588"/>
          <w:tab w:val="clear" w:pos="1985"/>
        </w:tabs>
        <w:overflowPunct/>
        <w:autoSpaceDE/>
        <w:autoSpaceDN/>
        <w:adjustRightInd/>
        <w:spacing w:before="0"/>
        <w:textAlignment w:val="auto"/>
      </w:pPr>
    </w:p>
    <w:p w14:paraId="6138C251" w14:textId="77777777" w:rsidR="00E24D59" w:rsidRDefault="00E24D59">
      <w:pPr>
        <w:tabs>
          <w:tab w:val="clear" w:pos="794"/>
          <w:tab w:val="clear" w:pos="1191"/>
          <w:tab w:val="clear" w:pos="1588"/>
          <w:tab w:val="clear" w:pos="1985"/>
        </w:tabs>
        <w:overflowPunct/>
        <w:autoSpaceDE/>
        <w:autoSpaceDN/>
        <w:adjustRightInd/>
        <w:spacing w:before="0"/>
        <w:textAlignment w:val="auto"/>
      </w:pPr>
      <w:r>
        <w:br w:type="page"/>
      </w:r>
    </w:p>
    <w:p w14:paraId="708DCA86" w14:textId="38E3A79B" w:rsidR="001125E8" w:rsidRPr="00365D05" w:rsidRDefault="001125E8" w:rsidP="001125E8">
      <w:pPr>
        <w:pStyle w:val="Heading1"/>
        <w:rPr>
          <w:rFonts w:asciiTheme="minorHAnsi" w:eastAsiaTheme="majorEastAsia" w:hAnsiTheme="minorHAnsi" w:cstheme="minorHAnsi"/>
          <w:bCs/>
          <w:kern w:val="2"/>
          <w:szCs w:val="28"/>
          <w:lang w:eastAsia="zh-CN"/>
          <w14:ligatures w14:val="standardContextual"/>
        </w:rPr>
      </w:pPr>
      <w:r w:rsidRPr="00365D05">
        <w:rPr>
          <w:rFonts w:asciiTheme="minorHAnsi" w:hAnsiTheme="minorHAnsi" w:cstheme="minorHAnsi"/>
          <w:bCs/>
          <w:szCs w:val="28"/>
          <w:lang w:val="zh-CN" w:eastAsia="zh-CN"/>
        </w:rPr>
        <w:lastRenderedPageBreak/>
        <w:t>1</w:t>
      </w:r>
      <w:r w:rsidRPr="00365D05">
        <w:rPr>
          <w:rFonts w:asciiTheme="minorHAnsi" w:hAnsiTheme="minorHAnsi" w:cstheme="minorHAnsi"/>
          <w:bCs/>
          <w:szCs w:val="28"/>
          <w:lang w:val="zh-CN" w:eastAsia="zh-CN"/>
        </w:rPr>
        <w:tab/>
      </w:r>
      <w:r w:rsidRPr="00365D05">
        <w:rPr>
          <w:rFonts w:asciiTheme="minorHAnsi" w:eastAsiaTheme="majorEastAsia" w:hAnsiTheme="minorHAnsi" w:cstheme="minorHAnsi"/>
          <w:bCs/>
          <w:szCs w:val="28"/>
          <w:lang w:val="zh-CN" w:eastAsia="zh-CN"/>
        </w:rPr>
        <w:t>绿色数字化转型：国际电联有关气候变化和环境可持续性的活动（续）（</w:t>
      </w:r>
      <w:hyperlink r:id="rId11" w:history="1">
        <w:r w:rsidRPr="00365D05">
          <w:rPr>
            <w:rStyle w:val="Hyperlink"/>
            <w:rFonts w:asciiTheme="minorHAnsi" w:eastAsiaTheme="majorEastAsia" w:hAnsiTheme="minorHAnsi" w:cstheme="minorHAnsi"/>
            <w:bCs/>
            <w:kern w:val="2"/>
            <w:szCs w:val="28"/>
            <w:lang w:eastAsia="zh-CN"/>
            <w14:ligatures w14:val="standardContextual"/>
          </w:rPr>
          <w:t>C24/72</w:t>
        </w:r>
      </w:hyperlink>
      <w:r w:rsidRPr="00365D05">
        <w:rPr>
          <w:rFonts w:asciiTheme="minorHAnsi" w:eastAsiaTheme="majorEastAsia" w:hAnsiTheme="minorHAnsi" w:cstheme="minorHAnsi"/>
          <w:bCs/>
          <w:kern w:val="2"/>
          <w:szCs w:val="28"/>
          <w:lang w:eastAsia="zh-CN"/>
          <w14:ligatures w14:val="standardContextual"/>
        </w:rPr>
        <w:t>、</w:t>
      </w:r>
      <w:hyperlink r:id="rId12" w:history="1">
        <w:r w:rsidRPr="00365D05">
          <w:rPr>
            <w:rStyle w:val="Hyperlink"/>
            <w:rFonts w:asciiTheme="minorHAnsi" w:eastAsiaTheme="majorEastAsia" w:hAnsiTheme="minorHAnsi" w:cstheme="minorHAnsi"/>
            <w:bCs/>
            <w:kern w:val="2"/>
            <w:szCs w:val="28"/>
            <w:lang w:eastAsia="zh-CN"/>
            <w14:ligatures w14:val="standardContextual"/>
          </w:rPr>
          <w:t>C24/88</w:t>
        </w:r>
      </w:hyperlink>
      <w:r w:rsidRPr="00365D05">
        <w:rPr>
          <w:rFonts w:asciiTheme="minorHAnsi" w:eastAsiaTheme="majorEastAsia" w:hAnsiTheme="minorHAnsi" w:cstheme="minorHAnsi"/>
          <w:bCs/>
          <w:kern w:val="2"/>
          <w:szCs w:val="28"/>
          <w:lang w:eastAsia="zh-CN"/>
          <w14:ligatures w14:val="standardContextual"/>
        </w:rPr>
        <w:t>和</w:t>
      </w:r>
      <w:hyperlink r:id="rId13" w:history="1">
        <w:r w:rsidRPr="00365D05">
          <w:rPr>
            <w:rStyle w:val="Hyperlink"/>
            <w:rFonts w:asciiTheme="minorHAnsi" w:eastAsiaTheme="majorEastAsia" w:hAnsiTheme="minorHAnsi" w:cstheme="minorHAnsi"/>
            <w:bCs/>
            <w:kern w:val="2"/>
            <w:szCs w:val="28"/>
            <w:lang w:eastAsia="zh-CN"/>
            <w14:ligatures w14:val="standardContextual"/>
          </w:rPr>
          <w:t>C24/DT/11</w:t>
        </w:r>
      </w:hyperlink>
      <w:r w:rsidRPr="00365D05">
        <w:rPr>
          <w:rFonts w:asciiTheme="minorHAnsi" w:eastAsiaTheme="majorEastAsia" w:hAnsiTheme="minorHAnsi" w:cstheme="minorHAnsi"/>
          <w:bCs/>
          <w:szCs w:val="28"/>
          <w:lang w:val="zh-CN" w:eastAsia="zh-CN"/>
        </w:rPr>
        <w:t>号文件）</w:t>
      </w:r>
    </w:p>
    <w:p w14:paraId="0A9F711E" w14:textId="65C9AFC3" w:rsidR="001125E8" w:rsidRPr="005E2D55" w:rsidRDefault="001125E8" w:rsidP="001125E8">
      <w:pPr>
        <w:rPr>
          <w:kern w:val="2"/>
          <w:szCs w:val="24"/>
          <w:lang w:eastAsia="zh-CN"/>
          <w14:ligatures w14:val="standardContextual"/>
        </w:rPr>
      </w:pPr>
      <w:r w:rsidRPr="005E2D55">
        <w:rPr>
          <w:lang w:val="zh-CN" w:eastAsia="zh-CN"/>
        </w:rPr>
        <w:t>1.1</w:t>
      </w:r>
      <w:r w:rsidRPr="005E2D55">
        <w:rPr>
          <w:lang w:val="zh-CN" w:eastAsia="zh-CN"/>
        </w:rPr>
        <w:tab/>
      </w:r>
      <w:r w:rsidRPr="005E2D55">
        <w:rPr>
          <w:lang w:val="zh-CN" w:eastAsia="zh-CN"/>
        </w:rPr>
        <w:t>法国理事表示，</w:t>
      </w:r>
      <w:r w:rsidRPr="005E2D55">
        <w:rPr>
          <w:lang w:val="zh-CN" w:eastAsia="zh-CN"/>
        </w:rPr>
        <w:t>C24/DT/11</w:t>
      </w:r>
      <w:r w:rsidRPr="005E2D55">
        <w:rPr>
          <w:lang w:val="zh-CN" w:eastAsia="zh-CN"/>
        </w:rPr>
        <w:t>号文件包含一份有关国际电联在促进</w:t>
      </w:r>
      <w:r>
        <w:rPr>
          <w:rFonts w:hint="eastAsia"/>
          <w:lang w:val="zh-CN" w:eastAsia="zh-CN"/>
        </w:rPr>
        <w:t>信息通信技术（</w:t>
      </w:r>
      <w:r w:rsidRPr="005E2D55">
        <w:rPr>
          <w:lang w:val="zh-CN" w:eastAsia="zh-CN"/>
        </w:rPr>
        <w:t>ICT</w:t>
      </w:r>
      <w:r>
        <w:rPr>
          <w:rFonts w:hint="eastAsia"/>
          <w:lang w:val="zh-CN" w:eastAsia="zh-CN"/>
        </w:rPr>
        <w:t>）</w:t>
      </w:r>
      <w:r w:rsidRPr="005E2D55">
        <w:rPr>
          <w:lang w:val="zh-CN" w:eastAsia="zh-CN"/>
        </w:rPr>
        <w:t>对可持续性和气候行动的贡献方面的作用的决议草案。该决议草案在第三次全体会议启动的非正式磋商后已达成</w:t>
      </w:r>
      <w:r>
        <w:rPr>
          <w:rFonts w:hint="eastAsia"/>
          <w:lang w:val="zh-CN" w:eastAsia="zh-CN"/>
        </w:rPr>
        <w:t>协商一致</w:t>
      </w:r>
      <w:r w:rsidRPr="005E2D55">
        <w:rPr>
          <w:lang w:val="zh-CN" w:eastAsia="zh-CN"/>
        </w:rPr>
        <w:t>。案文反映了磋商期间就</w:t>
      </w:r>
      <w:r w:rsidRPr="005E2D55">
        <w:rPr>
          <w:lang w:val="zh-CN" w:eastAsia="zh-CN"/>
        </w:rPr>
        <w:t>ICT</w:t>
      </w:r>
      <w:r w:rsidRPr="005E2D55">
        <w:rPr>
          <w:lang w:val="zh-CN" w:eastAsia="zh-CN"/>
        </w:rPr>
        <w:t>为应对环境挑战所做贡献（积极的和消极的）</w:t>
      </w:r>
      <w:r>
        <w:rPr>
          <w:rFonts w:hint="eastAsia"/>
          <w:lang w:val="zh-CN" w:eastAsia="zh-CN"/>
        </w:rPr>
        <w:t>表达</w:t>
      </w:r>
      <w:r w:rsidRPr="005E2D55">
        <w:rPr>
          <w:lang w:val="zh-CN" w:eastAsia="zh-CN"/>
        </w:rPr>
        <w:t>的不同愿景</w:t>
      </w:r>
      <w:r>
        <w:rPr>
          <w:rFonts w:hint="eastAsia"/>
          <w:lang w:val="zh-CN" w:eastAsia="zh-CN"/>
        </w:rPr>
        <w:t>、</w:t>
      </w:r>
      <w:r w:rsidRPr="005E2D55">
        <w:rPr>
          <w:lang w:val="zh-CN" w:eastAsia="zh-CN"/>
        </w:rPr>
        <w:t>共享研究和最佳做法的重要性</w:t>
      </w:r>
      <w:r>
        <w:rPr>
          <w:rFonts w:hint="eastAsia"/>
          <w:lang w:val="zh-CN" w:eastAsia="zh-CN"/>
        </w:rPr>
        <w:t>、</w:t>
      </w:r>
      <w:r w:rsidRPr="005E2D55">
        <w:rPr>
          <w:lang w:val="zh-CN" w:eastAsia="zh-CN"/>
        </w:rPr>
        <w:t>从更广泛的角度看待包括社会和经济层面</w:t>
      </w:r>
      <w:r>
        <w:rPr>
          <w:rFonts w:hint="eastAsia"/>
          <w:lang w:val="zh-CN" w:eastAsia="zh-CN"/>
        </w:rPr>
        <w:t>在内的</w:t>
      </w:r>
      <w:r w:rsidRPr="005E2D55">
        <w:rPr>
          <w:lang w:val="zh-CN" w:eastAsia="zh-CN"/>
        </w:rPr>
        <w:t>可持续性</w:t>
      </w:r>
      <w:r>
        <w:rPr>
          <w:rFonts w:hint="eastAsia"/>
          <w:lang w:val="zh-CN" w:eastAsia="zh-CN"/>
        </w:rPr>
        <w:t>的必要性</w:t>
      </w:r>
      <w:r w:rsidRPr="005E2D55">
        <w:rPr>
          <w:lang w:val="zh-CN" w:eastAsia="zh-CN"/>
        </w:rPr>
        <w:t>以及</w:t>
      </w:r>
      <w:r>
        <w:rPr>
          <w:rFonts w:hint="eastAsia"/>
          <w:lang w:val="zh-CN" w:eastAsia="zh-CN"/>
        </w:rPr>
        <w:t>对</w:t>
      </w:r>
      <w:r w:rsidRPr="005E2D55">
        <w:rPr>
          <w:lang w:val="zh-CN" w:eastAsia="zh-CN"/>
        </w:rPr>
        <w:t>发展中国家特殊需求的</w:t>
      </w:r>
      <w:r>
        <w:rPr>
          <w:rFonts w:hint="eastAsia"/>
          <w:lang w:val="zh-CN" w:eastAsia="zh-CN"/>
        </w:rPr>
        <w:t>满足</w:t>
      </w:r>
      <w:r w:rsidRPr="005E2D55">
        <w:rPr>
          <w:lang w:val="zh-CN" w:eastAsia="zh-CN"/>
        </w:rPr>
        <w:t>。该决议草案与全权代表大会第</w:t>
      </w:r>
      <w:r w:rsidRPr="005E2D55">
        <w:rPr>
          <w:lang w:val="zh-CN" w:eastAsia="zh-CN"/>
        </w:rPr>
        <w:t>182</w:t>
      </w:r>
      <w:r w:rsidRPr="005E2D55">
        <w:rPr>
          <w:lang w:val="zh-CN" w:eastAsia="zh-CN"/>
        </w:rPr>
        <w:t>号决议（</w:t>
      </w:r>
      <w:r w:rsidRPr="005E2D55">
        <w:rPr>
          <w:lang w:val="zh-CN" w:eastAsia="zh-CN"/>
        </w:rPr>
        <w:t>2022</w:t>
      </w:r>
      <w:r w:rsidRPr="005E2D55">
        <w:rPr>
          <w:lang w:val="zh-CN" w:eastAsia="zh-CN"/>
        </w:rPr>
        <w:t>年，布加勒斯特，修订版）和世界电信标准化全会第</w:t>
      </w:r>
      <w:r w:rsidRPr="005E2D55">
        <w:rPr>
          <w:lang w:val="zh-CN" w:eastAsia="zh-CN"/>
        </w:rPr>
        <w:t>73</w:t>
      </w:r>
      <w:r w:rsidRPr="005E2D55">
        <w:rPr>
          <w:lang w:val="zh-CN" w:eastAsia="zh-CN"/>
        </w:rPr>
        <w:t>号决议（</w:t>
      </w:r>
      <w:r w:rsidRPr="005E2D55">
        <w:rPr>
          <w:lang w:val="zh-CN" w:eastAsia="zh-CN"/>
        </w:rPr>
        <w:t>2022</w:t>
      </w:r>
      <w:r w:rsidRPr="005E2D55">
        <w:rPr>
          <w:lang w:val="zh-CN" w:eastAsia="zh-CN"/>
        </w:rPr>
        <w:t>年，日内瓦，修订版）等国际电联其他案文</w:t>
      </w:r>
      <w:r>
        <w:rPr>
          <w:rFonts w:hint="eastAsia"/>
          <w:lang w:val="zh-CN" w:eastAsia="zh-CN"/>
        </w:rPr>
        <w:t>不谋而合</w:t>
      </w:r>
      <w:r w:rsidRPr="005E2D55">
        <w:rPr>
          <w:lang w:val="zh-CN" w:eastAsia="zh-CN"/>
        </w:rPr>
        <w:t>，将国际电联定位为应对气候变化和环境可持续性问题的利益攸关多方举措中的关键</w:t>
      </w:r>
      <w:r>
        <w:rPr>
          <w:rFonts w:hint="eastAsia"/>
          <w:lang w:val="zh-CN" w:eastAsia="zh-CN"/>
        </w:rPr>
        <w:t>力量</w:t>
      </w:r>
      <w:r w:rsidRPr="005E2D55">
        <w:rPr>
          <w:lang w:val="zh-CN" w:eastAsia="zh-CN"/>
        </w:rPr>
        <w:t>。</w:t>
      </w:r>
    </w:p>
    <w:p w14:paraId="21C337E2" w14:textId="10A1AEAB" w:rsidR="001125E8" w:rsidRPr="005E2D55" w:rsidRDefault="001125E8" w:rsidP="001125E8">
      <w:pPr>
        <w:rPr>
          <w:kern w:val="2"/>
          <w:szCs w:val="24"/>
          <w:lang w:eastAsia="zh-CN"/>
          <w14:ligatures w14:val="standardContextual"/>
        </w:rPr>
      </w:pPr>
      <w:r w:rsidRPr="005E2D55">
        <w:rPr>
          <w:lang w:val="zh-CN" w:eastAsia="zh-CN"/>
        </w:rPr>
        <w:t>1.2</w:t>
      </w:r>
      <w:r w:rsidRPr="005E2D55">
        <w:rPr>
          <w:lang w:val="zh-CN" w:eastAsia="zh-CN"/>
        </w:rPr>
        <w:tab/>
      </w:r>
      <w:r w:rsidRPr="005E2D55">
        <w:rPr>
          <w:lang w:val="zh-CN" w:eastAsia="zh-CN"/>
        </w:rPr>
        <w:t>理事们表示支持该决议草案，并特别欢迎在</w:t>
      </w:r>
      <w:r w:rsidRPr="005E2D55">
        <w:rPr>
          <w:lang w:val="zh-CN" w:eastAsia="zh-CN"/>
        </w:rPr>
        <w:t>ICT</w:t>
      </w:r>
      <w:r w:rsidRPr="005E2D55">
        <w:rPr>
          <w:lang w:val="zh-CN" w:eastAsia="zh-CN"/>
        </w:rPr>
        <w:t>对环境的影响及其帮助其他行业方面的</w:t>
      </w:r>
      <w:r>
        <w:rPr>
          <w:rFonts w:hint="eastAsia"/>
          <w:lang w:val="zh-CN" w:eastAsia="zh-CN"/>
        </w:rPr>
        <w:t>赋权</w:t>
      </w:r>
      <w:r w:rsidRPr="005E2D55">
        <w:rPr>
          <w:lang w:val="zh-CN" w:eastAsia="zh-CN"/>
        </w:rPr>
        <w:t>作用之间体现出的平衡</w:t>
      </w:r>
      <w:r>
        <w:rPr>
          <w:rFonts w:hint="eastAsia"/>
          <w:lang w:val="zh-CN" w:eastAsia="zh-CN"/>
        </w:rPr>
        <w:t>、</w:t>
      </w:r>
      <w:r w:rsidRPr="005E2D55">
        <w:rPr>
          <w:lang w:val="zh-CN" w:eastAsia="zh-CN"/>
        </w:rPr>
        <w:t>对最佳做法的参引</w:t>
      </w:r>
      <w:r>
        <w:rPr>
          <w:rFonts w:hint="eastAsia"/>
          <w:lang w:val="zh-CN" w:eastAsia="zh-CN"/>
        </w:rPr>
        <w:t>以及对</w:t>
      </w:r>
      <w:r w:rsidRPr="005E2D55">
        <w:rPr>
          <w:lang w:val="zh-CN" w:eastAsia="zh-CN"/>
        </w:rPr>
        <w:t>发展中国家能力建设</w:t>
      </w:r>
      <w:r>
        <w:rPr>
          <w:rFonts w:hint="eastAsia"/>
          <w:lang w:val="zh-CN" w:eastAsia="zh-CN"/>
        </w:rPr>
        <w:t>的重视</w:t>
      </w:r>
      <w:r w:rsidRPr="005E2D55">
        <w:rPr>
          <w:lang w:val="zh-CN" w:eastAsia="zh-CN"/>
        </w:rPr>
        <w:t>。关于后一点，来自非洲</w:t>
      </w:r>
      <w:r>
        <w:rPr>
          <w:rFonts w:hint="eastAsia"/>
          <w:lang w:val="zh-CN" w:eastAsia="zh-CN"/>
        </w:rPr>
        <w:t>区域</w:t>
      </w:r>
      <w:r w:rsidRPr="005E2D55">
        <w:rPr>
          <w:lang w:val="zh-CN" w:eastAsia="zh-CN"/>
        </w:rPr>
        <w:t>的两位理事表示，他们希望看到该决议更进一步，为脆弱地区提供量身定制的气候变化适应解决方案、能力建设和电子废弃物管理知识共享</w:t>
      </w:r>
      <w:r>
        <w:rPr>
          <w:rFonts w:hint="eastAsia"/>
          <w:lang w:val="zh-CN" w:eastAsia="zh-CN"/>
        </w:rPr>
        <w:t>、</w:t>
      </w:r>
      <w:r w:rsidRPr="005E2D55">
        <w:rPr>
          <w:lang w:val="zh-CN" w:eastAsia="zh-CN"/>
        </w:rPr>
        <w:t>专项融资机制和包容性伙伴关系</w:t>
      </w:r>
      <w:r>
        <w:rPr>
          <w:rFonts w:hint="eastAsia"/>
          <w:lang w:val="zh-CN" w:eastAsia="zh-CN"/>
        </w:rPr>
        <w:t>，以</w:t>
      </w:r>
      <w:r w:rsidRPr="005E2D55">
        <w:rPr>
          <w:lang w:val="zh-CN" w:eastAsia="zh-CN"/>
        </w:rPr>
        <w:t>应对非洲国家和其他发展中区域面临的独特挑战。</w:t>
      </w:r>
    </w:p>
    <w:p w14:paraId="5943A47A" w14:textId="77777777" w:rsidR="001125E8" w:rsidRPr="005E2D55" w:rsidRDefault="001125E8" w:rsidP="001125E8">
      <w:pPr>
        <w:rPr>
          <w:kern w:val="2"/>
          <w:szCs w:val="24"/>
          <w:lang w:eastAsia="zh-CN"/>
          <w14:ligatures w14:val="standardContextual"/>
        </w:rPr>
      </w:pPr>
      <w:r w:rsidRPr="005E2D55">
        <w:rPr>
          <w:lang w:val="zh-CN" w:eastAsia="zh-CN"/>
        </w:rPr>
        <w:t>1.3</w:t>
      </w:r>
      <w:r w:rsidRPr="005E2D55">
        <w:rPr>
          <w:lang w:val="zh-CN" w:eastAsia="zh-CN"/>
        </w:rPr>
        <w:tab/>
      </w:r>
      <w:r w:rsidRPr="005E2D55">
        <w:rPr>
          <w:lang w:val="zh-CN" w:eastAsia="zh-CN"/>
        </w:rPr>
        <w:t>理事会</w:t>
      </w:r>
      <w:r w:rsidRPr="00D13111">
        <w:rPr>
          <w:b/>
          <w:bCs/>
          <w:lang w:val="zh-CN" w:eastAsia="zh-CN"/>
        </w:rPr>
        <w:t>通过了</w:t>
      </w:r>
      <w:r w:rsidRPr="005E2D55">
        <w:rPr>
          <w:lang w:val="zh-CN" w:eastAsia="zh-CN"/>
        </w:rPr>
        <w:t>C24/DT/11</w:t>
      </w:r>
      <w:r w:rsidRPr="005E2D55">
        <w:rPr>
          <w:lang w:val="zh-CN" w:eastAsia="zh-CN"/>
        </w:rPr>
        <w:t>号文件中的新决议。</w:t>
      </w:r>
    </w:p>
    <w:p w14:paraId="1309D230" w14:textId="1DF340F2" w:rsidR="001125E8" w:rsidRPr="005E2D55" w:rsidRDefault="001125E8" w:rsidP="001125E8">
      <w:pPr>
        <w:rPr>
          <w:kern w:val="2"/>
          <w:szCs w:val="24"/>
          <w:lang w:eastAsia="zh-CN"/>
          <w14:ligatures w14:val="standardContextual"/>
        </w:rPr>
      </w:pPr>
      <w:r w:rsidRPr="005E2D55">
        <w:rPr>
          <w:lang w:val="zh-CN" w:eastAsia="zh-CN"/>
        </w:rPr>
        <w:t>1.4</w:t>
      </w:r>
      <w:r w:rsidRPr="005E2D55">
        <w:rPr>
          <w:lang w:val="zh-CN" w:eastAsia="zh-CN"/>
        </w:rPr>
        <w:tab/>
      </w:r>
      <w:r w:rsidRPr="005E2D55">
        <w:rPr>
          <w:lang w:val="zh-CN" w:eastAsia="zh-CN"/>
        </w:rPr>
        <w:t>副秘书长说，在绿色数字行动举措下，正在努力整合国际电联有关环境可持续性的工作，包括资源</w:t>
      </w:r>
      <w:r>
        <w:rPr>
          <w:rFonts w:hint="eastAsia"/>
          <w:lang w:val="zh-CN" w:eastAsia="zh-CN"/>
        </w:rPr>
        <w:t>筹措</w:t>
      </w:r>
      <w:r w:rsidRPr="005E2D55">
        <w:rPr>
          <w:lang w:val="zh-CN" w:eastAsia="zh-CN"/>
        </w:rPr>
        <w:t>工作</w:t>
      </w:r>
      <w:r>
        <w:rPr>
          <w:rFonts w:hint="eastAsia"/>
          <w:lang w:val="zh-CN" w:eastAsia="zh-CN"/>
        </w:rPr>
        <w:t>。</w:t>
      </w:r>
      <w:r w:rsidRPr="005E2D55">
        <w:rPr>
          <w:lang w:val="zh-CN" w:eastAsia="zh-CN"/>
        </w:rPr>
        <w:t>他鼓励成员国为此做出贡献。国际电联将努力使每个区域和国家具备应对数字可持续性问题的能力。</w:t>
      </w:r>
      <w:r w:rsidR="000176EF">
        <w:rPr>
          <w:rFonts w:hint="eastAsia"/>
          <w:lang w:val="zh-CN" w:eastAsia="zh-CN"/>
        </w:rPr>
        <w:t>他对国际电联与</w:t>
      </w:r>
      <w:r w:rsidRPr="005E2D55">
        <w:rPr>
          <w:lang w:val="zh-CN" w:eastAsia="zh-CN"/>
        </w:rPr>
        <w:t>未来联合国气候变化大会</w:t>
      </w:r>
      <w:r w:rsidR="000176EF">
        <w:rPr>
          <w:rFonts w:hint="eastAsia"/>
          <w:lang w:val="zh-CN" w:eastAsia="zh-CN"/>
        </w:rPr>
        <w:t>东道国（</w:t>
      </w:r>
      <w:r w:rsidRPr="005E2D55">
        <w:rPr>
          <w:lang w:val="zh-CN" w:eastAsia="zh-CN"/>
        </w:rPr>
        <w:t>阿塞拜疆和巴西</w:t>
      </w:r>
      <w:r w:rsidR="000176EF">
        <w:rPr>
          <w:rFonts w:hint="eastAsia"/>
          <w:lang w:val="zh-CN" w:eastAsia="zh-CN"/>
        </w:rPr>
        <w:t>）</w:t>
      </w:r>
      <w:r w:rsidRPr="005E2D55">
        <w:rPr>
          <w:lang w:val="zh-CN" w:eastAsia="zh-CN"/>
        </w:rPr>
        <w:t>就数字议程开展</w:t>
      </w:r>
      <w:r w:rsidR="000176EF">
        <w:rPr>
          <w:rFonts w:hint="eastAsia"/>
          <w:lang w:val="zh-CN" w:eastAsia="zh-CN"/>
        </w:rPr>
        <w:t>的</w:t>
      </w:r>
      <w:r w:rsidRPr="005E2D55">
        <w:rPr>
          <w:lang w:val="zh-CN" w:eastAsia="zh-CN"/>
        </w:rPr>
        <w:t>密切协作</w:t>
      </w:r>
      <w:r w:rsidR="000176EF">
        <w:rPr>
          <w:rFonts w:hint="eastAsia"/>
          <w:lang w:val="zh-CN" w:eastAsia="zh-CN"/>
        </w:rPr>
        <w:t>进一步予以赞扬</w:t>
      </w:r>
      <w:r w:rsidRPr="005E2D55">
        <w:rPr>
          <w:lang w:val="zh-CN" w:eastAsia="zh-CN"/>
        </w:rPr>
        <w:t>，并邀请数字政策制定者踊跃参与即将举行的会议。</w:t>
      </w:r>
    </w:p>
    <w:p w14:paraId="7AD12432" w14:textId="37539B2A" w:rsidR="001125E8" w:rsidRPr="00365D05" w:rsidRDefault="001125E8" w:rsidP="001125E8">
      <w:pPr>
        <w:pStyle w:val="Heading1"/>
        <w:rPr>
          <w:rFonts w:asciiTheme="minorHAnsi" w:eastAsiaTheme="majorEastAsia" w:hAnsiTheme="minorHAnsi" w:cstheme="minorHAnsi"/>
          <w:bCs/>
          <w:szCs w:val="28"/>
          <w:lang w:val="zh-CN" w:eastAsia="zh-CN"/>
        </w:rPr>
      </w:pPr>
      <w:bookmarkStart w:id="7" w:name="_Hlk169780888"/>
      <w:r w:rsidRPr="00365D05">
        <w:rPr>
          <w:rFonts w:asciiTheme="minorHAnsi" w:eastAsiaTheme="majorEastAsia" w:hAnsiTheme="minorHAnsi" w:cstheme="minorHAnsi"/>
          <w:bCs/>
          <w:szCs w:val="28"/>
          <w:lang w:val="zh-CN" w:eastAsia="zh-CN"/>
        </w:rPr>
        <w:t>2</w:t>
      </w:r>
      <w:r w:rsidRPr="00365D05">
        <w:rPr>
          <w:rFonts w:asciiTheme="minorHAnsi" w:eastAsiaTheme="majorEastAsia" w:hAnsiTheme="minorHAnsi" w:cstheme="minorHAnsi"/>
          <w:bCs/>
          <w:szCs w:val="28"/>
          <w:lang w:val="zh-CN" w:eastAsia="zh-CN"/>
        </w:rPr>
        <w:tab/>
      </w:r>
      <w:r w:rsidRPr="00365D05">
        <w:rPr>
          <w:rFonts w:asciiTheme="minorHAnsi" w:eastAsiaTheme="majorEastAsia" w:hAnsiTheme="minorHAnsi" w:cstheme="minorHAnsi"/>
          <w:bCs/>
          <w:szCs w:val="28"/>
          <w:lang w:val="zh-CN" w:eastAsia="zh-CN"/>
        </w:rPr>
        <w:t>国际电联</w:t>
      </w:r>
      <w:r w:rsidRPr="00365D05">
        <w:rPr>
          <w:rFonts w:asciiTheme="minorHAnsi" w:eastAsiaTheme="majorEastAsia" w:hAnsiTheme="minorHAnsi" w:cstheme="minorHAnsi"/>
          <w:bCs/>
          <w:szCs w:val="28"/>
          <w:lang w:val="zh-CN" w:eastAsia="zh-CN"/>
        </w:rPr>
        <w:t>2025</w:t>
      </w:r>
      <w:r w:rsidRPr="00365D05">
        <w:rPr>
          <w:rFonts w:asciiTheme="minorHAnsi" w:eastAsiaTheme="majorEastAsia" w:hAnsiTheme="minorHAnsi" w:cstheme="minorHAnsi"/>
          <w:bCs/>
          <w:szCs w:val="28"/>
          <w:lang w:val="zh-CN" w:eastAsia="zh-CN"/>
        </w:rPr>
        <w:t>、</w:t>
      </w:r>
      <w:r w:rsidRPr="00365D05">
        <w:rPr>
          <w:rFonts w:asciiTheme="minorHAnsi" w:eastAsiaTheme="majorEastAsia" w:hAnsiTheme="minorHAnsi" w:cstheme="minorHAnsi"/>
          <w:bCs/>
          <w:szCs w:val="28"/>
          <w:lang w:val="zh-CN" w:eastAsia="zh-CN"/>
        </w:rPr>
        <w:t>2026</w:t>
      </w:r>
      <w:r w:rsidRPr="00365D05">
        <w:rPr>
          <w:rFonts w:asciiTheme="minorHAnsi" w:eastAsiaTheme="majorEastAsia" w:hAnsiTheme="minorHAnsi" w:cstheme="minorHAnsi"/>
          <w:bCs/>
          <w:szCs w:val="28"/>
          <w:lang w:val="zh-CN" w:eastAsia="zh-CN"/>
        </w:rPr>
        <w:t>和</w:t>
      </w:r>
      <w:r w:rsidRPr="00365D05">
        <w:rPr>
          <w:rFonts w:asciiTheme="minorHAnsi" w:eastAsiaTheme="majorEastAsia" w:hAnsiTheme="minorHAnsi" w:cstheme="minorHAnsi"/>
          <w:bCs/>
          <w:szCs w:val="28"/>
          <w:lang w:val="zh-CN" w:eastAsia="zh-CN"/>
        </w:rPr>
        <w:t>2027</w:t>
      </w:r>
      <w:r w:rsidRPr="00365D05">
        <w:rPr>
          <w:rFonts w:asciiTheme="minorHAnsi" w:eastAsiaTheme="majorEastAsia" w:hAnsiTheme="minorHAnsi" w:cstheme="minorHAnsi"/>
          <w:bCs/>
          <w:szCs w:val="28"/>
          <w:lang w:val="zh-CN" w:eastAsia="zh-CN"/>
        </w:rPr>
        <w:t>年理事会会议和理事会工作组会议的日期和会期（续）（</w:t>
      </w:r>
      <w:hyperlink r:id="rId14" w:history="1">
        <w:r w:rsidRPr="00365D05">
          <w:rPr>
            <w:rStyle w:val="Hyperlink"/>
            <w:rFonts w:asciiTheme="minorHAnsi" w:eastAsia="Calibri" w:hAnsiTheme="minorHAnsi" w:cstheme="minorHAnsi"/>
            <w:bCs/>
            <w:kern w:val="2"/>
            <w:szCs w:val="28"/>
            <w:lang w:eastAsia="zh-CN"/>
            <w14:ligatures w14:val="standardContextual"/>
          </w:rPr>
          <w:t>C24/2</w:t>
        </w:r>
      </w:hyperlink>
      <w:r w:rsidRPr="00365D05">
        <w:rPr>
          <w:rFonts w:asciiTheme="minorHAnsi" w:eastAsiaTheme="majorEastAsia" w:hAnsiTheme="minorHAnsi" w:cstheme="minorHAnsi"/>
          <w:bCs/>
          <w:kern w:val="2"/>
          <w:szCs w:val="28"/>
          <w:lang w:eastAsia="zh-CN"/>
          <w14:ligatures w14:val="standardContextual"/>
        </w:rPr>
        <w:t>和</w:t>
      </w:r>
      <w:hyperlink r:id="rId15" w:history="1">
        <w:r w:rsidRPr="00365D05">
          <w:rPr>
            <w:rStyle w:val="Hyperlink"/>
            <w:rFonts w:asciiTheme="minorHAnsi" w:eastAsia="Calibri" w:hAnsiTheme="minorHAnsi" w:cstheme="minorHAnsi"/>
            <w:bCs/>
            <w:kern w:val="2"/>
            <w:szCs w:val="28"/>
            <w:lang w:eastAsia="zh-CN"/>
            <w14:ligatures w14:val="standardContextual"/>
          </w:rPr>
          <w:t>C24/DT/13</w:t>
        </w:r>
      </w:hyperlink>
      <w:r w:rsidRPr="00365D05">
        <w:rPr>
          <w:rFonts w:asciiTheme="minorHAnsi" w:eastAsiaTheme="majorEastAsia" w:hAnsiTheme="minorHAnsi" w:cstheme="minorHAnsi"/>
          <w:bCs/>
          <w:szCs w:val="28"/>
          <w:lang w:val="zh-CN" w:eastAsia="zh-CN"/>
        </w:rPr>
        <w:t>号文件）</w:t>
      </w:r>
    </w:p>
    <w:p w14:paraId="44668B2C" w14:textId="77777777" w:rsidR="001125E8" w:rsidRPr="005E2D55" w:rsidRDefault="001125E8" w:rsidP="001125E8">
      <w:pPr>
        <w:rPr>
          <w:kern w:val="2"/>
          <w:szCs w:val="24"/>
          <w:lang w:eastAsia="zh-CN"/>
          <w14:ligatures w14:val="standardContextual"/>
        </w:rPr>
      </w:pPr>
      <w:bookmarkStart w:id="8" w:name="_Hlk169782126"/>
      <w:r w:rsidRPr="005E2D55">
        <w:rPr>
          <w:lang w:val="zh-CN" w:eastAsia="zh-CN"/>
        </w:rPr>
        <w:t>2.1</w:t>
      </w:r>
      <w:r w:rsidRPr="005E2D55">
        <w:rPr>
          <w:lang w:val="zh-CN" w:eastAsia="zh-CN"/>
        </w:rPr>
        <w:tab/>
      </w:r>
      <w:r w:rsidRPr="005E2D55">
        <w:rPr>
          <w:lang w:val="zh-CN" w:eastAsia="zh-CN"/>
        </w:rPr>
        <w:t>全体会议秘书表示，针对第</w:t>
      </w:r>
      <w:r w:rsidRPr="005E2D55">
        <w:rPr>
          <w:lang w:val="zh-CN" w:eastAsia="zh-CN"/>
        </w:rPr>
        <w:t>11</w:t>
      </w:r>
      <w:r w:rsidRPr="005E2D55">
        <w:rPr>
          <w:lang w:val="zh-CN" w:eastAsia="zh-CN"/>
        </w:rPr>
        <w:t>次全体会议那天上午提出的两项要求，现已找到了一项解决方案，可将理事会</w:t>
      </w:r>
      <w:r w:rsidRPr="005E2D55">
        <w:rPr>
          <w:lang w:val="zh-CN" w:eastAsia="zh-CN"/>
        </w:rPr>
        <w:t>2025</w:t>
      </w:r>
      <w:r w:rsidRPr="005E2D55">
        <w:rPr>
          <w:lang w:val="zh-CN" w:eastAsia="zh-CN"/>
        </w:rPr>
        <w:t>年会议提前两周，从而在</w:t>
      </w:r>
      <w:r w:rsidRPr="005E2D55">
        <w:rPr>
          <w:lang w:val="zh-CN" w:eastAsia="zh-CN"/>
        </w:rPr>
        <w:t>6</w:t>
      </w:r>
      <w:r w:rsidRPr="005E2D55">
        <w:rPr>
          <w:lang w:val="zh-CN" w:eastAsia="zh-CN"/>
        </w:rPr>
        <w:t>月而非</w:t>
      </w:r>
      <w:r w:rsidRPr="005E2D55">
        <w:rPr>
          <w:lang w:val="zh-CN" w:eastAsia="zh-CN"/>
        </w:rPr>
        <w:t>7</w:t>
      </w:r>
      <w:r w:rsidRPr="005E2D55">
        <w:rPr>
          <w:lang w:val="zh-CN" w:eastAsia="zh-CN"/>
        </w:rPr>
        <w:t>月召开</w:t>
      </w:r>
      <w:r>
        <w:rPr>
          <w:rFonts w:hint="eastAsia"/>
          <w:lang w:val="zh-CN" w:eastAsia="zh-CN"/>
        </w:rPr>
        <w:t>。</w:t>
      </w:r>
      <w:r w:rsidRPr="005E2D55">
        <w:rPr>
          <w:lang w:val="zh-CN" w:eastAsia="zh-CN"/>
        </w:rPr>
        <w:t>2027</w:t>
      </w:r>
      <w:r w:rsidRPr="005E2D55">
        <w:rPr>
          <w:lang w:val="zh-CN" w:eastAsia="zh-CN"/>
        </w:rPr>
        <w:t>年理事会工作组第一</w:t>
      </w:r>
      <w:r>
        <w:rPr>
          <w:rFonts w:hint="eastAsia"/>
          <w:lang w:val="zh-CN" w:eastAsia="zh-CN"/>
        </w:rPr>
        <w:t>组会议</w:t>
      </w:r>
      <w:r w:rsidRPr="005E2D55">
        <w:rPr>
          <w:lang w:val="zh-CN" w:eastAsia="zh-CN"/>
        </w:rPr>
        <w:t>将提前一周</w:t>
      </w:r>
      <w:r>
        <w:rPr>
          <w:rFonts w:hint="eastAsia"/>
          <w:lang w:val="zh-CN" w:eastAsia="zh-CN"/>
        </w:rPr>
        <w:t>举行</w:t>
      </w:r>
      <w:r w:rsidRPr="005E2D55">
        <w:rPr>
          <w:lang w:val="zh-CN" w:eastAsia="zh-CN"/>
        </w:rPr>
        <w:t>。这些修改反映在</w:t>
      </w:r>
      <w:r w:rsidRPr="005E2D55">
        <w:rPr>
          <w:lang w:val="zh-CN" w:eastAsia="zh-CN"/>
        </w:rPr>
        <w:t>C24/DT/13</w:t>
      </w:r>
      <w:r w:rsidRPr="005E2D55">
        <w:rPr>
          <w:lang w:val="zh-CN" w:eastAsia="zh-CN"/>
        </w:rPr>
        <w:t>号文件</w:t>
      </w:r>
      <w:r>
        <w:rPr>
          <w:rFonts w:hint="eastAsia"/>
          <w:lang w:val="zh-CN" w:eastAsia="zh-CN"/>
        </w:rPr>
        <w:t>所含</w:t>
      </w:r>
      <w:r w:rsidRPr="005E2D55">
        <w:rPr>
          <w:lang w:val="zh-CN" w:eastAsia="zh-CN"/>
        </w:rPr>
        <w:t>新决定草案的修订版本中。</w:t>
      </w:r>
    </w:p>
    <w:p w14:paraId="2CF5FE50" w14:textId="77777777" w:rsidR="001125E8" w:rsidRPr="005E2D55" w:rsidRDefault="001125E8" w:rsidP="001125E8">
      <w:pPr>
        <w:rPr>
          <w:kern w:val="2"/>
          <w:szCs w:val="24"/>
          <w:lang w:eastAsia="zh-CN"/>
          <w14:ligatures w14:val="standardContextual"/>
        </w:rPr>
      </w:pPr>
      <w:r w:rsidRPr="005E2D55">
        <w:rPr>
          <w:lang w:val="zh-CN" w:eastAsia="zh-CN"/>
        </w:rPr>
        <w:t>2.2</w:t>
      </w:r>
      <w:r w:rsidRPr="005E2D55">
        <w:rPr>
          <w:lang w:val="zh-CN" w:eastAsia="zh-CN"/>
        </w:rPr>
        <w:tab/>
      </w:r>
      <w:r w:rsidRPr="005E2D55">
        <w:rPr>
          <w:lang w:val="zh-CN" w:eastAsia="zh-CN"/>
        </w:rPr>
        <w:t>理事会</w:t>
      </w:r>
      <w:r w:rsidRPr="00ED75A0">
        <w:rPr>
          <w:b/>
          <w:bCs/>
          <w:lang w:val="zh-CN" w:eastAsia="zh-CN"/>
        </w:rPr>
        <w:t>确认了</w:t>
      </w:r>
      <w:r w:rsidRPr="005E2D55">
        <w:rPr>
          <w:lang w:val="zh-CN" w:eastAsia="zh-CN"/>
        </w:rPr>
        <w:t>2025</w:t>
      </w:r>
      <w:r w:rsidRPr="005E2D55">
        <w:rPr>
          <w:lang w:val="zh-CN" w:eastAsia="zh-CN"/>
        </w:rPr>
        <w:t>年、</w:t>
      </w:r>
      <w:r w:rsidRPr="005E2D55">
        <w:rPr>
          <w:lang w:val="zh-CN" w:eastAsia="zh-CN"/>
        </w:rPr>
        <w:t>2026</w:t>
      </w:r>
      <w:r w:rsidRPr="005E2D55">
        <w:rPr>
          <w:lang w:val="zh-CN" w:eastAsia="zh-CN"/>
        </w:rPr>
        <w:t>年和</w:t>
      </w:r>
      <w:r w:rsidRPr="005E2D55">
        <w:rPr>
          <w:lang w:val="zh-CN" w:eastAsia="zh-CN"/>
        </w:rPr>
        <w:t>2027</w:t>
      </w:r>
      <w:r w:rsidRPr="005E2D55">
        <w:rPr>
          <w:lang w:val="zh-CN" w:eastAsia="zh-CN"/>
        </w:rPr>
        <w:t>年会议的日期以及同期</w:t>
      </w:r>
      <w:r w:rsidRPr="005E2D55">
        <w:rPr>
          <w:lang w:val="zh-CN" w:eastAsia="zh-CN"/>
        </w:rPr>
        <w:t>CWG</w:t>
      </w:r>
      <w:r w:rsidRPr="005E2D55">
        <w:rPr>
          <w:lang w:val="zh-CN" w:eastAsia="zh-CN"/>
        </w:rPr>
        <w:t>和</w:t>
      </w:r>
      <w:r w:rsidRPr="005E2D55">
        <w:rPr>
          <w:lang w:val="zh-CN" w:eastAsia="zh-CN"/>
        </w:rPr>
        <w:t>EG</w:t>
      </w:r>
      <w:r w:rsidRPr="005E2D55">
        <w:rPr>
          <w:lang w:val="zh-CN" w:eastAsia="zh-CN"/>
        </w:rPr>
        <w:t>集中</w:t>
      </w:r>
      <w:r>
        <w:rPr>
          <w:rFonts w:hint="eastAsia"/>
          <w:lang w:val="zh-CN" w:eastAsia="zh-CN"/>
        </w:rPr>
        <w:t>召开会议</w:t>
      </w:r>
      <w:r w:rsidRPr="005E2D55">
        <w:rPr>
          <w:lang w:val="zh-CN" w:eastAsia="zh-CN"/>
        </w:rPr>
        <w:t>的日期，并</w:t>
      </w:r>
      <w:r w:rsidRPr="00ED75A0">
        <w:rPr>
          <w:b/>
          <w:bCs/>
          <w:lang w:val="zh-CN" w:eastAsia="zh-CN"/>
        </w:rPr>
        <w:t>通过了</w:t>
      </w:r>
      <w:r w:rsidRPr="005E2D55">
        <w:rPr>
          <w:lang w:val="zh-CN" w:eastAsia="zh-CN"/>
        </w:rPr>
        <w:t>C24/DT/13</w:t>
      </w:r>
      <w:r w:rsidRPr="005E2D55">
        <w:rPr>
          <w:lang w:val="zh-CN" w:eastAsia="zh-CN"/>
        </w:rPr>
        <w:t>号文件中的决定。</w:t>
      </w:r>
    </w:p>
    <w:p w14:paraId="742A090B" w14:textId="6D4CD941" w:rsidR="001125E8" w:rsidRPr="00365D05" w:rsidRDefault="001125E8" w:rsidP="001125E8">
      <w:pPr>
        <w:pStyle w:val="Heading1"/>
        <w:rPr>
          <w:rFonts w:asciiTheme="minorHAnsi" w:eastAsiaTheme="majorEastAsia" w:hAnsiTheme="minorHAnsi" w:cstheme="minorHAnsi"/>
          <w:bCs/>
          <w:kern w:val="2"/>
          <w:szCs w:val="28"/>
          <w:lang w:eastAsia="zh-CN"/>
          <w14:ligatures w14:val="standardContextual"/>
        </w:rPr>
      </w:pPr>
      <w:bookmarkStart w:id="9" w:name="_Hlk169779495"/>
      <w:bookmarkEnd w:id="7"/>
      <w:bookmarkEnd w:id="8"/>
      <w:r w:rsidRPr="00365D05">
        <w:rPr>
          <w:rFonts w:asciiTheme="minorHAnsi" w:eastAsiaTheme="majorEastAsia" w:hAnsiTheme="minorHAnsi" w:cstheme="minorHAnsi"/>
          <w:bCs/>
          <w:szCs w:val="28"/>
          <w:lang w:val="zh-CN" w:eastAsia="zh-CN"/>
        </w:rPr>
        <w:t>3</w:t>
      </w:r>
      <w:r w:rsidRPr="00365D05">
        <w:rPr>
          <w:rFonts w:asciiTheme="minorHAnsi" w:eastAsiaTheme="majorEastAsia" w:hAnsiTheme="minorHAnsi" w:cstheme="minorHAnsi"/>
          <w:bCs/>
          <w:szCs w:val="28"/>
          <w:lang w:val="zh-CN" w:eastAsia="zh-CN"/>
        </w:rPr>
        <w:tab/>
      </w:r>
      <w:r w:rsidRPr="00365D05">
        <w:rPr>
          <w:rFonts w:asciiTheme="minorHAnsi" w:eastAsiaTheme="majorEastAsia" w:hAnsiTheme="minorHAnsi" w:cstheme="minorHAnsi"/>
          <w:bCs/>
          <w:szCs w:val="28"/>
          <w:lang w:val="zh-CN" w:eastAsia="zh-CN"/>
        </w:rPr>
        <w:t>理事会工作组和专家组主席和副主席名单（续）（</w:t>
      </w:r>
      <w:hyperlink r:id="rId16" w:history="1">
        <w:r w:rsidRPr="00365D05">
          <w:rPr>
            <w:rStyle w:val="Hyperlink"/>
            <w:rFonts w:asciiTheme="minorHAnsi" w:eastAsia="Calibri" w:hAnsiTheme="minorHAnsi" w:cstheme="minorHAnsi"/>
            <w:bCs/>
            <w:kern w:val="2"/>
            <w:szCs w:val="28"/>
            <w:lang w:eastAsia="zh-CN"/>
            <w14:ligatures w14:val="standardContextual"/>
          </w:rPr>
          <w:t>C24/21(Rev.5)</w:t>
        </w:r>
      </w:hyperlink>
      <w:r w:rsidRPr="00365D05">
        <w:rPr>
          <w:rFonts w:asciiTheme="minorHAnsi" w:eastAsiaTheme="majorEastAsia" w:hAnsiTheme="minorHAnsi" w:cstheme="minorHAnsi"/>
          <w:bCs/>
          <w:szCs w:val="28"/>
          <w:lang w:val="zh-CN" w:eastAsia="zh-CN"/>
        </w:rPr>
        <w:t>号文件）</w:t>
      </w:r>
    </w:p>
    <w:p w14:paraId="0BA9DDDD" w14:textId="77777777" w:rsidR="001125E8" w:rsidRPr="005E2D55" w:rsidRDefault="001125E8" w:rsidP="001125E8">
      <w:pPr>
        <w:rPr>
          <w:kern w:val="2"/>
          <w:szCs w:val="24"/>
          <w:lang w:eastAsia="zh-CN"/>
          <w14:ligatures w14:val="standardContextual"/>
        </w:rPr>
      </w:pPr>
      <w:r w:rsidRPr="005E2D55">
        <w:rPr>
          <w:lang w:val="zh-CN" w:eastAsia="zh-CN"/>
        </w:rPr>
        <w:t>3.1</w:t>
      </w:r>
      <w:r w:rsidRPr="005E2D55">
        <w:rPr>
          <w:lang w:val="zh-CN" w:eastAsia="zh-CN"/>
        </w:rPr>
        <w:tab/>
      </w:r>
      <w:r w:rsidRPr="005E2D55">
        <w:rPr>
          <w:lang w:val="zh-CN" w:eastAsia="zh-CN"/>
        </w:rPr>
        <w:t>主席向会议通报说，令人遗憾的是，自前一次全体会议以来，他在现有时间内与有关各方进行了讨论，但未能就理事会六种正式语文使用</w:t>
      </w:r>
      <w:r>
        <w:rPr>
          <w:rFonts w:hint="eastAsia"/>
          <w:lang w:val="zh-CN" w:eastAsia="zh-CN"/>
        </w:rPr>
        <w:t>的</w:t>
      </w:r>
      <w:r w:rsidRPr="005E2D55">
        <w:rPr>
          <w:lang w:val="zh-CN" w:eastAsia="zh-CN"/>
        </w:rPr>
        <w:t>工作组（</w:t>
      </w:r>
      <w:r w:rsidRPr="005E2D55">
        <w:rPr>
          <w:lang w:val="zh-CN" w:eastAsia="zh-CN"/>
        </w:rPr>
        <w:t>CWG-LANG</w:t>
      </w:r>
      <w:r w:rsidRPr="005E2D55">
        <w:rPr>
          <w:lang w:val="zh-CN" w:eastAsia="zh-CN"/>
        </w:rPr>
        <w:t>）副主席的任命达成</w:t>
      </w:r>
      <w:r>
        <w:rPr>
          <w:rFonts w:hint="eastAsia"/>
          <w:lang w:val="zh-CN" w:eastAsia="zh-CN"/>
        </w:rPr>
        <w:t>协商一致</w:t>
      </w:r>
      <w:r w:rsidRPr="005E2D55">
        <w:rPr>
          <w:lang w:val="zh-CN" w:eastAsia="zh-CN"/>
        </w:rPr>
        <w:t>。因此，他认为别无选择，只能将该问题的审议推迟至理事会</w:t>
      </w:r>
      <w:r w:rsidRPr="005E2D55">
        <w:rPr>
          <w:lang w:val="zh-CN" w:eastAsia="zh-CN"/>
        </w:rPr>
        <w:t>2025</w:t>
      </w:r>
      <w:r w:rsidRPr="005E2D55">
        <w:rPr>
          <w:lang w:val="zh-CN" w:eastAsia="zh-CN"/>
        </w:rPr>
        <w:t>年会议。</w:t>
      </w:r>
    </w:p>
    <w:p w14:paraId="0EB12C4C" w14:textId="77777777" w:rsidR="001125E8" w:rsidRPr="005E2D55" w:rsidRDefault="001125E8" w:rsidP="001125E8">
      <w:pPr>
        <w:rPr>
          <w:kern w:val="2"/>
          <w:szCs w:val="24"/>
          <w:lang w:eastAsia="zh-CN"/>
          <w14:ligatures w14:val="standardContextual"/>
        </w:rPr>
      </w:pPr>
      <w:r w:rsidRPr="005E2D55">
        <w:rPr>
          <w:lang w:val="zh-CN" w:eastAsia="zh-CN"/>
        </w:rPr>
        <w:lastRenderedPageBreak/>
        <w:t>3.2</w:t>
      </w:r>
      <w:r w:rsidRPr="005E2D55">
        <w:rPr>
          <w:lang w:val="zh-CN" w:eastAsia="zh-CN"/>
        </w:rPr>
        <w:tab/>
      </w:r>
      <w:r w:rsidRPr="005E2D55">
        <w:rPr>
          <w:lang w:val="zh-CN" w:eastAsia="zh-CN"/>
        </w:rPr>
        <w:t>会议对此</w:t>
      </w:r>
      <w:r w:rsidRPr="00ED75A0">
        <w:rPr>
          <w:b/>
          <w:bCs/>
          <w:lang w:val="zh-CN" w:eastAsia="zh-CN"/>
        </w:rPr>
        <w:t>表示同意</w:t>
      </w:r>
      <w:r w:rsidRPr="005E2D55">
        <w:rPr>
          <w:lang w:val="zh-CN" w:eastAsia="zh-CN"/>
        </w:rPr>
        <w:t>。</w:t>
      </w:r>
    </w:p>
    <w:p w14:paraId="3DFD1E40" w14:textId="77777777" w:rsidR="001125E8" w:rsidRPr="005E2D55" w:rsidRDefault="001125E8" w:rsidP="001125E8">
      <w:pPr>
        <w:rPr>
          <w:kern w:val="2"/>
          <w:szCs w:val="24"/>
          <w:lang w:eastAsia="zh-CN"/>
          <w14:ligatures w14:val="standardContextual"/>
        </w:rPr>
      </w:pPr>
      <w:r w:rsidRPr="005E2D55">
        <w:rPr>
          <w:lang w:val="zh-CN" w:eastAsia="zh-CN"/>
        </w:rPr>
        <w:t>3.3</w:t>
      </w:r>
      <w:r w:rsidRPr="005E2D55">
        <w:rPr>
          <w:lang w:val="zh-CN" w:eastAsia="zh-CN"/>
        </w:rPr>
        <w:tab/>
      </w:r>
      <w:r w:rsidRPr="005E2D55">
        <w:rPr>
          <w:lang w:val="zh-CN" w:eastAsia="zh-CN"/>
        </w:rPr>
        <w:t>在回答上一次全体会议转过来的一位理事有关在没有</w:t>
      </w:r>
      <w:r>
        <w:rPr>
          <w:rFonts w:hint="eastAsia"/>
          <w:lang w:val="zh-CN" w:eastAsia="zh-CN"/>
        </w:rPr>
        <w:t>任何一个相关语文的</w:t>
      </w:r>
      <w:r w:rsidRPr="005E2D55">
        <w:rPr>
          <w:lang w:val="zh-CN" w:eastAsia="zh-CN"/>
        </w:rPr>
        <w:t>副主席的情况下</w:t>
      </w:r>
      <w:r>
        <w:rPr>
          <w:rFonts w:hint="eastAsia"/>
          <w:lang w:val="zh-CN" w:eastAsia="zh-CN"/>
        </w:rPr>
        <w:t>对</w:t>
      </w:r>
      <w:r w:rsidRPr="005E2D55">
        <w:rPr>
          <w:lang w:val="zh-CN" w:eastAsia="zh-CN"/>
        </w:rPr>
        <w:t>CWG-LANG</w:t>
      </w:r>
      <w:r>
        <w:rPr>
          <w:rFonts w:hint="eastAsia"/>
          <w:lang w:val="zh-CN" w:eastAsia="zh-CN"/>
        </w:rPr>
        <w:t>运作</w:t>
      </w:r>
      <w:r w:rsidRPr="005E2D55">
        <w:rPr>
          <w:lang w:val="zh-CN" w:eastAsia="zh-CN"/>
        </w:rPr>
        <w:t>的影响的问题时，全体会议秘书指出，若干组在一段时间内一直处于这种状况。应由成员国对具体组的工作进行评估并</w:t>
      </w:r>
      <w:r>
        <w:rPr>
          <w:rFonts w:hint="eastAsia"/>
          <w:lang w:val="zh-CN" w:eastAsia="zh-CN"/>
        </w:rPr>
        <w:t>得出</w:t>
      </w:r>
      <w:r w:rsidRPr="005E2D55">
        <w:rPr>
          <w:lang w:val="zh-CN" w:eastAsia="zh-CN"/>
        </w:rPr>
        <w:t>结论。但是，根据工作组的职责范围，所有成员国均有权参加</w:t>
      </w:r>
      <w:r w:rsidRPr="005E2D55">
        <w:rPr>
          <w:lang w:val="zh-CN" w:eastAsia="zh-CN"/>
        </w:rPr>
        <w:t>CWG-LANG</w:t>
      </w:r>
      <w:r w:rsidRPr="005E2D55">
        <w:rPr>
          <w:lang w:val="zh-CN" w:eastAsia="zh-CN"/>
        </w:rPr>
        <w:t>的工作。</w:t>
      </w:r>
    </w:p>
    <w:p w14:paraId="327E5165" w14:textId="77777777" w:rsidR="001125E8" w:rsidRPr="005E2D55" w:rsidRDefault="001125E8" w:rsidP="001125E8">
      <w:pPr>
        <w:rPr>
          <w:kern w:val="2"/>
          <w:sz w:val="28"/>
          <w:szCs w:val="28"/>
          <w:lang w:eastAsia="zh-CN"/>
          <w14:ligatures w14:val="standardContextual"/>
        </w:rPr>
      </w:pPr>
      <w:bookmarkStart w:id="10" w:name="_Hlk169985550"/>
      <w:bookmarkStart w:id="11" w:name="_Hlk169985577"/>
      <w:r w:rsidRPr="005E2D55">
        <w:rPr>
          <w:lang w:val="zh-CN" w:eastAsia="zh-CN"/>
        </w:rPr>
        <w:t>3.4</w:t>
      </w:r>
      <w:r w:rsidRPr="005E2D55">
        <w:rPr>
          <w:lang w:val="zh-CN" w:eastAsia="zh-CN"/>
        </w:rPr>
        <w:tab/>
      </w:r>
      <w:r w:rsidRPr="005E2D55">
        <w:rPr>
          <w:lang w:val="zh-CN" w:eastAsia="zh-CN"/>
        </w:rPr>
        <w:t>来自南非的理事表示，南非认为任命理事会语文工作组负责俄文的副主席的问题本可以得到更好的处理。</w:t>
      </w:r>
      <w:r>
        <w:rPr>
          <w:rFonts w:hint="eastAsia"/>
          <w:lang w:val="zh-CN" w:eastAsia="zh-CN"/>
        </w:rPr>
        <w:t>她</w:t>
      </w:r>
      <w:r w:rsidRPr="005E2D55">
        <w:rPr>
          <w:lang w:val="zh-CN" w:eastAsia="zh-CN"/>
        </w:rPr>
        <w:t>认为，已经达成了折中，但尚未给予足够的机会来结束此事，例如通过审议一位观察员</w:t>
      </w:r>
      <w:r>
        <w:rPr>
          <w:rFonts w:hint="eastAsia"/>
          <w:lang w:val="zh-CN" w:eastAsia="zh-CN"/>
        </w:rPr>
        <w:t>提出的</w:t>
      </w:r>
      <w:r w:rsidRPr="005E2D55">
        <w:rPr>
          <w:lang w:val="zh-CN" w:eastAsia="zh-CN"/>
        </w:rPr>
        <w:t>任命</w:t>
      </w:r>
      <w:r>
        <w:rPr>
          <w:rFonts w:hint="eastAsia"/>
          <w:lang w:val="zh-CN" w:eastAsia="zh-CN"/>
        </w:rPr>
        <w:t>“</w:t>
      </w:r>
      <w:r w:rsidRPr="005E2D55">
        <w:rPr>
          <w:lang w:val="zh-CN" w:eastAsia="zh-CN"/>
        </w:rPr>
        <w:t>代理副主席</w:t>
      </w:r>
      <w:r>
        <w:rPr>
          <w:rFonts w:hint="eastAsia"/>
          <w:lang w:val="zh-CN" w:eastAsia="zh-CN"/>
        </w:rPr>
        <w:t>”</w:t>
      </w:r>
      <w:r w:rsidRPr="005E2D55">
        <w:rPr>
          <w:lang w:val="zh-CN" w:eastAsia="zh-CN"/>
        </w:rPr>
        <w:t>的提案。古巴理事赞同这一观点，并表示支持后一</w:t>
      </w:r>
      <w:r>
        <w:rPr>
          <w:rFonts w:hint="eastAsia"/>
          <w:lang w:val="zh-CN" w:eastAsia="zh-CN"/>
        </w:rPr>
        <w:t>提案</w:t>
      </w:r>
      <w:r w:rsidRPr="005E2D55">
        <w:rPr>
          <w:lang w:val="zh-CN" w:eastAsia="zh-CN"/>
        </w:rPr>
        <w:t>。</w:t>
      </w:r>
      <w:bookmarkEnd w:id="9"/>
      <w:bookmarkEnd w:id="10"/>
    </w:p>
    <w:p w14:paraId="330568DB" w14:textId="43FB4878" w:rsidR="001125E8" w:rsidRPr="00365D05" w:rsidRDefault="001125E8" w:rsidP="001125E8">
      <w:pPr>
        <w:pStyle w:val="Heading1"/>
        <w:rPr>
          <w:rFonts w:asciiTheme="minorHAnsi" w:hAnsiTheme="minorHAnsi" w:cstheme="minorHAnsi"/>
          <w:kern w:val="2"/>
          <w:szCs w:val="24"/>
          <w:lang w:eastAsia="zh-CN"/>
          <w14:ligatures w14:val="standardContextual"/>
        </w:rPr>
      </w:pPr>
      <w:bookmarkStart w:id="12" w:name="_Hlk169782064"/>
      <w:bookmarkStart w:id="13" w:name="_Hlk169782079"/>
      <w:bookmarkEnd w:id="11"/>
      <w:r w:rsidRPr="00365D05">
        <w:rPr>
          <w:rFonts w:asciiTheme="minorHAnsi" w:hAnsiTheme="minorHAnsi" w:cstheme="minorHAnsi"/>
          <w:lang w:val="zh-CN" w:eastAsia="zh-CN"/>
        </w:rPr>
        <w:t>4</w:t>
      </w:r>
      <w:r w:rsidRPr="00365D05">
        <w:rPr>
          <w:rFonts w:asciiTheme="minorHAnsi" w:hAnsiTheme="minorHAnsi" w:cstheme="minorHAnsi"/>
          <w:lang w:val="zh-CN" w:eastAsia="zh-CN"/>
        </w:rPr>
        <w:tab/>
      </w:r>
      <w:r w:rsidRPr="00365D05">
        <w:rPr>
          <w:rFonts w:asciiTheme="minorHAnsi" w:hAnsiTheme="minorHAnsi" w:cstheme="minorHAnsi"/>
          <w:lang w:val="zh-CN" w:eastAsia="zh-CN"/>
        </w:rPr>
        <w:t>理事会会议闭幕</w:t>
      </w:r>
    </w:p>
    <w:bookmarkEnd w:id="12"/>
    <w:p w14:paraId="67FC17A3" w14:textId="428355B6" w:rsidR="001125E8" w:rsidRPr="00196BFD" w:rsidRDefault="001125E8" w:rsidP="001125E8">
      <w:pPr>
        <w:rPr>
          <w:rFonts w:eastAsiaTheme="minorEastAsia"/>
          <w:kern w:val="2"/>
          <w:szCs w:val="24"/>
          <w:lang w:eastAsia="zh-CN"/>
          <w14:ligatures w14:val="standardContextual"/>
        </w:rPr>
      </w:pPr>
      <w:r w:rsidRPr="005D73FD">
        <w:rPr>
          <w:lang w:eastAsia="zh-CN"/>
        </w:rPr>
        <w:t>4.1</w:t>
      </w:r>
      <w:r w:rsidRPr="005D73FD">
        <w:rPr>
          <w:lang w:eastAsia="zh-CN"/>
        </w:rPr>
        <w:tab/>
      </w:r>
      <w:r w:rsidRPr="005E2D55">
        <w:rPr>
          <w:lang w:val="zh-CN" w:eastAsia="zh-CN"/>
        </w:rPr>
        <w:t>秘书长的讲话见以下网站</w:t>
      </w:r>
      <w:r w:rsidRPr="005D73FD">
        <w:rPr>
          <w:lang w:eastAsia="zh-CN"/>
        </w:rPr>
        <w:t>：</w:t>
      </w:r>
      <w:hyperlink r:id="rId17" w:history="1">
        <w:r w:rsidR="00196BFD" w:rsidRPr="00314624">
          <w:rPr>
            <w:rFonts w:eastAsia="Calibri" w:cs="Calibri"/>
            <w:color w:val="0000FF"/>
            <w:kern w:val="2"/>
            <w:szCs w:val="24"/>
            <w:u w:val="single"/>
            <w14:ligatures w14:val="standardContextual"/>
          </w:rPr>
          <w:t>http://council.itu.int/2024/wp-content/uploads/sites/4/2024/07/C24-ITU-SG-closing-speech.docx</w:t>
        </w:r>
      </w:hyperlink>
      <w:r w:rsidR="00196BFD" w:rsidRPr="00196BFD">
        <w:rPr>
          <w:rFonts w:eastAsiaTheme="minorEastAsia" w:cs="Calibri" w:hint="eastAsia"/>
          <w:kern w:val="2"/>
          <w:szCs w:val="24"/>
          <w:lang w:eastAsia="zh-CN"/>
          <w14:ligatures w14:val="standardContextual"/>
        </w:rPr>
        <w:t>。</w:t>
      </w:r>
    </w:p>
    <w:p w14:paraId="4644F80D" w14:textId="437C08F9" w:rsidR="00314624" w:rsidRPr="005D73FD" w:rsidRDefault="001125E8" w:rsidP="001125E8">
      <w:pPr>
        <w:rPr>
          <w:lang w:eastAsia="zh-CN"/>
        </w:rPr>
      </w:pPr>
      <w:r w:rsidRPr="00314624">
        <w:rPr>
          <w:lang w:eastAsia="zh-CN"/>
        </w:rPr>
        <w:t>4.2</w:t>
      </w:r>
      <w:r w:rsidRPr="00314624">
        <w:rPr>
          <w:lang w:eastAsia="zh-CN"/>
        </w:rPr>
        <w:tab/>
      </w:r>
      <w:r w:rsidRPr="005E2D55">
        <w:rPr>
          <w:lang w:val="zh-CN" w:eastAsia="zh-CN"/>
        </w:rPr>
        <w:t>主席的致辞见</w:t>
      </w:r>
      <w:r w:rsidRPr="00314624">
        <w:rPr>
          <w:lang w:eastAsia="zh-CN"/>
        </w:rPr>
        <w:t>：</w:t>
      </w:r>
      <w:hyperlink r:id="rId18" w:history="1">
        <w:r w:rsidR="00314624" w:rsidRPr="00D84504">
          <w:rPr>
            <w:rStyle w:val="Hyperlink"/>
            <w:rFonts w:eastAsia="Calibri" w:cs="Calibri"/>
            <w:kern w:val="2"/>
            <w:szCs w:val="24"/>
            <w14:ligatures w14:val="standardContextual"/>
          </w:rPr>
          <w:t>http://council.itu.int/2024/wp-content/uploads/sites/4/2024/08/C24-Statement-Chair-Council_closing-e.docx</w:t>
        </w:r>
      </w:hyperlink>
      <w:r w:rsidR="00314624" w:rsidRPr="00196BFD">
        <w:rPr>
          <w:rFonts w:eastAsiaTheme="minorEastAsia" w:cs="Calibri" w:hint="eastAsia"/>
          <w:kern w:val="2"/>
          <w:szCs w:val="24"/>
          <w:lang w:eastAsia="zh-CN"/>
          <w14:ligatures w14:val="standardContextual"/>
        </w:rPr>
        <w:t>。</w:t>
      </w:r>
    </w:p>
    <w:p w14:paraId="49B62DC1" w14:textId="77777777" w:rsidR="001125E8" w:rsidRPr="005E2D55" w:rsidRDefault="001125E8" w:rsidP="001125E8">
      <w:pPr>
        <w:rPr>
          <w:kern w:val="2"/>
          <w:szCs w:val="24"/>
          <w:lang w:eastAsia="zh-CN"/>
          <w14:ligatures w14:val="standardContextual"/>
        </w:rPr>
      </w:pPr>
      <w:r w:rsidRPr="005E2D55">
        <w:rPr>
          <w:lang w:val="zh-CN" w:eastAsia="zh-CN"/>
        </w:rPr>
        <w:t>4.3</w:t>
      </w:r>
      <w:r w:rsidRPr="005E2D55">
        <w:rPr>
          <w:lang w:val="zh-CN" w:eastAsia="zh-CN"/>
        </w:rPr>
        <w:tab/>
      </w:r>
      <w:r w:rsidRPr="005E2D55">
        <w:rPr>
          <w:lang w:val="zh-CN" w:eastAsia="zh-CN"/>
        </w:rPr>
        <w:t>会上播放了一段展示理事会</w:t>
      </w:r>
      <w:r w:rsidRPr="005E2D55">
        <w:rPr>
          <w:lang w:val="zh-CN" w:eastAsia="zh-CN"/>
        </w:rPr>
        <w:t>2024</w:t>
      </w:r>
      <w:r w:rsidRPr="005E2D55">
        <w:rPr>
          <w:lang w:val="zh-CN" w:eastAsia="zh-CN"/>
        </w:rPr>
        <w:t>年会议亮点的视频。</w:t>
      </w:r>
    </w:p>
    <w:p w14:paraId="6D061536" w14:textId="77777777" w:rsidR="001125E8" w:rsidRPr="005E2D55" w:rsidRDefault="001125E8" w:rsidP="001125E8">
      <w:pPr>
        <w:rPr>
          <w:kern w:val="2"/>
          <w:szCs w:val="24"/>
          <w:lang w:eastAsia="zh-CN"/>
          <w14:ligatures w14:val="standardContextual"/>
        </w:rPr>
      </w:pPr>
      <w:r w:rsidRPr="005E2D55">
        <w:rPr>
          <w:lang w:val="zh-CN" w:eastAsia="zh-CN"/>
        </w:rPr>
        <w:t>4.4</w:t>
      </w:r>
      <w:r w:rsidRPr="005E2D55">
        <w:rPr>
          <w:lang w:val="zh-CN" w:eastAsia="zh-CN"/>
        </w:rPr>
        <w:tab/>
      </w:r>
      <w:r w:rsidRPr="005E2D55">
        <w:rPr>
          <w:lang w:val="zh-CN" w:eastAsia="zh-CN"/>
        </w:rPr>
        <w:t>行政和管理常设委员会（</w:t>
      </w:r>
      <w:r w:rsidRPr="005E2D55">
        <w:rPr>
          <w:lang w:val="zh-CN" w:eastAsia="zh-CN"/>
        </w:rPr>
        <w:t>ADM</w:t>
      </w:r>
      <w:r w:rsidRPr="005E2D55">
        <w:rPr>
          <w:lang w:val="zh-CN" w:eastAsia="zh-CN"/>
        </w:rPr>
        <w:t>）主席说，在他结束了</w:t>
      </w:r>
      <w:r w:rsidRPr="005E2D55">
        <w:rPr>
          <w:lang w:val="zh-CN" w:eastAsia="zh-CN"/>
        </w:rPr>
        <w:t>ADM</w:t>
      </w:r>
      <w:r w:rsidRPr="005E2D55">
        <w:rPr>
          <w:lang w:val="zh-CN" w:eastAsia="zh-CN"/>
        </w:rPr>
        <w:t>主席两年的</w:t>
      </w:r>
      <w:r>
        <w:rPr>
          <w:rFonts w:hint="eastAsia"/>
          <w:lang w:val="zh-CN" w:eastAsia="zh-CN"/>
        </w:rPr>
        <w:t>高强度</w:t>
      </w:r>
      <w:r w:rsidRPr="005E2D55">
        <w:rPr>
          <w:lang w:val="zh-CN" w:eastAsia="zh-CN"/>
        </w:rPr>
        <w:t>任期时，他衷心感谢所有支持他的人，包括副主席、选任官员、整个秘书处</w:t>
      </w:r>
      <w:r>
        <w:rPr>
          <w:rFonts w:hint="eastAsia"/>
          <w:lang w:val="zh-CN" w:eastAsia="zh-CN"/>
        </w:rPr>
        <w:t>（</w:t>
      </w:r>
      <w:r w:rsidRPr="005E2D55">
        <w:rPr>
          <w:lang w:val="zh-CN" w:eastAsia="zh-CN"/>
        </w:rPr>
        <w:t>特别要感谢委员会秘书和报告编写人员</w:t>
      </w:r>
      <w:r>
        <w:rPr>
          <w:rFonts w:hint="eastAsia"/>
          <w:lang w:val="zh-CN" w:eastAsia="zh-CN"/>
        </w:rPr>
        <w:t>及其前任</w:t>
      </w:r>
      <w:r w:rsidRPr="005E2D55">
        <w:rPr>
          <w:lang w:val="zh-CN" w:eastAsia="zh-CN"/>
        </w:rPr>
        <w:t>做出的巨大努力</w:t>
      </w:r>
      <w:r>
        <w:rPr>
          <w:rFonts w:hint="eastAsia"/>
          <w:lang w:val="zh-CN" w:eastAsia="zh-CN"/>
        </w:rPr>
        <w:t>）、</w:t>
      </w:r>
      <w:r w:rsidRPr="005E2D55">
        <w:rPr>
          <w:lang w:val="zh-CN" w:eastAsia="zh-CN"/>
        </w:rPr>
        <w:t>在筹备工作中特别活跃的理事们和</w:t>
      </w:r>
      <w:r w:rsidRPr="005E2D55">
        <w:rPr>
          <w:lang w:val="zh-CN" w:eastAsia="zh-CN"/>
        </w:rPr>
        <w:t>/</w:t>
      </w:r>
      <w:r w:rsidRPr="005E2D55">
        <w:rPr>
          <w:lang w:val="zh-CN" w:eastAsia="zh-CN"/>
        </w:rPr>
        <w:t>或担任特设组主席的各位理事、理事会主席及其前任</w:t>
      </w:r>
      <w:r>
        <w:rPr>
          <w:rFonts w:hint="eastAsia"/>
          <w:lang w:val="zh-CN" w:eastAsia="zh-CN"/>
        </w:rPr>
        <w:t>、</w:t>
      </w:r>
      <w:r w:rsidRPr="005E2D55">
        <w:rPr>
          <w:lang w:val="zh-CN" w:eastAsia="zh-CN"/>
        </w:rPr>
        <w:t>瑞士代表团以及同样重要的</w:t>
      </w:r>
      <w:r>
        <w:rPr>
          <w:rFonts w:hint="eastAsia"/>
          <w:lang w:val="zh-CN" w:eastAsia="zh-CN"/>
        </w:rPr>
        <w:t>、</w:t>
      </w:r>
      <w:r w:rsidRPr="005E2D55">
        <w:rPr>
          <w:lang w:val="zh-CN" w:eastAsia="zh-CN"/>
        </w:rPr>
        <w:t>非常支持他的家人。</w:t>
      </w:r>
    </w:p>
    <w:p w14:paraId="1D689921" w14:textId="1BF65BE3" w:rsidR="001125E8" w:rsidRPr="00196BFD" w:rsidRDefault="001125E8" w:rsidP="001125E8">
      <w:pPr>
        <w:rPr>
          <w:lang w:eastAsia="zh-CN"/>
        </w:rPr>
      </w:pPr>
      <w:r w:rsidRPr="00196BFD">
        <w:rPr>
          <w:lang w:eastAsia="zh-CN"/>
        </w:rPr>
        <w:t>4.5</w:t>
      </w:r>
      <w:r w:rsidRPr="00196BFD">
        <w:rPr>
          <w:lang w:eastAsia="zh-CN"/>
        </w:rPr>
        <w:tab/>
      </w:r>
      <w:r w:rsidRPr="005E2D55">
        <w:rPr>
          <w:lang w:val="zh-CN" w:eastAsia="zh-CN"/>
        </w:rPr>
        <w:t>秘书长向理事会主席</w:t>
      </w:r>
      <w:r w:rsidR="00913D0A">
        <w:rPr>
          <w:rFonts w:hint="eastAsia"/>
          <w:lang w:eastAsia="zh-CN"/>
        </w:rPr>
        <w:t>颁发了国际电联奖章，并向他</w:t>
      </w:r>
      <w:r w:rsidRPr="005E2D55">
        <w:rPr>
          <w:lang w:val="zh-CN" w:eastAsia="zh-CN"/>
        </w:rPr>
        <w:t>和</w:t>
      </w:r>
      <w:r w:rsidRPr="00196BFD">
        <w:rPr>
          <w:lang w:eastAsia="zh-CN"/>
        </w:rPr>
        <w:t>ADM</w:t>
      </w:r>
      <w:r w:rsidRPr="005E2D55">
        <w:rPr>
          <w:lang w:val="zh-CN" w:eastAsia="zh-CN"/>
        </w:rPr>
        <w:t>委员会副主席颁发了</w:t>
      </w:r>
      <w:r w:rsidRPr="00970B6A">
        <w:rPr>
          <w:rFonts w:hint="eastAsia"/>
          <w:lang w:val="zh-CN" w:eastAsia="zh-CN"/>
        </w:rPr>
        <w:t>感谢状</w:t>
      </w:r>
      <w:r w:rsidRPr="00196BFD">
        <w:rPr>
          <w:lang w:eastAsia="zh-CN"/>
        </w:rPr>
        <w:t>，</w:t>
      </w:r>
      <w:r w:rsidRPr="005E2D55">
        <w:rPr>
          <w:lang w:val="zh-CN" w:eastAsia="zh-CN"/>
        </w:rPr>
        <w:t>以表彰他们对理事会和委员会的杰出领导。</w:t>
      </w:r>
    </w:p>
    <w:p w14:paraId="50C738AA" w14:textId="77777777" w:rsidR="001125E8" w:rsidRPr="005E2D55" w:rsidRDefault="001125E8" w:rsidP="001125E8">
      <w:pPr>
        <w:rPr>
          <w:kern w:val="2"/>
          <w:szCs w:val="24"/>
          <w:lang w:eastAsia="zh-CN"/>
          <w14:ligatures w14:val="standardContextual"/>
        </w:rPr>
      </w:pPr>
      <w:r w:rsidRPr="005E2D55">
        <w:rPr>
          <w:lang w:val="zh-CN" w:eastAsia="zh-CN"/>
        </w:rPr>
        <w:t>4.6</w:t>
      </w:r>
      <w:r w:rsidRPr="005E2D55">
        <w:rPr>
          <w:lang w:val="zh-CN" w:eastAsia="zh-CN"/>
        </w:rPr>
        <w:tab/>
      </w:r>
      <w:r w:rsidRPr="005E2D55">
        <w:rPr>
          <w:lang w:val="zh-CN" w:eastAsia="zh-CN"/>
        </w:rPr>
        <w:t>几位理事（其中两位代表其区域电信组织）发言称赞主席在理事会</w:t>
      </w:r>
      <w:r w:rsidRPr="005E2D55">
        <w:rPr>
          <w:lang w:val="zh-CN" w:eastAsia="zh-CN"/>
        </w:rPr>
        <w:t>2024</w:t>
      </w:r>
      <w:r w:rsidRPr="005E2D55">
        <w:rPr>
          <w:lang w:val="zh-CN" w:eastAsia="zh-CN"/>
        </w:rPr>
        <w:t>年会议期间表现出的耐心和领导力。他们还感谢理事会副主席、</w:t>
      </w:r>
      <w:r w:rsidRPr="005E2D55">
        <w:rPr>
          <w:lang w:val="zh-CN" w:eastAsia="zh-CN"/>
        </w:rPr>
        <w:t>ADM</w:t>
      </w:r>
      <w:r w:rsidRPr="005E2D55">
        <w:rPr>
          <w:lang w:val="zh-CN" w:eastAsia="zh-CN"/>
        </w:rPr>
        <w:t>主席和副主席、选任官员、</w:t>
      </w:r>
      <w:r>
        <w:rPr>
          <w:rFonts w:hint="eastAsia"/>
          <w:lang w:val="zh-CN" w:eastAsia="zh-CN"/>
        </w:rPr>
        <w:t>全体会议</w:t>
      </w:r>
      <w:r w:rsidRPr="005E2D55">
        <w:rPr>
          <w:lang w:val="zh-CN" w:eastAsia="zh-CN"/>
        </w:rPr>
        <w:t>秘书和整个秘书处给予的宝贵支持，同时感谢口译和技术人员等技术团队的协助，他们确保了会议的顺利进行。</w:t>
      </w:r>
    </w:p>
    <w:p w14:paraId="05D5BC03" w14:textId="7C78BEC9" w:rsidR="001125E8" w:rsidRPr="005E2D55" w:rsidRDefault="00196BFD" w:rsidP="001125E8">
      <w:pPr>
        <w:rPr>
          <w:kern w:val="2"/>
          <w:sz w:val="22"/>
          <w:szCs w:val="24"/>
          <w:lang w:eastAsia="zh-CN"/>
          <w14:ligatures w14:val="standardContextual"/>
        </w:rPr>
      </w:pPr>
      <w:r>
        <w:rPr>
          <w:rFonts w:hint="eastAsia"/>
          <w:lang w:val="zh-CN" w:eastAsia="zh-CN"/>
        </w:rPr>
        <w:t>4</w:t>
      </w:r>
      <w:r w:rsidR="001125E8" w:rsidRPr="005E2D55">
        <w:rPr>
          <w:lang w:val="zh-CN" w:eastAsia="zh-CN"/>
        </w:rPr>
        <w:t>.</w:t>
      </w:r>
      <w:r>
        <w:rPr>
          <w:rFonts w:hint="eastAsia"/>
          <w:lang w:val="zh-CN" w:eastAsia="zh-CN"/>
        </w:rPr>
        <w:t>7</w:t>
      </w:r>
      <w:r w:rsidR="001125E8" w:rsidRPr="005E2D55">
        <w:rPr>
          <w:lang w:val="zh-CN" w:eastAsia="zh-CN"/>
        </w:rPr>
        <w:tab/>
      </w:r>
      <w:r w:rsidR="001125E8" w:rsidRPr="005E2D55">
        <w:rPr>
          <w:lang w:val="zh-CN" w:eastAsia="zh-CN"/>
        </w:rPr>
        <w:t>主席宣布理事会</w:t>
      </w:r>
      <w:r w:rsidR="001125E8" w:rsidRPr="005E2D55">
        <w:rPr>
          <w:lang w:val="zh-CN" w:eastAsia="zh-CN"/>
        </w:rPr>
        <w:t>202</w:t>
      </w:r>
      <w:r w:rsidR="001125E8">
        <w:rPr>
          <w:lang w:val="zh-CN" w:eastAsia="zh-CN"/>
        </w:rPr>
        <w:t>4</w:t>
      </w:r>
      <w:r w:rsidR="001125E8" w:rsidRPr="005E2D55">
        <w:rPr>
          <w:lang w:val="zh-CN" w:eastAsia="zh-CN"/>
        </w:rPr>
        <w:t>年会议闭幕。</w:t>
      </w:r>
      <w:bookmarkEnd w:id="13"/>
    </w:p>
    <w:p w14:paraId="1C0234D8" w14:textId="76A6DFFE" w:rsidR="00A94E45" w:rsidRDefault="00DC1570" w:rsidP="00DC1570">
      <w:pPr>
        <w:tabs>
          <w:tab w:val="clear" w:pos="794"/>
          <w:tab w:val="clear" w:pos="1191"/>
          <w:tab w:val="clear" w:pos="1588"/>
          <w:tab w:val="clear" w:pos="1985"/>
          <w:tab w:val="left" w:pos="6663"/>
        </w:tabs>
        <w:spacing w:before="360"/>
        <w:rPr>
          <w:szCs w:val="24"/>
          <w:lang w:eastAsia="zh-CN"/>
        </w:rPr>
      </w:pPr>
      <w:r>
        <w:rPr>
          <w:rFonts w:hint="eastAsia"/>
          <w:lang w:val="zh-CN" w:eastAsia="zh-CN"/>
        </w:rPr>
        <w:t>秘书长</w:t>
      </w:r>
      <w:r w:rsidR="00A94E45">
        <w:rPr>
          <w:lang w:val="zh-CN" w:eastAsia="zh-CN"/>
        </w:rPr>
        <w:tab/>
      </w:r>
      <w:r w:rsidR="001125E8" w:rsidRPr="005E2D55">
        <w:rPr>
          <w:lang w:val="zh-CN" w:eastAsia="zh-CN"/>
        </w:rPr>
        <w:t>主席：</w:t>
      </w:r>
    </w:p>
    <w:p w14:paraId="02660228" w14:textId="2210953A" w:rsidR="001125E8" w:rsidRPr="00DC1570" w:rsidRDefault="00D81337" w:rsidP="00DC1570">
      <w:pPr>
        <w:tabs>
          <w:tab w:val="clear" w:pos="1985"/>
          <w:tab w:val="left" w:pos="6663"/>
        </w:tabs>
        <w:spacing w:before="0"/>
        <w:rPr>
          <w:szCs w:val="24"/>
          <w:lang w:eastAsia="zh-CN"/>
        </w:rPr>
      </w:pPr>
      <w:r w:rsidRPr="00D81337">
        <w:rPr>
          <w:lang w:val="zh-CN" w:eastAsia="zh-CN"/>
        </w:rPr>
        <w:t>多琳</w:t>
      </w:r>
      <w:r w:rsidRPr="00D81337">
        <w:rPr>
          <w:lang w:val="zh-CN" w:eastAsia="zh-CN"/>
        </w:rPr>
        <w:t>·</w:t>
      </w:r>
      <w:r w:rsidRPr="00D81337">
        <w:rPr>
          <w:lang w:val="zh-CN" w:eastAsia="zh-CN"/>
        </w:rPr>
        <w:t>伯格丹</w:t>
      </w:r>
      <w:r w:rsidRPr="00D81337">
        <w:rPr>
          <w:lang w:val="zh-CN" w:eastAsia="zh-CN"/>
        </w:rPr>
        <w:t>-</w:t>
      </w:r>
      <w:r w:rsidRPr="00D81337">
        <w:rPr>
          <w:lang w:val="zh-CN" w:eastAsia="zh-CN"/>
        </w:rPr>
        <w:t>马</w:t>
      </w:r>
      <w:r w:rsidRPr="00D81337">
        <w:rPr>
          <w:rFonts w:hint="eastAsia"/>
          <w:lang w:val="zh-CN" w:eastAsia="zh-CN"/>
        </w:rPr>
        <w:t>丁</w:t>
      </w:r>
      <w:r w:rsidR="00A94E45">
        <w:rPr>
          <w:lang w:val="zh-CN" w:eastAsia="zh-CN"/>
        </w:rPr>
        <w:tab/>
      </w:r>
      <w:r w:rsidR="001125E8" w:rsidRPr="005E2D55">
        <w:rPr>
          <w:lang w:val="zh-CN" w:eastAsia="zh-CN"/>
        </w:rPr>
        <w:t xml:space="preserve">F. </w:t>
      </w:r>
      <w:r w:rsidR="001125E8" w:rsidRPr="005E2D55">
        <w:rPr>
          <w:lang w:val="zh-CN" w:eastAsia="zh-CN"/>
        </w:rPr>
        <w:t>索瓦奇</w:t>
      </w:r>
    </w:p>
    <w:p w14:paraId="598384D3" w14:textId="53AFA51D" w:rsidR="00AE195F" w:rsidRPr="00E24D59" w:rsidRDefault="001125E8" w:rsidP="001125E8">
      <w:pPr>
        <w:jc w:val="center"/>
      </w:pPr>
      <w:r>
        <w:t>______________</w:t>
      </w:r>
    </w:p>
    <w:sectPr w:rsidR="00AE195F" w:rsidRPr="00E24D59" w:rsidSect="00E24D59">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CCB2E" w14:textId="77777777" w:rsidR="00EB39AE" w:rsidRDefault="00EB39AE">
      <w:r>
        <w:separator/>
      </w:r>
    </w:p>
  </w:endnote>
  <w:endnote w:type="continuationSeparator" w:id="0">
    <w:p w14:paraId="407408E6" w14:textId="77777777" w:rsidR="00EB39AE" w:rsidRDefault="00EB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124E162" w14:textId="77777777" w:rsidTr="00E31DCE">
      <w:trPr>
        <w:jc w:val="center"/>
      </w:trPr>
      <w:tc>
        <w:tcPr>
          <w:tcW w:w="1803" w:type="dxa"/>
          <w:vAlign w:val="center"/>
        </w:tcPr>
        <w:p w14:paraId="7C876FFD" w14:textId="404E7C63" w:rsidR="00E24D59" w:rsidRPr="001125E8" w:rsidRDefault="001125E8" w:rsidP="00E24D59">
          <w:pPr>
            <w:pStyle w:val="Header"/>
            <w:jc w:val="left"/>
            <w:rPr>
              <w:rFonts w:eastAsiaTheme="minorEastAsia"/>
              <w:noProof/>
              <w:lang w:eastAsia="zh-CN"/>
            </w:rPr>
          </w:pPr>
          <w:r>
            <w:rPr>
              <w:rFonts w:eastAsiaTheme="minorEastAsia" w:hint="eastAsia"/>
              <w:noProof/>
              <w:lang w:eastAsia="zh-CN"/>
            </w:rPr>
            <w:t>2401211</w:t>
          </w:r>
        </w:p>
      </w:tc>
      <w:tc>
        <w:tcPr>
          <w:tcW w:w="8261" w:type="dxa"/>
        </w:tcPr>
        <w:p w14:paraId="72E04786" w14:textId="0BD16EC3"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F1FD2">
            <w:rPr>
              <w:rFonts w:eastAsiaTheme="minorEastAsia" w:hint="eastAsia"/>
              <w:bCs/>
              <w:lang w:eastAsia="zh-CN"/>
            </w:rPr>
            <w:t>122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EE73044"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D1D65C6" w14:textId="77777777" w:rsidTr="00E31DCE">
      <w:trPr>
        <w:jc w:val="center"/>
      </w:trPr>
      <w:tc>
        <w:tcPr>
          <w:tcW w:w="1803" w:type="dxa"/>
          <w:vAlign w:val="center"/>
        </w:tcPr>
        <w:p w14:paraId="25556522" w14:textId="77777777" w:rsidR="00E24D59" w:rsidRDefault="00E24D59" w:rsidP="00E24D59">
          <w:pPr>
            <w:pStyle w:val="Header"/>
            <w:jc w:val="left"/>
            <w:rPr>
              <w:noProof/>
            </w:rPr>
          </w:pPr>
          <w:r w:rsidRPr="00B93453">
            <w:rPr>
              <w:color w:val="0563C1"/>
              <w:szCs w:val="14"/>
            </w:rPr>
            <w:t>www.itu.int/council</w:t>
          </w:r>
        </w:p>
      </w:tc>
      <w:tc>
        <w:tcPr>
          <w:tcW w:w="8261" w:type="dxa"/>
        </w:tcPr>
        <w:p w14:paraId="5815885E" w14:textId="3AD98550"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1125E8">
            <w:rPr>
              <w:rFonts w:eastAsiaTheme="minorEastAsia" w:hint="eastAsia"/>
              <w:bCs/>
              <w:lang w:eastAsia="zh-CN"/>
            </w:rPr>
            <w:t>122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BD63EC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02CE2" w14:textId="77777777" w:rsidR="00EB39AE" w:rsidRDefault="00EB39AE">
      <w:r>
        <w:t>____________________</w:t>
      </w:r>
    </w:p>
  </w:footnote>
  <w:footnote w:type="continuationSeparator" w:id="0">
    <w:p w14:paraId="510C99CE" w14:textId="77777777" w:rsidR="00EB39AE" w:rsidRDefault="00EB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6E5B8B8F" w14:textId="77777777" w:rsidTr="00E31DCE">
      <w:trPr>
        <w:trHeight w:val="1104"/>
        <w:jc w:val="center"/>
      </w:trPr>
      <w:tc>
        <w:tcPr>
          <w:tcW w:w="4390" w:type="dxa"/>
          <w:vAlign w:val="center"/>
        </w:tcPr>
        <w:p w14:paraId="1A50D8F6" w14:textId="77777777" w:rsidR="00E24D59" w:rsidRPr="009621F8" w:rsidRDefault="00B93453" w:rsidP="00E24D59">
          <w:pPr>
            <w:pStyle w:val="Header"/>
            <w:jc w:val="left"/>
            <w:rPr>
              <w:rFonts w:ascii="Arial" w:hAnsi="Arial" w:cs="Arial"/>
              <w:b/>
              <w:bCs/>
              <w:color w:val="009CD6"/>
              <w:sz w:val="36"/>
              <w:szCs w:val="36"/>
            </w:rPr>
          </w:pPr>
          <w:bookmarkStart w:id="14" w:name="_Hlk133422111"/>
          <w:r>
            <w:rPr>
              <w:noProof/>
            </w:rPr>
            <w:drawing>
              <wp:inline distT="0" distB="0" distL="0" distR="0" wp14:anchorId="5D6D9B03" wp14:editId="50E0B6E7">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2AA027CA" w14:textId="77777777" w:rsidR="00E24D59" w:rsidRDefault="00E24D59" w:rsidP="00E24D59">
          <w:pPr>
            <w:pStyle w:val="Header"/>
            <w:jc w:val="right"/>
            <w:rPr>
              <w:rFonts w:ascii="Arial" w:hAnsi="Arial" w:cs="Arial"/>
              <w:b/>
              <w:bCs/>
              <w:color w:val="009CD6"/>
              <w:szCs w:val="18"/>
            </w:rPr>
          </w:pPr>
        </w:p>
        <w:p w14:paraId="5D2342BA" w14:textId="77777777" w:rsidR="00E24D59" w:rsidRDefault="00E24D59" w:rsidP="00E24D59">
          <w:pPr>
            <w:pStyle w:val="Header"/>
            <w:jc w:val="right"/>
            <w:rPr>
              <w:rFonts w:ascii="Arial" w:hAnsi="Arial" w:cs="Arial"/>
              <w:b/>
              <w:bCs/>
              <w:color w:val="009CD6"/>
              <w:szCs w:val="18"/>
            </w:rPr>
          </w:pPr>
        </w:p>
        <w:p w14:paraId="2CC3CB5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4905E270"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7D59C93" wp14:editId="38E49961">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4A1CD"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4"/>
  </w:num>
  <w:num w:numId="5" w16cid:durableId="2033219779">
    <w:abstractNumId w:val="6"/>
  </w:num>
  <w:num w:numId="6" w16cid:durableId="349645790">
    <w:abstractNumId w:val="5"/>
  </w:num>
  <w:num w:numId="7" w16cid:durableId="145158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07838"/>
    <w:rsid w:val="000176EF"/>
    <w:rsid w:val="00031E72"/>
    <w:rsid w:val="000404D2"/>
    <w:rsid w:val="000853C0"/>
    <w:rsid w:val="0009409E"/>
    <w:rsid w:val="000A1C21"/>
    <w:rsid w:val="000C0BC5"/>
    <w:rsid w:val="000C118B"/>
    <w:rsid w:val="000D15EA"/>
    <w:rsid w:val="00100D84"/>
    <w:rsid w:val="001125E8"/>
    <w:rsid w:val="00124C9D"/>
    <w:rsid w:val="00157773"/>
    <w:rsid w:val="0018251A"/>
    <w:rsid w:val="00190272"/>
    <w:rsid w:val="00193244"/>
    <w:rsid w:val="00195C6C"/>
    <w:rsid w:val="00195FED"/>
    <w:rsid w:val="00196BFD"/>
    <w:rsid w:val="001A4BD6"/>
    <w:rsid w:val="001D5A18"/>
    <w:rsid w:val="00224449"/>
    <w:rsid w:val="00280EB8"/>
    <w:rsid w:val="002A6670"/>
    <w:rsid w:val="002C3520"/>
    <w:rsid w:val="002F3CB7"/>
    <w:rsid w:val="002F42B8"/>
    <w:rsid w:val="00303502"/>
    <w:rsid w:val="00314624"/>
    <w:rsid w:val="00325C25"/>
    <w:rsid w:val="003264EC"/>
    <w:rsid w:val="00365D05"/>
    <w:rsid w:val="00372C8F"/>
    <w:rsid w:val="00373FD7"/>
    <w:rsid w:val="00380ECE"/>
    <w:rsid w:val="00393DDF"/>
    <w:rsid w:val="00397F55"/>
    <w:rsid w:val="003B4454"/>
    <w:rsid w:val="003C2E37"/>
    <w:rsid w:val="003F1415"/>
    <w:rsid w:val="0040144C"/>
    <w:rsid w:val="00403EB7"/>
    <w:rsid w:val="00430BF0"/>
    <w:rsid w:val="0045094D"/>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5D73FD"/>
    <w:rsid w:val="00630DD5"/>
    <w:rsid w:val="00654257"/>
    <w:rsid w:val="0065435A"/>
    <w:rsid w:val="006A2DD3"/>
    <w:rsid w:val="006A5AF8"/>
    <w:rsid w:val="006C36CD"/>
    <w:rsid w:val="006C75E8"/>
    <w:rsid w:val="00700D1F"/>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11867"/>
    <w:rsid w:val="00913D0A"/>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538D3"/>
    <w:rsid w:val="00A71B57"/>
    <w:rsid w:val="00A94E45"/>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34E72"/>
    <w:rsid w:val="00C45EB2"/>
    <w:rsid w:val="00C64E4E"/>
    <w:rsid w:val="00C66E64"/>
    <w:rsid w:val="00C761A0"/>
    <w:rsid w:val="00C85F7E"/>
    <w:rsid w:val="00C90D53"/>
    <w:rsid w:val="00CA0B2E"/>
    <w:rsid w:val="00CA6EF7"/>
    <w:rsid w:val="00CD47F0"/>
    <w:rsid w:val="00CD5566"/>
    <w:rsid w:val="00CD64D7"/>
    <w:rsid w:val="00CE6F22"/>
    <w:rsid w:val="00CF2226"/>
    <w:rsid w:val="00CF2CF9"/>
    <w:rsid w:val="00CF41F6"/>
    <w:rsid w:val="00CF7D3E"/>
    <w:rsid w:val="00D02B4E"/>
    <w:rsid w:val="00D21F11"/>
    <w:rsid w:val="00D36817"/>
    <w:rsid w:val="00D453EE"/>
    <w:rsid w:val="00D5666C"/>
    <w:rsid w:val="00D666BC"/>
    <w:rsid w:val="00D81337"/>
    <w:rsid w:val="00D83542"/>
    <w:rsid w:val="00D92F45"/>
    <w:rsid w:val="00D94637"/>
    <w:rsid w:val="00D9725C"/>
    <w:rsid w:val="00DA7006"/>
    <w:rsid w:val="00DB3621"/>
    <w:rsid w:val="00DC1570"/>
    <w:rsid w:val="00DC6427"/>
    <w:rsid w:val="00DD62F5"/>
    <w:rsid w:val="00DD66A1"/>
    <w:rsid w:val="00DE196D"/>
    <w:rsid w:val="00DF6B49"/>
    <w:rsid w:val="00E067C5"/>
    <w:rsid w:val="00E24D59"/>
    <w:rsid w:val="00E265BF"/>
    <w:rsid w:val="00E378D8"/>
    <w:rsid w:val="00E43A12"/>
    <w:rsid w:val="00E67C67"/>
    <w:rsid w:val="00E77476"/>
    <w:rsid w:val="00E8228B"/>
    <w:rsid w:val="00EB39AE"/>
    <w:rsid w:val="00EE5706"/>
    <w:rsid w:val="00EF1FD2"/>
    <w:rsid w:val="00EF373D"/>
    <w:rsid w:val="00F11595"/>
    <w:rsid w:val="00F13BC9"/>
    <w:rsid w:val="00F357B2"/>
    <w:rsid w:val="00F36556"/>
    <w:rsid w:val="00F4638C"/>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F3AD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72/en" TargetMode="External"/><Relationship Id="rId13" Type="http://schemas.openxmlformats.org/officeDocument/2006/relationships/hyperlink" Target="https://www.itu.int/md/S24-CL-240604-TD-0011/en" TargetMode="External"/><Relationship Id="rId18" Type="http://schemas.openxmlformats.org/officeDocument/2006/relationships/hyperlink" Target="http://council.itu.int/2024/wp-content/uploads/sites/4/2024/08/C24-Statement-Chair-Council_closing-e.doc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4-CL-C-0088/en" TargetMode="External"/><Relationship Id="rId17" Type="http://schemas.openxmlformats.org/officeDocument/2006/relationships/hyperlink" Target="http://council.itu.int/2024/wp-content/uploads/sites/4/2024/07/C24-ITU-SG-closing-speech.docx" TargetMode="External"/><Relationship Id="rId2" Type="http://schemas.openxmlformats.org/officeDocument/2006/relationships/numbering" Target="numbering.xml"/><Relationship Id="rId16" Type="http://schemas.openxmlformats.org/officeDocument/2006/relationships/hyperlink" Target="https://www.itu.int/md/S24-CL-C-0021/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72/en" TargetMode="External"/><Relationship Id="rId5" Type="http://schemas.openxmlformats.org/officeDocument/2006/relationships/webSettings" Target="webSettings.xml"/><Relationship Id="rId15" Type="http://schemas.openxmlformats.org/officeDocument/2006/relationships/hyperlink" Target="https://www.itu.int/md/S24-CL-240604-TD-0013/en" TargetMode="External"/><Relationship Id="rId23" Type="http://schemas.openxmlformats.org/officeDocument/2006/relationships/theme" Target="theme/theme1.xml"/><Relationship Id="rId10" Type="http://schemas.openxmlformats.org/officeDocument/2006/relationships/hyperlink" Target="https://www.itu.int/md/S24-CL-C-0021/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4-CL-C-0002/en" TargetMode="External"/><Relationship Id="rId14" Type="http://schemas.openxmlformats.org/officeDocument/2006/relationships/hyperlink" Target="https://www.itu.int/md/S24-CL-C-0002/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1919</Words>
  <Characters>1507</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twelfth and last Plenary meeting</dc:title>
  <dc:subject>ITU Council 2024</dc:subject>
  <cp:keywords>C2024, C24 Council-24</cp:keywords>
  <dc:description/>
  <cp:revision>3</cp:revision>
  <cp:lastPrinted>2015-02-24T13:23:00Z</cp:lastPrinted>
  <dcterms:created xsi:type="dcterms:W3CDTF">2024-09-09T14:22:00Z</dcterms:created>
  <dcterms:modified xsi:type="dcterms:W3CDTF">2024-09-09T14:25:00Z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