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08254F" w14:paraId="2592CC74" w14:textId="77777777" w:rsidTr="00D72F49">
        <w:trPr>
          <w:cantSplit/>
          <w:trHeight w:val="23"/>
        </w:trPr>
        <w:tc>
          <w:tcPr>
            <w:tcW w:w="3969" w:type="dxa"/>
            <w:vMerge w:val="restart"/>
            <w:tcMar>
              <w:left w:w="0" w:type="dxa"/>
            </w:tcMar>
          </w:tcPr>
          <w:p w14:paraId="27E56DEB" w14:textId="0D096E58" w:rsidR="00D72F49" w:rsidRPr="0008254F" w:rsidRDefault="00D72F49" w:rsidP="00D72F49">
            <w:pPr>
              <w:tabs>
                <w:tab w:val="left" w:pos="851"/>
              </w:tabs>
              <w:spacing w:before="0" w:line="240" w:lineRule="atLeast"/>
              <w:rPr>
                <w:b/>
              </w:rPr>
            </w:pPr>
          </w:p>
        </w:tc>
        <w:tc>
          <w:tcPr>
            <w:tcW w:w="5245" w:type="dxa"/>
          </w:tcPr>
          <w:p w14:paraId="27B6A98A" w14:textId="041E4A2D" w:rsidR="00D72F49" w:rsidRPr="0008254F" w:rsidRDefault="00D72F49" w:rsidP="00D72F49">
            <w:pPr>
              <w:tabs>
                <w:tab w:val="left" w:pos="851"/>
              </w:tabs>
              <w:spacing w:before="0" w:line="240" w:lineRule="atLeast"/>
              <w:jc w:val="right"/>
              <w:rPr>
                <w:b/>
              </w:rPr>
            </w:pPr>
            <w:r w:rsidRPr="0008254F">
              <w:rPr>
                <w:b/>
              </w:rPr>
              <w:t>Document C2</w:t>
            </w:r>
            <w:r w:rsidR="0073275D" w:rsidRPr="0008254F">
              <w:rPr>
                <w:b/>
              </w:rPr>
              <w:t>4</w:t>
            </w:r>
            <w:r w:rsidRPr="0008254F">
              <w:rPr>
                <w:b/>
              </w:rPr>
              <w:t>/</w:t>
            </w:r>
            <w:r w:rsidR="00F30F9F" w:rsidRPr="0008254F">
              <w:rPr>
                <w:b/>
              </w:rPr>
              <w:t>1</w:t>
            </w:r>
            <w:r w:rsidR="00567849" w:rsidRPr="0008254F">
              <w:rPr>
                <w:b/>
              </w:rPr>
              <w:t>20</w:t>
            </w:r>
            <w:r w:rsidRPr="0008254F">
              <w:rPr>
                <w:b/>
              </w:rPr>
              <w:t>-F</w:t>
            </w:r>
          </w:p>
        </w:tc>
      </w:tr>
      <w:tr w:rsidR="00D72F49" w:rsidRPr="0008254F" w14:paraId="41096C77" w14:textId="77777777" w:rsidTr="00D72F49">
        <w:trPr>
          <w:cantSplit/>
        </w:trPr>
        <w:tc>
          <w:tcPr>
            <w:tcW w:w="3969" w:type="dxa"/>
            <w:vMerge/>
          </w:tcPr>
          <w:p w14:paraId="0BBA5643" w14:textId="77777777" w:rsidR="00D72F49" w:rsidRPr="0008254F" w:rsidRDefault="00D72F49" w:rsidP="00D72F49">
            <w:pPr>
              <w:tabs>
                <w:tab w:val="left" w:pos="851"/>
              </w:tabs>
              <w:spacing w:line="240" w:lineRule="atLeast"/>
              <w:rPr>
                <w:b/>
              </w:rPr>
            </w:pPr>
          </w:p>
        </w:tc>
        <w:tc>
          <w:tcPr>
            <w:tcW w:w="5245" w:type="dxa"/>
          </w:tcPr>
          <w:p w14:paraId="068BECD5" w14:textId="4FE939F8" w:rsidR="00D72F49" w:rsidRPr="0008254F" w:rsidRDefault="00B13494" w:rsidP="00D72F49">
            <w:pPr>
              <w:tabs>
                <w:tab w:val="left" w:pos="851"/>
              </w:tabs>
              <w:spacing w:before="0"/>
              <w:jc w:val="right"/>
              <w:rPr>
                <w:b/>
              </w:rPr>
            </w:pPr>
            <w:r w:rsidRPr="0008254F">
              <w:rPr>
                <w:b/>
              </w:rPr>
              <w:t>29 août</w:t>
            </w:r>
            <w:r w:rsidR="00D72F49" w:rsidRPr="0008254F">
              <w:rPr>
                <w:b/>
              </w:rPr>
              <w:t xml:space="preserve"> 202</w:t>
            </w:r>
            <w:r w:rsidR="0073275D" w:rsidRPr="0008254F">
              <w:rPr>
                <w:b/>
              </w:rPr>
              <w:t>4</w:t>
            </w:r>
          </w:p>
        </w:tc>
      </w:tr>
      <w:tr w:rsidR="00D72F49" w:rsidRPr="0008254F" w14:paraId="17E5B988" w14:textId="77777777" w:rsidTr="00D72F49">
        <w:trPr>
          <w:cantSplit/>
          <w:trHeight w:val="23"/>
        </w:trPr>
        <w:tc>
          <w:tcPr>
            <w:tcW w:w="3969" w:type="dxa"/>
            <w:vMerge/>
          </w:tcPr>
          <w:p w14:paraId="2192D6D7" w14:textId="77777777" w:rsidR="00D72F49" w:rsidRPr="0008254F" w:rsidRDefault="00D72F49" w:rsidP="00D72F49">
            <w:pPr>
              <w:tabs>
                <w:tab w:val="left" w:pos="851"/>
              </w:tabs>
              <w:spacing w:line="240" w:lineRule="atLeast"/>
              <w:rPr>
                <w:b/>
              </w:rPr>
            </w:pPr>
          </w:p>
        </w:tc>
        <w:tc>
          <w:tcPr>
            <w:tcW w:w="5245" w:type="dxa"/>
          </w:tcPr>
          <w:p w14:paraId="1948C622" w14:textId="77777777" w:rsidR="00D72F49" w:rsidRPr="0008254F" w:rsidRDefault="00D72F49" w:rsidP="00D72F49">
            <w:pPr>
              <w:tabs>
                <w:tab w:val="left" w:pos="851"/>
              </w:tabs>
              <w:spacing w:before="0" w:line="240" w:lineRule="atLeast"/>
              <w:jc w:val="right"/>
              <w:rPr>
                <w:b/>
              </w:rPr>
            </w:pPr>
            <w:r w:rsidRPr="0008254F">
              <w:rPr>
                <w:b/>
              </w:rPr>
              <w:t>Original: anglais</w:t>
            </w:r>
          </w:p>
        </w:tc>
      </w:tr>
      <w:tr w:rsidR="00D72F49" w:rsidRPr="0008254F" w14:paraId="53623BEE" w14:textId="77777777" w:rsidTr="00D72F49">
        <w:trPr>
          <w:cantSplit/>
          <w:trHeight w:val="23"/>
        </w:trPr>
        <w:tc>
          <w:tcPr>
            <w:tcW w:w="3969" w:type="dxa"/>
          </w:tcPr>
          <w:p w14:paraId="630B4C34" w14:textId="77777777" w:rsidR="00D72F49" w:rsidRPr="0008254F" w:rsidRDefault="00D72F49" w:rsidP="00D72F49">
            <w:pPr>
              <w:tabs>
                <w:tab w:val="left" w:pos="851"/>
              </w:tabs>
              <w:spacing w:line="240" w:lineRule="atLeast"/>
              <w:rPr>
                <w:b/>
              </w:rPr>
            </w:pPr>
          </w:p>
        </w:tc>
        <w:tc>
          <w:tcPr>
            <w:tcW w:w="5245" w:type="dxa"/>
          </w:tcPr>
          <w:p w14:paraId="437750C4" w14:textId="77777777" w:rsidR="00D72F49" w:rsidRPr="0008254F" w:rsidRDefault="00D72F49" w:rsidP="00D72F49">
            <w:pPr>
              <w:tabs>
                <w:tab w:val="left" w:pos="851"/>
              </w:tabs>
              <w:spacing w:before="0" w:line="240" w:lineRule="atLeast"/>
              <w:jc w:val="right"/>
              <w:rPr>
                <w:b/>
              </w:rPr>
            </w:pPr>
          </w:p>
        </w:tc>
      </w:tr>
      <w:tr w:rsidR="00D72F49" w:rsidRPr="0008254F" w14:paraId="31FFA2A5" w14:textId="77777777" w:rsidTr="00D72F49">
        <w:trPr>
          <w:cantSplit/>
        </w:trPr>
        <w:tc>
          <w:tcPr>
            <w:tcW w:w="9214" w:type="dxa"/>
            <w:gridSpan w:val="2"/>
            <w:tcMar>
              <w:left w:w="0" w:type="dxa"/>
            </w:tcMar>
          </w:tcPr>
          <w:p w14:paraId="7AA1F34C" w14:textId="6DC0805D" w:rsidR="00D72F49" w:rsidRPr="0008254F" w:rsidRDefault="00F30F9F" w:rsidP="00F30F9F">
            <w:pPr>
              <w:pStyle w:val="Source"/>
              <w:rPr>
                <w:sz w:val="34"/>
                <w:szCs w:val="34"/>
              </w:rPr>
            </w:pPr>
            <w:r w:rsidRPr="0008254F">
              <w:rPr>
                <w:sz w:val="34"/>
                <w:szCs w:val="34"/>
              </w:rPr>
              <w:t>COMPTE RENDU</w:t>
            </w:r>
            <w:r w:rsidR="00B045E5" w:rsidRPr="0008254F">
              <w:rPr>
                <w:sz w:val="34"/>
                <w:szCs w:val="34"/>
              </w:rPr>
              <w:br/>
            </w:r>
            <w:r w:rsidRPr="0008254F">
              <w:rPr>
                <w:sz w:val="34"/>
                <w:szCs w:val="34"/>
              </w:rPr>
              <w:br/>
              <w:t>DE LA</w:t>
            </w:r>
            <w:r w:rsidR="00B045E5" w:rsidRPr="0008254F">
              <w:rPr>
                <w:sz w:val="34"/>
                <w:szCs w:val="34"/>
              </w:rPr>
              <w:br/>
            </w:r>
            <w:r w:rsidRPr="0008254F">
              <w:rPr>
                <w:sz w:val="34"/>
                <w:szCs w:val="34"/>
              </w:rPr>
              <w:br/>
            </w:r>
            <w:r w:rsidR="00D56838" w:rsidRPr="0008254F">
              <w:rPr>
                <w:sz w:val="34"/>
                <w:szCs w:val="34"/>
              </w:rPr>
              <w:t>DIXIÈME</w:t>
            </w:r>
            <w:r w:rsidRPr="0008254F">
              <w:rPr>
                <w:sz w:val="34"/>
                <w:szCs w:val="34"/>
              </w:rPr>
              <w:t xml:space="preserve"> SÉANCE PLÉNIÈRE</w:t>
            </w:r>
          </w:p>
        </w:tc>
      </w:tr>
      <w:tr w:rsidR="00D72F49" w:rsidRPr="0008254F" w14:paraId="65E7E3D8" w14:textId="77777777" w:rsidTr="00D72F49">
        <w:trPr>
          <w:cantSplit/>
        </w:trPr>
        <w:tc>
          <w:tcPr>
            <w:tcW w:w="9214" w:type="dxa"/>
            <w:gridSpan w:val="2"/>
            <w:tcMar>
              <w:left w:w="0" w:type="dxa"/>
            </w:tcMar>
          </w:tcPr>
          <w:p w14:paraId="0EA409CC" w14:textId="60815401" w:rsidR="00B045E5" w:rsidRPr="0008254F" w:rsidRDefault="00567849" w:rsidP="00F30F9F">
            <w:pPr>
              <w:pStyle w:val="Subtitle"/>
              <w:framePr w:hSpace="0" w:wrap="auto" w:hAnchor="text" w:xAlign="left" w:yAlign="inline"/>
              <w:jc w:val="center"/>
              <w:rPr>
                <w:sz w:val="24"/>
                <w:szCs w:val="24"/>
                <w:lang w:val="fr-FR"/>
              </w:rPr>
            </w:pPr>
            <w:r w:rsidRPr="0008254F">
              <w:rPr>
                <w:sz w:val="24"/>
                <w:szCs w:val="24"/>
                <w:lang w:val="fr-FR"/>
              </w:rPr>
              <w:t>Jeudi 13</w:t>
            </w:r>
            <w:r w:rsidR="00F30F9F" w:rsidRPr="0008254F">
              <w:rPr>
                <w:sz w:val="24"/>
                <w:szCs w:val="24"/>
                <w:lang w:val="fr-FR"/>
              </w:rPr>
              <w:t xml:space="preserve"> juin 2024, de 1</w:t>
            </w:r>
            <w:r w:rsidRPr="0008254F">
              <w:rPr>
                <w:sz w:val="24"/>
                <w:szCs w:val="24"/>
                <w:lang w:val="fr-FR"/>
              </w:rPr>
              <w:t>8</w:t>
            </w:r>
            <w:r w:rsidR="00B045E5" w:rsidRPr="0008254F">
              <w:rPr>
                <w:sz w:val="24"/>
                <w:szCs w:val="24"/>
                <w:lang w:val="fr-FR"/>
              </w:rPr>
              <w:t xml:space="preserve"> </w:t>
            </w:r>
            <w:r w:rsidR="00F30F9F" w:rsidRPr="0008254F">
              <w:rPr>
                <w:sz w:val="24"/>
                <w:szCs w:val="24"/>
                <w:lang w:val="fr-FR"/>
              </w:rPr>
              <w:t>h</w:t>
            </w:r>
            <w:r w:rsidR="00B045E5" w:rsidRPr="0008254F">
              <w:rPr>
                <w:sz w:val="24"/>
                <w:szCs w:val="24"/>
                <w:lang w:val="fr-FR"/>
              </w:rPr>
              <w:t xml:space="preserve"> </w:t>
            </w:r>
            <w:r w:rsidRPr="0008254F">
              <w:rPr>
                <w:sz w:val="24"/>
                <w:szCs w:val="24"/>
                <w:lang w:val="fr-FR"/>
              </w:rPr>
              <w:t>55</w:t>
            </w:r>
            <w:r w:rsidR="00F30F9F" w:rsidRPr="0008254F">
              <w:rPr>
                <w:sz w:val="24"/>
                <w:szCs w:val="24"/>
                <w:lang w:val="fr-FR"/>
              </w:rPr>
              <w:t xml:space="preserve"> à </w:t>
            </w:r>
            <w:r w:rsidRPr="0008254F">
              <w:rPr>
                <w:sz w:val="24"/>
                <w:szCs w:val="24"/>
                <w:lang w:val="fr-FR"/>
              </w:rPr>
              <w:t>20</w:t>
            </w:r>
            <w:r w:rsidR="00B045E5" w:rsidRPr="0008254F">
              <w:rPr>
                <w:sz w:val="24"/>
                <w:szCs w:val="24"/>
                <w:lang w:val="fr-FR"/>
              </w:rPr>
              <w:t xml:space="preserve"> </w:t>
            </w:r>
            <w:r w:rsidR="00F30F9F" w:rsidRPr="0008254F">
              <w:rPr>
                <w:sz w:val="24"/>
                <w:szCs w:val="24"/>
                <w:lang w:val="fr-FR"/>
              </w:rPr>
              <w:t>h</w:t>
            </w:r>
            <w:r w:rsidR="00B045E5" w:rsidRPr="0008254F">
              <w:rPr>
                <w:sz w:val="24"/>
                <w:szCs w:val="24"/>
                <w:lang w:val="fr-FR"/>
              </w:rPr>
              <w:t xml:space="preserve"> </w:t>
            </w:r>
            <w:r w:rsidRPr="0008254F">
              <w:rPr>
                <w:sz w:val="24"/>
                <w:szCs w:val="24"/>
                <w:lang w:val="fr-FR"/>
              </w:rPr>
              <w:t>15</w:t>
            </w:r>
          </w:p>
          <w:p w14:paraId="370F6D7B" w14:textId="461898F9" w:rsidR="00D72F49" w:rsidRPr="0008254F" w:rsidRDefault="00F30F9F" w:rsidP="00F30F9F">
            <w:pPr>
              <w:pStyle w:val="Subtitle"/>
              <w:framePr w:hSpace="0" w:wrap="auto" w:hAnchor="text" w:xAlign="left" w:yAlign="inline"/>
              <w:jc w:val="center"/>
              <w:rPr>
                <w:sz w:val="24"/>
                <w:szCs w:val="24"/>
                <w:lang w:val="fr-FR"/>
              </w:rPr>
            </w:pPr>
            <w:r w:rsidRPr="0008254F">
              <w:rPr>
                <w:b/>
                <w:bCs/>
                <w:sz w:val="24"/>
                <w:szCs w:val="24"/>
                <w:lang w:val="fr-FR"/>
              </w:rPr>
              <w:t>Président</w:t>
            </w:r>
            <w:r w:rsidRPr="0008254F">
              <w:rPr>
                <w:sz w:val="24"/>
                <w:szCs w:val="24"/>
                <w:lang w:val="fr-FR"/>
              </w:rPr>
              <w:t>: M. F. Sauvage (France)</w:t>
            </w:r>
          </w:p>
        </w:tc>
      </w:tr>
    </w:tbl>
    <w:tbl>
      <w:tblPr>
        <w:tblpPr w:leftFromText="181" w:rightFromText="181" w:vertAnchor="text" w:horzAnchor="page" w:tblpX="1821" w:tblpY="1"/>
        <w:tblOverlap w:val="never"/>
        <w:tblW w:w="9214" w:type="dxa"/>
        <w:tblLayout w:type="fixed"/>
        <w:tblLook w:val="04A0" w:firstRow="1" w:lastRow="0" w:firstColumn="1" w:lastColumn="0" w:noHBand="0" w:noVBand="1"/>
      </w:tblPr>
      <w:tblGrid>
        <w:gridCol w:w="446"/>
        <w:gridCol w:w="6597"/>
        <w:gridCol w:w="2171"/>
      </w:tblGrid>
      <w:tr w:rsidR="00567849" w:rsidRPr="0008254F" w14:paraId="350F548C" w14:textId="77777777" w:rsidTr="0019166E">
        <w:tc>
          <w:tcPr>
            <w:tcW w:w="242" w:type="pct"/>
          </w:tcPr>
          <w:p w14:paraId="6D506B0F" w14:textId="77777777" w:rsidR="00567849" w:rsidRPr="0008254F" w:rsidRDefault="00567849" w:rsidP="0019166E">
            <w:pPr>
              <w:spacing w:before="480"/>
              <w:rPr>
                <w:b/>
                <w:bCs/>
                <w:szCs w:val="24"/>
              </w:rPr>
            </w:pPr>
            <w:bookmarkStart w:id="0" w:name="_Hlk141438382"/>
            <w:r w:rsidRPr="0008254F">
              <w:rPr>
                <w:b/>
                <w:bCs/>
                <w:szCs w:val="24"/>
              </w:rPr>
              <w:br w:type="page"/>
            </w:r>
            <w:r w:rsidRPr="0008254F">
              <w:rPr>
                <w:b/>
                <w:bCs/>
                <w:szCs w:val="24"/>
              </w:rPr>
              <w:br w:type="page"/>
            </w:r>
          </w:p>
        </w:tc>
        <w:tc>
          <w:tcPr>
            <w:tcW w:w="3580" w:type="pct"/>
            <w:hideMark/>
          </w:tcPr>
          <w:p w14:paraId="4128112A" w14:textId="3A52FE4E" w:rsidR="00567849" w:rsidRPr="0008254F" w:rsidRDefault="00567849" w:rsidP="0019166E">
            <w:pPr>
              <w:spacing w:before="480" w:after="120"/>
              <w:rPr>
                <w:b/>
                <w:bCs/>
                <w:szCs w:val="24"/>
              </w:rPr>
            </w:pPr>
            <w:r w:rsidRPr="0008254F">
              <w:rPr>
                <w:b/>
                <w:bCs/>
                <w:szCs w:val="24"/>
              </w:rPr>
              <w:t>Su</w:t>
            </w:r>
            <w:r w:rsidR="00CC1F5D" w:rsidRPr="0008254F">
              <w:rPr>
                <w:b/>
                <w:bCs/>
                <w:szCs w:val="24"/>
              </w:rPr>
              <w:t>je</w:t>
            </w:r>
            <w:r w:rsidRPr="0008254F">
              <w:rPr>
                <w:b/>
                <w:bCs/>
                <w:szCs w:val="24"/>
              </w:rPr>
              <w:t xml:space="preserve">ts </w:t>
            </w:r>
            <w:r w:rsidR="00CC1F5D" w:rsidRPr="0008254F">
              <w:rPr>
                <w:b/>
                <w:bCs/>
                <w:szCs w:val="24"/>
              </w:rPr>
              <w:t>traités</w:t>
            </w:r>
          </w:p>
        </w:tc>
        <w:tc>
          <w:tcPr>
            <w:tcW w:w="1178" w:type="pct"/>
            <w:hideMark/>
          </w:tcPr>
          <w:p w14:paraId="392755B2" w14:textId="77777777" w:rsidR="00567849" w:rsidRPr="0008254F" w:rsidRDefault="00567849" w:rsidP="0019166E">
            <w:pPr>
              <w:spacing w:before="480"/>
              <w:jc w:val="center"/>
              <w:rPr>
                <w:b/>
                <w:bCs/>
                <w:szCs w:val="24"/>
              </w:rPr>
            </w:pPr>
            <w:r w:rsidRPr="0008254F">
              <w:rPr>
                <w:b/>
                <w:bCs/>
                <w:szCs w:val="24"/>
              </w:rPr>
              <w:t>Documents</w:t>
            </w:r>
          </w:p>
        </w:tc>
      </w:tr>
      <w:tr w:rsidR="00567849" w:rsidRPr="0008254F" w14:paraId="6037DDA8" w14:textId="77777777" w:rsidTr="0019166E">
        <w:trPr>
          <w:trHeight w:val="20"/>
        </w:trPr>
        <w:tc>
          <w:tcPr>
            <w:tcW w:w="242" w:type="pct"/>
            <w:hideMark/>
          </w:tcPr>
          <w:p w14:paraId="282B5242" w14:textId="77777777" w:rsidR="00567849" w:rsidRPr="0008254F" w:rsidRDefault="00567849" w:rsidP="0019166E">
            <w:pPr>
              <w:spacing w:before="80" w:after="80"/>
              <w:rPr>
                <w:szCs w:val="24"/>
              </w:rPr>
            </w:pPr>
            <w:r w:rsidRPr="0008254F">
              <w:rPr>
                <w:szCs w:val="24"/>
              </w:rPr>
              <w:t>1</w:t>
            </w:r>
          </w:p>
        </w:tc>
        <w:tc>
          <w:tcPr>
            <w:tcW w:w="3580" w:type="pct"/>
          </w:tcPr>
          <w:p w14:paraId="20FF67D3" w14:textId="3A9786B0" w:rsidR="00567849" w:rsidRPr="0008254F" w:rsidRDefault="00567849" w:rsidP="0019166E">
            <w:pPr>
              <w:spacing w:before="80" w:after="80"/>
              <w:rPr>
                <w:szCs w:val="24"/>
              </w:rPr>
            </w:pPr>
            <w:r w:rsidRPr="0008254F">
              <w:rPr>
                <w:rFonts w:asciiTheme="minorHAnsi" w:hAnsiTheme="minorHAnsi" w:cstheme="minorHAnsi"/>
                <w:szCs w:val="24"/>
                <w:lang w:eastAsia="en-GB"/>
              </w:rPr>
              <w:t>R</w:t>
            </w:r>
            <w:r w:rsidR="00CC1F5D" w:rsidRPr="0008254F">
              <w:rPr>
                <w:rFonts w:asciiTheme="minorHAnsi" w:hAnsiTheme="minorHAnsi" w:cstheme="minorHAnsi"/>
                <w:szCs w:val="24"/>
                <w:lang w:eastAsia="en-GB"/>
              </w:rPr>
              <w:t>apport de la Commission permanente de l'administration et de la gestion</w:t>
            </w:r>
          </w:p>
        </w:tc>
        <w:tc>
          <w:tcPr>
            <w:tcW w:w="1178" w:type="pct"/>
          </w:tcPr>
          <w:p w14:paraId="013EC5D3" w14:textId="77777777" w:rsidR="00567849" w:rsidRPr="0008254F" w:rsidRDefault="00741459" w:rsidP="0019166E">
            <w:pPr>
              <w:spacing w:before="80" w:after="80"/>
              <w:jc w:val="center"/>
              <w:rPr>
                <w:szCs w:val="24"/>
              </w:rPr>
            </w:pPr>
            <w:hyperlink r:id="rId8" w:history="1">
              <w:r w:rsidR="00567849" w:rsidRPr="0008254F">
                <w:rPr>
                  <w:rStyle w:val="Hyperlink"/>
                  <w:szCs w:val="24"/>
                </w:rPr>
                <w:t>C24/109</w:t>
              </w:r>
            </w:hyperlink>
          </w:p>
        </w:tc>
      </w:tr>
      <w:tr w:rsidR="00567849" w:rsidRPr="0008254F" w14:paraId="3B2EE2FA" w14:textId="77777777" w:rsidTr="0019166E">
        <w:trPr>
          <w:trHeight w:val="20"/>
        </w:trPr>
        <w:tc>
          <w:tcPr>
            <w:tcW w:w="242" w:type="pct"/>
          </w:tcPr>
          <w:p w14:paraId="5A3F641A" w14:textId="77777777" w:rsidR="00567849" w:rsidRPr="0008254F" w:rsidRDefault="00567849" w:rsidP="0019166E">
            <w:pPr>
              <w:spacing w:before="80" w:after="80"/>
              <w:rPr>
                <w:szCs w:val="24"/>
              </w:rPr>
            </w:pPr>
            <w:r w:rsidRPr="0008254F">
              <w:rPr>
                <w:szCs w:val="24"/>
              </w:rPr>
              <w:t>2</w:t>
            </w:r>
          </w:p>
        </w:tc>
        <w:tc>
          <w:tcPr>
            <w:tcW w:w="3580" w:type="pct"/>
          </w:tcPr>
          <w:p w14:paraId="4CF0183B" w14:textId="7C03ACD8" w:rsidR="00567849" w:rsidRPr="0008254F" w:rsidRDefault="00CC1F5D" w:rsidP="0019166E">
            <w:pPr>
              <w:spacing w:before="80" w:after="80"/>
              <w:rPr>
                <w:rFonts w:asciiTheme="minorHAnsi" w:hAnsiTheme="minorHAnsi" w:cstheme="minorHAnsi"/>
                <w:color w:val="2F2F2F"/>
                <w:szCs w:val="24"/>
                <w:shd w:val="clear" w:color="auto" w:fill="FFFFFF"/>
              </w:rPr>
            </w:pPr>
            <w:r w:rsidRPr="0008254F">
              <w:rPr>
                <w:rFonts w:asciiTheme="minorHAnsi" w:hAnsiTheme="minorHAnsi" w:cstheme="minorHAnsi"/>
                <w:szCs w:val="24"/>
                <w:lang w:eastAsia="en-GB"/>
              </w:rPr>
              <w:t>État d'avancement des préparatifs en vue du Sommet sur la jeunesse</w:t>
            </w:r>
          </w:p>
        </w:tc>
        <w:tc>
          <w:tcPr>
            <w:tcW w:w="1178" w:type="pct"/>
          </w:tcPr>
          <w:p w14:paraId="31DE60A8" w14:textId="77777777" w:rsidR="00567849" w:rsidRPr="0008254F" w:rsidRDefault="00741459" w:rsidP="0019166E">
            <w:pPr>
              <w:spacing w:before="80" w:after="80"/>
              <w:jc w:val="center"/>
              <w:rPr>
                <w:szCs w:val="24"/>
              </w:rPr>
            </w:pPr>
            <w:hyperlink r:id="rId9" w:history="1">
              <w:r w:rsidR="00567849" w:rsidRPr="0008254F">
                <w:rPr>
                  <w:rStyle w:val="Hyperlink"/>
                  <w:rFonts w:asciiTheme="minorHAnsi" w:hAnsiTheme="minorHAnsi" w:cstheme="minorHAnsi"/>
                  <w:szCs w:val="24"/>
                </w:rPr>
                <w:t>C24/32</w:t>
              </w:r>
            </w:hyperlink>
          </w:p>
        </w:tc>
      </w:tr>
      <w:tr w:rsidR="00567849" w:rsidRPr="0008254F" w14:paraId="2B36C492" w14:textId="77777777" w:rsidTr="0019166E">
        <w:trPr>
          <w:trHeight w:val="20"/>
        </w:trPr>
        <w:tc>
          <w:tcPr>
            <w:tcW w:w="242" w:type="pct"/>
          </w:tcPr>
          <w:p w14:paraId="10C65169" w14:textId="77777777" w:rsidR="00567849" w:rsidRPr="0008254F" w:rsidRDefault="00567849" w:rsidP="0019166E">
            <w:pPr>
              <w:spacing w:before="80" w:after="80"/>
              <w:rPr>
                <w:szCs w:val="24"/>
              </w:rPr>
            </w:pPr>
            <w:r w:rsidRPr="0008254F">
              <w:rPr>
                <w:szCs w:val="24"/>
              </w:rPr>
              <w:t>3</w:t>
            </w:r>
          </w:p>
        </w:tc>
        <w:tc>
          <w:tcPr>
            <w:tcW w:w="3580" w:type="pct"/>
          </w:tcPr>
          <w:p w14:paraId="232DF2A7" w14:textId="4D1377CC" w:rsidR="00567849" w:rsidRPr="0008254F" w:rsidRDefault="00CC1F5D" w:rsidP="0019166E">
            <w:pPr>
              <w:spacing w:before="80" w:after="80"/>
              <w:rPr>
                <w:rFonts w:asciiTheme="minorHAnsi" w:hAnsiTheme="minorHAnsi" w:cstheme="minorHAnsi"/>
                <w:color w:val="2F2F2F"/>
                <w:szCs w:val="24"/>
                <w:shd w:val="clear" w:color="auto" w:fill="FFFFFF"/>
              </w:rPr>
            </w:pPr>
            <w:r w:rsidRPr="0008254F">
              <w:rPr>
                <w:rFonts w:asciiTheme="minorHAnsi" w:hAnsiTheme="minorHAnsi" w:cstheme="minorHAnsi"/>
                <w:szCs w:val="24"/>
              </w:rPr>
              <w:t>Travaux préparatoires en vue du Forum mondial des politiques de télécommunication/TIC (FMPT-26)</w:t>
            </w:r>
            <w:r w:rsidR="00567849" w:rsidRPr="0008254F">
              <w:rPr>
                <w:rFonts w:asciiTheme="minorHAnsi" w:hAnsiTheme="minorHAnsi" w:cstheme="minorHAnsi"/>
                <w:szCs w:val="24"/>
              </w:rPr>
              <w:t>(</w:t>
            </w:r>
            <w:r w:rsidRPr="0008254F">
              <w:rPr>
                <w:rFonts w:asciiTheme="minorHAnsi" w:hAnsiTheme="minorHAnsi" w:cstheme="minorHAnsi"/>
                <w:szCs w:val="24"/>
              </w:rPr>
              <w:t>suite</w:t>
            </w:r>
            <w:r w:rsidR="00567849" w:rsidRPr="0008254F">
              <w:rPr>
                <w:rFonts w:asciiTheme="minorHAnsi" w:hAnsiTheme="minorHAnsi" w:cstheme="minorHAnsi"/>
                <w:szCs w:val="24"/>
              </w:rPr>
              <w:t>)</w:t>
            </w:r>
          </w:p>
        </w:tc>
        <w:tc>
          <w:tcPr>
            <w:tcW w:w="1178" w:type="pct"/>
          </w:tcPr>
          <w:p w14:paraId="34C2AB6A" w14:textId="77777777" w:rsidR="00567849" w:rsidRPr="0008254F" w:rsidRDefault="00741459" w:rsidP="0019166E">
            <w:pPr>
              <w:spacing w:before="80" w:after="80"/>
              <w:jc w:val="center"/>
              <w:rPr>
                <w:szCs w:val="24"/>
              </w:rPr>
            </w:pPr>
            <w:hyperlink r:id="rId10" w:history="1">
              <w:r w:rsidR="00567849" w:rsidRPr="0008254F">
                <w:rPr>
                  <w:rStyle w:val="Hyperlink"/>
                  <w:rFonts w:asciiTheme="minorHAnsi" w:hAnsiTheme="minorHAnsi" w:cstheme="minorHAnsi"/>
                  <w:szCs w:val="24"/>
                </w:rPr>
                <w:t>C24/5</w:t>
              </w:r>
            </w:hyperlink>
            <w:r w:rsidR="00567849" w:rsidRPr="0008254F">
              <w:rPr>
                <w:rFonts w:asciiTheme="minorHAnsi" w:hAnsiTheme="minorHAnsi" w:cstheme="minorHAnsi"/>
                <w:szCs w:val="24"/>
              </w:rPr>
              <w:t xml:space="preserve">, </w:t>
            </w:r>
            <w:hyperlink r:id="rId11" w:history="1">
              <w:r w:rsidR="00567849" w:rsidRPr="0008254F">
                <w:rPr>
                  <w:rStyle w:val="Hyperlink"/>
                  <w:rFonts w:asciiTheme="minorHAnsi" w:hAnsiTheme="minorHAnsi" w:cstheme="minorHAnsi"/>
                  <w:szCs w:val="24"/>
                </w:rPr>
                <w:t>C24/75</w:t>
              </w:r>
            </w:hyperlink>
            <w:r w:rsidR="00567849" w:rsidRPr="0008254F">
              <w:rPr>
                <w:rFonts w:asciiTheme="minorHAnsi" w:hAnsiTheme="minorHAnsi" w:cstheme="minorHAnsi"/>
                <w:szCs w:val="24"/>
              </w:rPr>
              <w:t xml:space="preserve">, </w:t>
            </w:r>
            <w:hyperlink r:id="rId12" w:history="1">
              <w:r w:rsidR="00567849" w:rsidRPr="0008254F">
                <w:rPr>
                  <w:rStyle w:val="Hyperlink"/>
                  <w:rFonts w:asciiTheme="minorHAnsi" w:hAnsiTheme="minorHAnsi" w:cstheme="minorHAnsi"/>
                  <w:szCs w:val="24"/>
                </w:rPr>
                <w:t>C24/76</w:t>
              </w:r>
            </w:hyperlink>
            <w:r w:rsidR="00567849" w:rsidRPr="0008254F">
              <w:rPr>
                <w:rFonts w:asciiTheme="minorHAnsi" w:hAnsiTheme="minorHAnsi" w:cstheme="minorHAnsi"/>
                <w:szCs w:val="24"/>
              </w:rPr>
              <w:t xml:space="preserve">, </w:t>
            </w:r>
            <w:hyperlink r:id="rId13" w:history="1">
              <w:r w:rsidR="00567849" w:rsidRPr="0008254F">
                <w:rPr>
                  <w:rStyle w:val="Hyperlink"/>
                  <w:rFonts w:asciiTheme="minorHAnsi" w:hAnsiTheme="minorHAnsi" w:cstheme="minorHAnsi"/>
                  <w:szCs w:val="24"/>
                </w:rPr>
                <w:t>C24/93</w:t>
              </w:r>
            </w:hyperlink>
            <w:r w:rsidR="00567849" w:rsidRPr="0008254F">
              <w:rPr>
                <w:rFonts w:asciiTheme="minorHAnsi" w:hAnsiTheme="minorHAnsi" w:cstheme="minorHAnsi"/>
                <w:szCs w:val="24"/>
              </w:rPr>
              <w:t xml:space="preserve">, </w:t>
            </w:r>
            <w:hyperlink r:id="rId14" w:history="1">
              <w:r w:rsidR="00567849" w:rsidRPr="0008254F">
                <w:rPr>
                  <w:rStyle w:val="Hyperlink"/>
                  <w:rFonts w:asciiTheme="minorHAnsi" w:hAnsiTheme="minorHAnsi" w:cstheme="minorHAnsi"/>
                  <w:szCs w:val="24"/>
                </w:rPr>
                <w:t>C24/95</w:t>
              </w:r>
            </w:hyperlink>
            <w:r w:rsidR="00567849" w:rsidRPr="0008254F">
              <w:rPr>
                <w:rFonts w:asciiTheme="minorHAnsi" w:hAnsiTheme="minorHAnsi" w:cstheme="minorHAnsi"/>
                <w:szCs w:val="24"/>
              </w:rPr>
              <w:t xml:space="preserve">, </w:t>
            </w:r>
            <w:hyperlink r:id="rId15" w:history="1">
              <w:r w:rsidR="00567849" w:rsidRPr="0008254F">
                <w:rPr>
                  <w:rStyle w:val="Hyperlink"/>
                  <w:rFonts w:asciiTheme="minorHAnsi" w:hAnsiTheme="minorHAnsi" w:cstheme="minorHAnsi"/>
                  <w:szCs w:val="24"/>
                </w:rPr>
                <w:t>C24/96</w:t>
              </w:r>
            </w:hyperlink>
            <w:r w:rsidR="00567849" w:rsidRPr="0008254F">
              <w:rPr>
                <w:rFonts w:asciiTheme="minorHAnsi" w:hAnsiTheme="minorHAnsi" w:cstheme="minorHAnsi"/>
                <w:szCs w:val="24"/>
              </w:rPr>
              <w:t xml:space="preserve">, </w:t>
            </w:r>
            <w:hyperlink r:id="rId16" w:history="1">
              <w:r w:rsidR="00567849" w:rsidRPr="0008254F">
                <w:rPr>
                  <w:rStyle w:val="Hyperlink"/>
                  <w:rFonts w:asciiTheme="minorHAnsi" w:hAnsiTheme="minorHAnsi" w:cstheme="minorHAnsi"/>
                  <w:szCs w:val="24"/>
                </w:rPr>
                <w:t>C24/DT/7</w:t>
              </w:r>
            </w:hyperlink>
          </w:p>
        </w:tc>
      </w:tr>
      <w:tr w:rsidR="00567849" w:rsidRPr="0008254F" w14:paraId="0B01510F" w14:textId="77777777" w:rsidTr="0019166E">
        <w:trPr>
          <w:trHeight w:val="20"/>
        </w:trPr>
        <w:tc>
          <w:tcPr>
            <w:tcW w:w="242" w:type="pct"/>
          </w:tcPr>
          <w:p w14:paraId="6F1FDE51" w14:textId="77777777" w:rsidR="00567849" w:rsidRPr="0008254F" w:rsidRDefault="00567849" w:rsidP="0019166E">
            <w:pPr>
              <w:spacing w:before="80" w:after="80"/>
              <w:rPr>
                <w:szCs w:val="24"/>
              </w:rPr>
            </w:pPr>
            <w:r w:rsidRPr="0008254F">
              <w:rPr>
                <w:szCs w:val="24"/>
              </w:rPr>
              <w:t>4</w:t>
            </w:r>
          </w:p>
        </w:tc>
        <w:tc>
          <w:tcPr>
            <w:tcW w:w="3580" w:type="pct"/>
          </w:tcPr>
          <w:p w14:paraId="34A0BBFE" w14:textId="639EFAF0" w:rsidR="00567849" w:rsidRPr="0008254F" w:rsidRDefault="00CC1F5D" w:rsidP="0019166E">
            <w:pPr>
              <w:spacing w:before="80" w:after="80"/>
              <w:rPr>
                <w:szCs w:val="24"/>
              </w:rPr>
            </w:pPr>
            <w:r w:rsidRPr="0008254F">
              <w:rPr>
                <w:rFonts w:asciiTheme="minorHAnsi" w:hAnsiTheme="minorHAnsi" w:cstheme="minorHAnsi"/>
                <w:szCs w:val="24"/>
              </w:rPr>
              <w:t>Activités de l'UIT relatives à l'Internet: Résolution 101, 102, 133, 180 et 206 de la Conférence de plénipotentiaires</w:t>
            </w:r>
            <w:r w:rsidR="00567849" w:rsidRPr="0008254F">
              <w:rPr>
                <w:rFonts w:asciiTheme="minorHAnsi" w:hAnsiTheme="minorHAnsi" w:cstheme="minorHAnsi"/>
                <w:szCs w:val="24"/>
              </w:rPr>
              <w:t xml:space="preserve"> (</w:t>
            </w:r>
            <w:r w:rsidRPr="0008254F">
              <w:rPr>
                <w:rFonts w:asciiTheme="minorHAnsi" w:hAnsiTheme="minorHAnsi" w:cstheme="minorHAnsi"/>
                <w:szCs w:val="24"/>
              </w:rPr>
              <w:t>suite</w:t>
            </w:r>
            <w:r w:rsidR="00567849" w:rsidRPr="0008254F">
              <w:rPr>
                <w:rFonts w:asciiTheme="minorHAnsi" w:hAnsiTheme="minorHAnsi" w:cstheme="minorHAnsi"/>
                <w:szCs w:val="24"/>
              </w:rPr>
              <w:t>)</w:t>
            </w:r>
          </w:p>
        </w:tc>
        <w:tc>
          <w:tcPr>
            <w:tcW w:w="1178" w:type="pct"/>
          </w:tcPr>
          <w:p w14:paraId="1558CEC6" w14:textId="77777777" w:rsidR="00567849" w:rsidRPr="0008254F" w:rsidRDefault="00741459" w:rsidP="0019166E">
            <w:pPr>
              <w:spacing w:before="80" w:after="80"/>
              <w:jc w:val="center"/>
              <w:rPr>
                <w:szCs w:val="24"/>
              </w:rPr>
            </w:pPr>
            <w:hyperlink r:id="rId17" w:history="1">
              <w:r w:rsidR="00567849" w:rsidRPr="0008254F">
                <w:rPr>
                  <w:rStyle w:val="Hyperlink"/>
                  <w:rFonts w:asciiTheme="minorHAnsi" w:hAnsiTheme="minorHAnsi" w:cstheme="minorHAnsi"/>
                  <w:szCs w:val="24"/>
                </w:rPr>
                <w:t>C24/33</w:t>
              </w:r>
            </w:hyperlink>
            <w:r w:rsidR="00567849" w:rsidRPr="0008254F">
              <w:rPr>
                <w:rFonts w:asciiTheme="minorHAnsi" w:hAnsiTheme="minorHAnsi" w:cstheme="minorHAnsi"/>
                <w:szCs w:val="24"/>
              </w:rPr>
              <w:t xml:space="preserve">, </w:t>
            </w:r>
            <w:hyperlink r:id="rId18" w:history="1">
              <w:r w:rsidR="00567849" w:rsidRPr="0008254F">
                <w:rPr>
                  <w:rStyle w:val="Hyperlink"/>
                  <w:rFonts w:asciiTheme="minorHAnsi" w:hAnsiTheme="minorHAnsi" w:cstheme="minorHAnsi"/>
                  <w:szCs w:val="24"/>
                </w:rPr>
                <w:t>C24/DT/8</w:t>
              </w:r>
            </w:hyperlink>
          </w:p>
        </w:tc>
      </w:tr>
      <w:tr w:rsidR="00567849" w:rsidRPr="0008254F" w14:paraId="47A42FC3" w14:textId="77777777" w:rsidTr="0019166E">
        <w:trPr>
          <w:trHeight w:val="20"/>
        </w:trPr>
        <w:tc>
          <w:tcPr>
            <w:tcW w:w="242" w:type="pct"/>
          </w:tcPr>
          <w:p w14:paraId="4C8F58BB" w14:textId="77777777" w:rsidR="00567849" w:rsidRPr="0008254F" w:rsidRDefault="00567849" w:rsidP="0019166E">
            <w:pPr>
              <w:spacing w:before="80" w:after="80"/>
              <w:rPr>
                <w:szCs w:val="24"/>
              </w:rPr>
            </w:pPr>
            <w:r w:rsidRPr="0008254F">
              <w:rPr>
                <w:szCs w:val="24"/>
              </w:rPr>
              <w:t>5</w:t>
            </w:r>
          </w:p>
        </w:tc>
        <w:tc>
          <w:tcPr>
            <w:tcW w:w="3580" w:type="pct"/>
          </w:tcPr>
          <w:p w14:paraId="324BE530" w14:textId="526E4FD7" w:rsidR="00567849" w:rsidRPr="0008254F" w:rsidRDefault="00CC1F5D" w:rsidP="0019166E">
            <w:pPr>
              <w:spacing w:before="80" w:after="80"/>
              <w:rPr>
                <w:szCs w:val="24"/>
              </w:rPr>
            </w:pPr>
            <w:r w:rsidRPr="0008254F">
              <w:rPr>
                <w:rFonts w:asciiTheme="minorHAnsi" w:hAnsiTheme="minorHAnsi" w:cstheme="minorHAnsi"/>
                <w:szCs w:val="24"/>
              </w:rPr>
              <w:t>Rapport d'activité de la Présidente du Groupe d'experts sur le Règlement des télécommunications internationales</w:t>
            </w:r>
          </w:p>
        </w:tc>
        <w:tc>
          <w:tcPr>
            <w:tcW w:w="1178" w:type="pct"/>
          </w:tcPr>
          <w:p w14:paraId="24A42174" w14:textId="77777777" w:rsidR="00567849" w:rsidRPr="0008254F" w:rsidRDefault="00741459" w:rsidP="0019166E">
            <w:pPr>
              <w:spacing w:before="80" w:after="80"/>
              <w:jc w:val="center"/>
              <w:rPr>
                <w:szCs w:val="24"/>
              </w:rPr>
            </w:pPr>
            <w:hyperlink r:id="rId19" w:history="1">
              <w:r w:rsidR="00567849" w:rsidRPr="0008254F">
                <w:rPr>
                  <w:rStyle w:val="Hyperlink"/>
                  <w:rFonts w:asciiTheme="minorHAnsi" w:hAnsiTheme="minorHAnsi" w:cstheme="minorHAnsi"/>
                  <w:szCs w:val="24"/>
                </w:rPr>
                <w:t>C24/26</w:t>
              </w:r>
            </w:hyperlink>
            <w:r w:rsidR="00567849" w:rsidRPr="0008254F">
              <w:rPr>
                <w:rFonts w:asciiTheme="minorHAnsi" w:hAnsiTheme="minorHAnsi" w:cstheme="minorHAnsi"/>
                <w:szCs w:val="24"/>
              </w:rPr>
              <w:t xml:space="preserve">, </w:t>
            </w:r>
            <w:hyperlink r:id="rId20" w:history="1">
              <w:r w:rsidR="00567849" w:rsidRPr="0008254F">
                <w:rPr>
                  <w:rStyle w:val="Hyperlink"/>
                  <w:rFonts w:asciiTheme="minorHAnsi" w:hAnsiTheme="minorHAnsi" w:cstheme="minorHAnsi"/>
                  <w:szCs w:val="24"/>
                </w:rPr>
                <w:t>C24/87</w:t>
              </w:r>
            </w:hyperlink>
          </w:p>
        </w:tc>
      </w:tr>
      <w:tr w:rsidR="00567849" w:rsidRPr="0008254F" w14:paraId="25EC61B2" w14:textId="77777777" w:rsidTr="0019166E">
        <w:trPr>
          <w:trHeight w:val="20"/>
        </w:trPr>
        <w:tc>
          <w:tcPr>
            <w:tcW w:w="242" w:type="pct"/>
          </w:tcPr>
          <w:p w14:paraId="00C936C4" w14:textId="77777777" w:rsidR="00567849" w:rsidRPr="0008254F" w:rsidRDefault="00567849" w:rsidP="0019166E">
            <w:pPr>
              <w:spacing w:before="80" w:after="80"/>
              <w:rPr>
                <w:szCs w:val="24"/>
              </w:rPr>
            </w:pPr>
            <w:r w:rsidRPr="0008254F">
              <w:rPr>
                <w:szCs w:val="24"/>
              </w:rPr>
              <w:t>6</w:t>
            </w:r>
          </w:p>
        </w:tc>
        <w:tc>
          <w:tcPr>
            <w:tcW w:w="3580" w:type="pct"/>
          </w:tcPr>
          <w:p w14:paraId="4246B866" w14:textId="6CF9CC23" w:rsidR="00567849" w:rsidRPr="0008254F" w:rsidRDefault="00567849" w:rsidP="0019166E">
            <w:pPr>
              <w:spacing w:before="80" w:after="80"/>
              <w:rPr>
                <w:szCs w:val="24"/>
              </w:rPr>
            </w:pPr>
            <w:r w:rsidRPr="0008254F">
              <w:rPr>
                <w:rFonts w:asciiTheme="minorHAnsi" w:hAnsiTheme="minorHAnsi" w:cstheme="minorHAnsi"/>
                <w:szCs w:val="24"/>
              </w:rPr>
              <w:t>R</w:t>
            </w:r>
            <w:r w:rsidR="002F3B86" w:rsidRPr="0008254F">
              <w:rPr>
                <w:rFonts w:asciiTheme="minorHAnsi" w:hAnsiTheme="minorHAnsi" w:cstheme="minorHAnsi"/>
                <w:szCs w:val="24"/>
              </w:rPr>
              <w:t>a</w:t>
            </w:r>
            <w:r w:rsidRPr="0008254F">
              <w:rPr>
                <w:rFonts w:asciiTheme="minorHAnsi" w:hAnsiTheme="minorHAnsi" w:cstheme="minorHAnsi"/>
                <w:szCs w:val="24"/>
              </w:rPr>
              <w:t>p</w:t>
            </w:r>
            <w:r w:rsidR="002F3B86" w:rsidRPr="0008254F">
              <w:rPr>
                <w:rFonts w:asciiTheme="minorHAnsi" w:hAnsiTheme="minorHAnsi" w:cstheme="minorHAnsi"/>
                <w:szCs w:val="24"/>
              </w:rPr>
              <w:t>p</w:t>
            </w:r>
            <w:r w:rsidRPr="0008254F">
              <w:rPr>
                <w:rFonts w:asciiTheme="minorHAnsi" w:hAnsiTheme="minorHAnsi" w:cstheme="minorHAnsi"/>
                <w:szCs w:val="24"/>
              </w:rPr>
              <w:t xml:space="preserve">ort </w:t>
            </w:r>
            <w:r w:rsidR="002F3B86" w:rsidRPr="0008254F">
              <w:rPr>
                <w:rFonts w:asciiTheme="minorHAnsi" w:hAnsiTheme="minorHAnsi" w:cstheme="minorHAnsi"/>
                <w:szCs w:val="24"/>
              </w:rPr>
              <w:t>du Président du Groupe de travail du Conseil sur l'utilisation des six langues officielles de l'Union</w:t>
            </w:r>
          </w:p>
        </w:tc>
        <w:tc>
          <w:tcPr>
            <w:tcW w:w="1178" w:type="pct"/>
          </w:tcPr>
          <w:p w14:paraId="2E1CE791" w14:textId="77777777" w:rsidR="00567849" w:rsidRPr="0008254F" w:rsidRDefault="00741459" w:rsidP="0019166E">
            <w:pPr>
              <w:spacing w:before="80" w:after="80"/>
              <w:jc w:val="center"/>
              <w:rPr>
                <w:szCs w:val="24"/>
              </w:rPr>
            </w:pPr>
            <w:hyperlink r:id="rId21" w:history="1">
              <w:r w:rsidR="00567849" w:rsidRPr="0008254F">
                <w:rPr>
                  <w:rStyle w:val="Hyperlink"/>
                  <w:rFonts w:asciiTheme="minorHAnsi" w:hAnsiTheme="minorHAnsi" w:cstheme="minorBidi"/>
                  <w:szCs w:val="24"/>
                </w:rPr>
                <w:t>C24/12</w:t>
              </w:r>
            </w:hyperlink>
            <w:r w:rsidR="00567849" w:rsidRPr="0008254F">
              <w:rPr>
                <w:rFonts w:asciiTheme="minorHAnsi" w:hAnsiTheme="minorHAnsi" w:cstheme="minorBidi"/>
                <w:szCs w:val="24"/>
              </w:rPr>
              <w:t xml:space="preserve">, </w:t>
            </w:r>
            <w:hyperlink r:id="rId22">
              <w:r w:rsidR="00567849" w:rsidRPr="0008254F">
                <w:rPr>
                  <w:rStyle w:val="Hyperlink"/>
                  <w:rFonts w:asciiTheme="minorHAnsi" w:hAnsiTheme="minorHAnsi" w:cstheme="minorBidi"/>
                  <w:szCs w:val="24"/>
                </w:rPr>
                <w:t>C24/80</w:t>
              </w:r>
            </w:hyperlink>
            <w:r w:rsidR="00567849" w:rsidRPr="0008254F">
              <w:rPr>
                <w:rFonts w:asciiTheme="minorHAnsi" w:hAnsiTheme="minorHAnsi" w:cstheme="minorBidi"/>
                <w:szCs w:val="24"/>
              </w:rPr>
              <w:t xml:space="preserve">, </w:t>
            </w:r>
            <w:hyperlink r:id="rId23">
              <w:r w:rsidR="00567849" w:rsidRPr="0008254F">
                <w:rPr>
                  <w:rStyle w:val="Hyperlink"/>
                  <w:rFonts w:asciiTheme="minorHAnsi" w:hAnsiTheme="minorHAnsi" w:cstheme="minorBidi"/>
                  <w:szCs w:val="24"/>
                </w:rPr>
                <w:t>C24/81</w:t>
              </w:r>
            </w:hyperlink>
          </w:p>
        </w:tc>
      </w:tr>
      <w:tr w:rsidR="00567849" w:rsidRPr="0008254F" w14:paraId="022A908E" w14:textId="77777777" w:rsidTr="0019166E">
        <w:trPr>
          <w:trHeight w:val="20"/>
        </w:trPr>
        <w:tc>
          <w:tcPr>
            <w:tcW w:w="242" w:type="pct"/>
          </w:tcPr>
          <w:p w14:paraId="786CB018" w14:textId="77777777" w:rsidR="00567849" w:rsidRPr="0008254F" w:rsidRDefault="00567849" w:rsidP="0019166E">
            <w:pPr>
              <w:spacing w:before="80" w:after="80"/>
              <w:rPr>
                <w:szCs w:val="24"/>
              </w:rPr>
            </w:pPr>
            <w:r w:rsidRPr="0008254F">
              <w:rPr>
                <w:szCs w:val="24"/>
              </w:rPr>
              <w:t>7</w:t>
            </w:r>
          </w:p>
        </w:tc>
        <w:tc>
          <w:tcPr>
            <w:tcW w:w="3580" w:type="pct"/>
          </w:tcPr>
          <w:p w14:paraId="7CAC7F07" w14:textId="34C26B09" w:rsidR="00567849" w:rsidRPr="0008254F" w:rsidRDefault="002F3B86" w:rsidP="0019166E">
            <w:pPr>
              <w:spacing w:before="80" w:after="80"/>
              <w:rPr>
                <w:szCs w:val="24"/>
              </w:rPr>
            </w:pPr>
            <w:r w:rsidRPr="0008254F">
              <w:rPr>
                <w:rFonts w:asciiTheme="minorHAnsi" w:hAnsiTheme="minorHAnsi" w:cstheme="minorHAnsi"/>
                <w:szCs w:val="24"/>
              </w:rPr>
              <w:t>Élaboration du plan stratégique et du plan financier de l'UIT pour la période</w:t>
            </w:r>
            <w:r w:rsidR="00567849" w:rsidRPr="0008254F">
              <w:rPr>
                <w:rFonts w:asciiTheme="minorHAnsi" w:hAnsiTheme="minorHAnsi" w:cstheme="minorHAnsi"/>
                <w:szCs w:val="24"/>
              </w:rPr>
              <w:t xml:space="preserve"> 2028</w:t>
            </w:r>
            <w:r w:rsidR="00567849" w:rsidRPr="0008254F">
              <w:rPr>
                <w:rFonts w:asciiTheme="minorHAnsi" w:hAnsiTheme="minorHAnsi" w:cstheme="minorHAnsi"/>
                <w:szCs w:val="24"/>
              </w:rPr>
              <w:noBreakHyphen/>
              <w:t>2031 (</w:t>
            </w:r>
            <w:r w:rsidRPr="0008254F">
              <w:rPr>
                <w:rFonts w:asciiTheme="minorHAnsi" w:hAnsiTheme="minorHAnsi" w:cstheme="minorHAnsi"/>
                <w:szCs w:val="24"/>
              </w:rPr>
              <w:t>suite</w:t>
            </w:r>
            <w:r w:rsidR="00567849" w:rsidRPr="0008254F">
              <w:rPr>
                <w:rFonts w:asciiTheme="minorHAnsi" w:hAnsiTheme="minorHAnsi" w:cstheme="minorHAnsi"/>
                <w:szCs w:val="24"/>
              </w:rPr>
              <w:t>)</w:t>
            </w:r>
          </w:p>
        </w:tc>
        <w:tc>
          <w:tcPr>
            <w:tcW w:w="1178" w:type="pct"/>
          </w:tcPr>
          <w:p w14:paraId="0092288E" w14:textId="3766232B" w:rsidR="00567849" w:rsidRPr="0008254F" w:rsidRDefault="00741459" w:rsidP="0019166E">
            <w:pPr>
              <w:spacing w:before="80" w:after="80"/>
              <w:jc w:val="center"/>
              <w:rPr>
                <w:szCs w:val="24"/>
              </w:rPr>
            </w:pPr>
            <w:hyperlink r:id="rId24" w:history="1">
              <w:r w:rsidR="00567849" w:rsidRPr="0008254F">
                <w:rPr>
                  <w:rStyle w:val="Hyperlink"/>
                  <w:rFonts w:asciiTheme="minorHAnsi" w:hAnsiTheme="minorHAnsi" w:cstheme="minorBidi"/>
                  <w:szCs w:val="24"/>
                </w:rPr>
                <w:t>C24/59(R</w:t>
              </w:r>
              <w:r w:rsidR="002F3B86" w:rsidRPr="0008254F">
                <w:rPr>
                  <w:rStyle w:val="Hyperlink"/>
                  <w:rFonts w:asciiTheme="minorHAnsi" w:hAnsiTheme="minorHAnsi" w:cstheme="minorBidi"/>
                  <w:szCs w:val="24"/>
                </w:rPr>
                <w:t>é</w:t>
              </w:r>
              <w:r w:rsidR="00567849" w:rsidRPr="0008254F">
                <w:rPr>
                  <w:rStyle w:val="Hyperlink"/>
                  <w:rFonts w:asciiTheme="minorHAnsi" w:hAnsiTheme="minorHAnsi" w:cstheme="minorBidi"/>
                  <w:szCs w:val="24"/>
                </w:rPr>
                <w:t>v.1)</w:t>
              </w:r>
            </w:hyperlink>
          </w:p>
        </w:tc>
      </w:tr>
      <w:tr w:rsidR="00567849" w:rsidRPr="0008254F" w14:paraId="2EA3A309" w14:textId="77777777" w:rsidTr="0019166E">
        <w:trPr>
          <w:trHeight w:val="20"/>
        </w:trPr>
        <w:tc>
          <w:tcPr>
            <w:tcW w:w="242" w:type="pct"/>
          </w:tcPr>
          <w:p w14:paraId="35F83735" w14:textId="77777777" w:rsidR="00567849" w:rsidRPr="0008254F" w:rsidRDefault="00567849" w:rsidP="0019166E">
            <w:pPr>
              <w:spacing w:before="80" w:after="80"/>
              <w:rPr>
                <w:szCs w:val="24"/>
              </w:rPr>
            </w:pPr>
            <w:r w:rsidRPr="0008254F">
              <w:rPr>
                <w:szCs w:val="24"/>
              </w:rPr>
              <w:t>8</w:t>
            </w:r>
          </w:p>
        </w:tc>
        <w:tc>
          <w:tcPr>
            <w:tcW w:w="3580" w:type="pct"/>
          </w:tcPr>
          <w:p w14:paraId="0E6AC442" w14:textId="7EB0A406" w:rsidR="00567849" w:rsidRPr="0008254F" w:rsidRDefault="002F3B86" w:rsidP="0019166E">
            <w:pPr>
              <w:spacing w:before="80" w:after="80"/>
              <w:rPr>
                <w:szCs w:val="24"/>
              </w:rPr>
            </w:pPr>
            <w:r w:rsidRPr="0008254F">
              <w:rPr>
                <w:rFonts w:asciiTheme="minorHAnsi" w:hAnsiTheme="minorHAnsi" w:cstheme="minorHAnsi"/>
                <w:szCs w:val="24"/>
              </w:rPr>
              <w:t xml:space="preserve">Rapport du Président du Groupe de travail du Conseil sur la protection en ligne des enfants </w:t>
            </w:r>
            <w:r w:rsidR="00567849" w:rsidRPr="0008254F">
              <w:rPr>
                <w:rFonts w:asciiTheme="minorHAnsi" w:hAnsiTheme="minorHAnsi" w:cstheme="minorHAnsi"/>
                <w:szCs w:val="24"/>
              </w:rPr>
              <w:t>(</w:t>
            </w:r>
            <w:r w:rsidRPr="0008254F">
              <w:rPr>
                <w:rFonts w:asciiTheme="minorHAnsi" w:hAnsiTheme="minorHAnsi" w:cstheme="minorHAnsi"/>
                <w:szCs w:val="24"/>
              </w:rPr>
              <w:t>suite</w:t>
            </w:r>
            <w:r w:rsidR="00567849" w:rsidRPr="0008254F">
              <w:rPr>
                <w:rFonts w:asciiTheme="minorHAnsi" w:hAnsiTheme="minorHAnsi" w:cstheme="minorHAnsi"/>
                <w:szCs w:val="24"/>
              </w:rPr>
              <w:t>)</w:t>
            </w:r>
          </w:p>
        </w:tc>
        <w:tc>
          <w:tcPr>
            <w:tcW w:w="1178" w:type="pct"/>
          </w:tcPr>
          <w:p w14:paraId="30F7D498" w14:textId="4EA50492" w:rsidR="00567849" w:rsidRPr="0008254F" w:rsidRDefault="00741459" w:rsidP="0019166E">
            <w:pPr>
              <w:spacing w:before="80" w:after="80"/>
              <w:jc w:val="center"/>
              <w:rPr>
                <w:szCs w:val="24"/>
              </w:rPr>
            </w:pPr>
            <w:hyperlink r:id="rId25" w:history="1">
              <w:r w:rsidR="00567849" w:rsidRPr="0008254F">
                <w:rPr>
                  <w:rStyle w:val="Hyperlink"/>
                  <w:rFonts w:asciiTheme="minorHAnsi" w:hAnsiTheme="minorHAnsi" w:cstheme="minorHAnsi"/>
                  <w:szCs w:val="24"/>
                </w:rPr>
                <w:t>C24/15</w:t>
              </w:r>
            </w:hyperlink>
            <w:r w:rsidR="00567849" w:rsidRPr="0008254F">
              <w:rPr>
                <w:rFonts w:asciiTheme="minorHAnsi" w:hAnsiTheme="minorHAnsi" w:cstheme="minorHAnsi"/>
                <w:szCs w:val="24"/>
              </w:rPr>
              <w:t xml:space="preserve">, </w:t>
            </w:r>
            <w:hyperlink r:id="rId26" w:history="1">
              <w:r w:rsidR="00567849" w:rsidRPr="0008254F">
                <w:rPr>
                  <w:rStyle w:val="Hyperlink"/>
                  <w:rFonts w:asciiTheme="minorHAnsi" w:hAnsiTheme="minorHAnsi" w:cstheme="minorHAnsi"/>
                  <w:szCs w:val="24"/>
                </w:rPr>
                <w:t>C24/102(R</w:t>
              </w:r>
              <w:r w:rsidR="002F3B86" w:rsidRPr="0008254F">
                <w:rPr>
                  <w:rStyle w:val="Hyperlink"/>
                  <w:rFonts w:asciiTheme="minorHAnsi" w:hAnsiTheme="minorHAnsi" w:cstheme="minorHAnsi"/>
                  <w:szCs w:val="24"/>
                </w:rPr>
                <w:t>é</w:t>
              </w:r>
              <w:r w:rsidR="00567849" w:rsidRPr="0008254F">
                <w:rPr>
                  <w:rStyle w:val="Hyperlink"/>
                  <w:rFonts w:asciiTheme="minorHAnsi" w:hAnsiTheme="minorHAnsi" w:cstheme="minorHAnsi"/>
                  <w:szCs w:val="24"/>
                </w:rPr>
                <w:t>v.1)</w:t>
              </w:r>
            </w:hyperlink>
          </w:p>
        </w:tc>
      </w:tr>
      <w:bookmarkEnd w:id="0"/>
    </w:tbl>
    <w:p w14:paraId="5ED9AEF6" w14:textId="77777777" w:rsidR="00F30F9F" w:rsidRPr="0008254F" w:rsidRDefault="00F30F9F">
      <w:pPr>
        <w:tabs>
          <w:tab w:val="clear" w:pos="567"/>
          <w:tab w:val="clear" w:pos="1134"/>
          <w:tab w:val="clear" w:pos="1701"/>
          <w:tab w:val="clear" w:pos="2268"/>
          <w:tab w:val="clear" w:pos="2835"/>
        </w:tabs>
        <w:overflowPunct/>
        <w:autoSpaceDE/>
        <w:autoSpaceDN/>
        <w:adjustRightInd/>
        <w:spacing w:before="0"/>
        <w:textAlignment w:val="auto"/>
      </w:pPr>
      <w:r w:rsidRPr="0008254F">
        <w:br w:type="page"/>
      </w:r>
    </w:p>
    <w:p w14:paraId="1ED6B526" w14:textId="2E56D2ED" w:rsidR="00567849" w:rsidRPr="0008254F" w:rsidRDefault="00567849" w:rsidP="00B045E5">
      <w:pPr>
        <w:pStyle w:val="Heading1"/>
      </w:pPr>
      <w:r w:rsidRPr="0008254F">
        <w:lastRenderedPageBreak/>
        <w:t>1</w:t>
      </w:r>
      <w:r w:rsidRPr="0008254F">
        <w:tab/>
      </w:r>
      <w:r w:rsidR="00CC1F5D" w:rsidRPr="0008254F">
        <w:t xml:space="preserve">Rapport de la Commission permanente de l'administration et de la gestion </w:t>
      </w:r>
      <w:r w:rsidRPr="0008254F">
        <w:t xml:space="preserve">(Document </w:t>
      </w:r>
      <w:hyperlink r:id="rId27" w:history="1">
        <w:r w:rsidRPr="0008254F">
          <w:rPr>
            <w:rStyle w:val="Hyperlink"/>
            <w:bCs/>
            <w:szCs w:val="28"/>
          </w:rPr>
          <w:t>C24/109</w:t>
        </w:r>
      </w:hyperlink>
      <w:r w:rsidRPr="0008254F">
        <w:t>)</w:t>
      </w:r>
    </w:p>
    <w:p w14:paraId="2DF024A2" w14:textId="6469E699" w:rsidR="00567849" w:rsidRPr="0008254F" w:rsidRDefault="00567849" w:rsidP="00B045E5">
      <w:r w:rsidRPr="0008254F">
        <w:t>1.1</w:t>
      </w:r>
      <w:r w:rsidRPr="0008254F">
        <w:tab/>
      </w:r>
      <w:r w:rsidR="0041046D" w:rsidRPr="0008254F">
        <w:t>Le Président déclare que le rapport de la Commission permanente de l'administration et de la gestion (ADM) a été approuvée par la Commission.</w:t>
      </w:r>
    </w:p>
    <w:p w14:paraId="70BA2CAC" w14:textId="70EA7F4E" w:rsidR="00567849" w:rsidRPr="0008254F" w:rsidRDefault="00567849" w:rsidP="00B045E5">
      <w:r w:rsidRPr="0008254F">
        <w:t>1.2</w:t>
      </w:r>
      <w:r w:rsidRPr="0008254F">
        <w:tab/>
      </w:r>
      <w:r w:rsidR="0041046D" w:rsidRPr="0008254F">
        <w:t>Il croit comprendre qu'il existe un consensus en vue de supprimer le § 4 de l'Article 19 de la proposition de révision des Règles financières et du Règlement financier figurant dans l'Annexe E du rapport et que le Secrétariat poursuivra les consultations à cet égard auprès des États Membres dans le cadre du Groupe de travail du Conseil sur les ressources financières et les ressources humaines (GTC-FHR).</w:t>
      </w:r>
    </w:p>
    <w:p w14:paraId="3150A9D0" w14:textId="0C55C9B1" w:rsidR="00567849" w:rsidRPr="0008254F" w:rsidRDefault="00567849" w:rsidP="00B045E5">
      <w:r w:rsidRPr="0008254F">
        <w:t>1.3</w:t>
      </w:r>
      <w:r w:rsidRPr="0008254F">
        <w:tab/>
      </w:r>
      <w:r w:rsidR="0061508E" w:rsidRPr="0008254F">
        <w:t>Cela étant entendu, il propose que la plénière procède à l'examen du Rapport de la Commission ADM figurant dans le Document C24/109 en bloc.</w:t>
      </w:r>
    </w:p>
    <w:p w14:paraId="7E8F569E" w14:textId="6E6006B2" w:rsidR="00567849" w:rsidRPr="0008254F" w:rsidRDefault="00567849" w:rsidP="00B045E5">
      <w:r w:rsidRPr="0008254F">
        <w:t>1.4</w:t>
      </w:r>
      <w:r w:rsidRPr="0008254F">
        <w:tab/>
      </w:r>
      <w:r w:rsidR="0061508E" w:rsidRPr="0008254F">
        <w:t xml:space="preserve">Il en est ainsi </w:t>
      </w:r>
      <w:r w:rsidR="0061508E" w:rsidRPr="0008254F">
        <w:rPr>
          <w:b/>
          <w:bCs/>
        </w:rPr>
        <w:t>décidé</w:t>
      </w:r>
      <w:r w:rsidRPr="0008254F">
        <w:t>.</w:t>
      </w:r>
    </w:p>
    <w:p w14:paraId="5BFAE53B" w14:textId="30FD6A2C" w:rsidR="00567849" w:rsidRPr="0008254F" w:rsidRDefault="00567849" w:rsidP="00B045E5">
      <w:r w:rsidRPr="0008254F">
        <w:t>1.5</w:t>
      </w:r>
      <w:r w:rsidRPr="0008254F">
        <w:tab/>
      </w:r>
      <w:r w:rsidR="00D670F9" w:rsidRPr="0008254F">
        <w:t xml:space="preserve">En conséquence, les recommandations suivantes sont </w:t>
      </w:r>
      <w:r w:rsidR="00D670F9" w:rsidRPr="0008254F">
        <w:rPr>
          <w:b/>
          <w:bCs/>
        </w:rPr>
        <w:t>approuvées</w:t>
      </w:r>
      <w:r w:rsidRPr="0008254F">
        <w:t>:</w:t>
      </w:r>
    </w:p>
    <w:p w14:paraId="4338EFC3" w14:textId="6996888B" w:rsidR="00567849" w:rsidRPr="0008254F" w:rsidRDefault="00BF7C71" w:rsidP="00920484">
      <w:pPr>
        <w:pStyle w:val="Headingb"/>
        <w:spacing w:after="120"/>
        <w:rPr>
          <w:i/>
          <w:iCs/>
        </w:rPr>
      </w:pPr>
      <w:r w:rsidRPr="0008254F">
        <w:rPr>
          <w:i/>
          <w:iCs/>
        </w:rPr>
        <w:t>–</w:t>
      </w:r>
      <w:r w:rsidRPr="0008254F">
        <w:rPr>
          <w:i/>
          <w:iCs/>
        </w:rPr>
        <w:tab/>
      </w:r>
      <w:r w:rsidR="00D670F9" w:rsidRPr="0008254F">
        <w:rPr>
          <w:i/>
          <w:iCs/>
        </w:rPr>
        <w:t xml:space="preserve">Rapport d'activité sur la mise en œuvre du plan stratégique pour les ressources humaines et de la Résolution 48 (Rév. Bucarest, 2022) de la Conférence de plénipotentiaires </w:t>
      </w:r>
      <w:r w:rsidR="00567849" w:rsidRPr="0008254F">
        <w:rPr>
          <w:i/>
          <w:iCs/>
        </w:rPr>
        <w:t xml:space="preserve">(Document </w:t>
      </w:r>
      <w:hyperlink r:id="rId28" w:history="1">
        <w:r w:rsidR="00567849" w:rsidRPr="0008254F">
          <w:rPr>
            <w:rStyle w:val="Hyperlink"/>
            <w:rFonts w:asciiTheme="minorHAnsi" w:hAnsiTheme="minorHAnsi" w:cstheme="minorHAnsi"/>
            <w:i/>
            <w:iCs/>
            <w:szCs w:val="24"/>
          </w:rPr>
          <w:t>C24/29(R</w:t>
        </w:r>
        <w:r w:rsidR="00D670F9" w:rsidRPr="0008254F">
          <w:rPr>
            <w:rStyle w:val="Hyperlink"/>
            <w:rFonts w:asciiTheme="minorHAnsi" w:hAnsiTheme="minorHAnsi" w:cstheme="minorHAnsi"/>
            <w:i/>
            <w:iCs/>
            <w:szCs w:val="24"/>
          </w:rPr>
          <w:t>é</w:t>
        </w:r>
        <w:r w:rsidR="00567849" w:rsidRPr="0008254F">
          <w:rPr>
            <w:rStyle w:val="Hyperlink"/>
            <w:rFonts w:asciiTheme="minorHAnsi" w:hAnsiTheme="minorHAnsi" w:cstheme="minorHAnsi"/>
            <w:i/>
            <w:iCs/>
            <w:szCs w:val="24"/>
          </w:rPr>
          <w:t>v.1)</w:t>
        </w:r>
      </w:hyperlink>
      <w:r w:rsidR="00567849" w:rsidRPr="0008254F">
        <w:rPr>
          <w:i/>
          <w:iCs/>
        </w:rPr>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6"/>
      </w:tblGrid>
      <w:tr w:rsidR="00567849" w:rsidRPr="0008254F" w14:paraId="56485827" w14:textId="77777777" w:rsidTr="0019166E">
        <w:tc>
          <w:tcPr>
            <w:tcW w:w="9016" w:type="dxa"/>
            <w:tcBorders>
              <w:top w:val="single" w:sz="4" w:space="0" w:color="auto"/>
              <w:bottom w:val="single" w:sz="4" w:space="0" w:color="auto"/>
            </w:tcBorders>
          </w:tcPr>
          <w:p w14:paraId="7A52D1D2" w14:textId="0E82F9C6" w:rsidR="00567849" w:rsidRPr="0008254F" w:rsidRDefault="00D670F9" w:rsidP="00BF7C71">
            <w:pPr>
              <w:spacing w:after="120"/>
              <w:rPr>
                <w:rFonts w:eastAsia="Calibri"/>
              </w:rPr>
            </w:pPr>
            <w:r w:rsidRPr="0008254F">
              <w:rPr>
                <w:rFonts w:eastAsia="Calibri"/>
              </w:rPr>
              <w:t>La commission recommande au Conseil de prendre note du Document C24/29(Rév.1), afin de marquer la fin de la mise en œuvre du Plan stratégique pour les ressources humaines pour la période 2020-2023</w:t>
            </w:r>
            <w:r w:rsidR="00567849" w:rsidRPr="0008254F">
              <w:rPr>
                <w:rFonts w:eastAsia="Calibri"/>
              </w:rPr>
              <w:t>.</w:t>
            </w:r>
          </w:p>
        </w:tc>
      </w:tr>
    </w:tbl>
    <w:p w14:paraId="306ABB8B" w14:textId="37B99D62" w:rsidR="00567849" w:rsidRPr="0008254F" w:rsidRDefault="00BF7C71" w:rsidP="00920484">
      <w:pPr>
        <w:pStyle w:val="Headingb"/>
        <w:spacing w:after="120"/>
        <w:rPr>
          <w:rFonts w:asciiTheme="minorHAnsi" w:hAnsiTheme="minorHAnsi" w:cstheme="minorHAnsi"/>
          <w:szCs w:val="24"/>
        </w:rPr>
      </w:pPr>
      <w:r w:rsidRPr="0008254F">
        <w:t>–</w:t>
      </w:r>
      <w:r w:rsidRPr="0008254F">
        <w:tab/>
      </w:r>
      <w:r w:rsidR="00D670F9" w:rsidRPr="0008254F">
        <w:rPr>
          <w:i/>
          <w:iCs/>
        </w:rPr>
        <w:t>Modifications des conditions d'emploi dans le cadre du régime commun des Nations</w:t>
      </w:r>
      <w:r w:rsidRPr="0008254F">
        <w:rPr>
          <w:i/>
          <w:iCs/>
        </w:rPr>
        <w:t> </w:t>
      </w:r>
      <w:r w:rsidR="00D670F9" w:rsidRPr="0008254F">
        <w:rPr>
          <w:i/>
          <w:iCs/>
        </w:rPr>
        <w:t xml:space="preserve">Unies </w:t>
      </w:r>
      <w:r w:rsidR="00567849" w:rsidRPr="0008254F">
        <w:rPr>
          <w:i/>
          <w:iCs/>
        </w:rPr>
        <w:t xml:space="preserve">(Document </w:t>
      </w:r>
      <w:hyperlink r:id="rId29" w:history="1">
        <w:r w:rsidR="00567849" w:rsidRPr="0008254F">
          <w:rPr>
            <w:rStyle w:val="Hyperlink"/>
            <w:b w:val="0"/>
            <w:bCs/>
            <w:i/>
            <w:iCs/>
          </w:rPr>
          <w:t>C24/23</w:t>
        </w:r>
      </w:hyperlink>
      <w:r w:rsidR="00567849" w:rsidRPr="0008254F">
        <w:rPr>
          <w:i/>
          <w:iCs/>
        </w:rPr>
        <w:t>)</w:t>
      </w:r>
    </w:p>
    <w:tbl>
      <w:tblPr>
        <w:tblStyle w:val="TableGrid"/>
        <w:tblW w:w="0" w:type="auto"/>
        <w:tblLook w:val="04A0" w:firstRow="1" w:lastRow="0" w:firstColumn="1" w:lastColumn="0" w:noHBand="0" w:noVBand="1"/>
      </w:tblPr>
      <w:tblGrid>
        <w:gridCol w:w="9016"/>
      </w:tblGrid>
      <w:tr w:rsidR="00567849" w:rsidRPr="0008254F" w14:paraId="1214C4AE" w14:textId="77777777" w:rsidTr="0019166E">
        <w:tc>
          <w:tcPr>
            <w:tcW w:w="9016" w:type="dxa"/>
          </w:tcPr>
          <w:p w14:paraId="09A98224" w14:textId="2DA25AC2" w:rsidR="00567849" w:rsidRPr="0008254F" w:rsidRDefault="00D670F9" w:rsidP="00B045E5">
            <w:r w:rsidRPr="0008254F">
              <w:t>La commission recommande au Conseil</w:t>
            </w:r>
            <w:r w:rsidR="00567849" w:rsidRPr="0008254F">
              <w:t>:</w:t>
            </w:r>
          </w:p>
          <w:p w14:paraId="46F24CDC" w14:textId="70F17696" w:rsidR="00567849" w:rsidRPr="0008254F" w:rsidRDefault="00BF7C71" w:rsidP="00BF7C71">
            <w:pPr>
              <w:pStyle w:val="enumlev1"/>
            </w:pPr>
            <w:r w:rsidRPr="0008254F">
              <w:t>•</w:t>
            </w:r>
            <w:r w:rsidRPr="0008254F">
              <w:tab/>
            </w:r>
            <w:r w:rsidR="00D670F9" w:rsidRPr="0008254F">
              <w:t>de prendre note de la mise en œuvre par la Secrétaire générale, conformément aux procédures établies de la Commission de la fonction publique internationale et à la Résolution 647 du Conseil (C-1969, dernière mod. C03), des modifications apportées aux conditions d'emploi du personnel dans les Statut et Règlement du personnel de l'UIT applicables aux fonctionnaires nommés</w:t>
            </w:r>
            <w:r w:rsidR="00567849" w:rsidRPr="0008254F">
              <w:t xml:space="preserve">; </w:t>
            </w:r>
            <w:r w:rsidR="00D670F9" w:rsidRPr="0008254F">
              <w:t>et</w:t>
            </w:r>
          </w:p>
          <w:p w14:paraId="587B6D16" w14:textId="176C7672" w:rsidR="00567849" w:rsidRPr="0008254F" w:rsidRDefault="00BF7C71" w:rsidP="00BF7C71">
            <w:pPr>
              <w:pStyle w:val="enumlev1"/>
              <w:spacing w:after="120"/>
            </w:pPr>
            <w:r w:rsidRPr="0008254F">
              <w:t>•</w:t>
            </w:r>
            <w:r w:rsidRPr="0008254F">
              <w:tab/>
            </w:r>
            <w:r w:rsidR="00D670F9" w:rsidRPr="0008254F">
              <w:t>d'approuver le barème de la rémunération considérée aux fins de la pension applicable aux fonctionnaires élus, tel qu'il figure dans le projet de Résolution reproduit dans l'Annexe A du Document C24/109</w:t>
            </w:r>
            <w:r w:rsidRPr="0008254F">
              <w:rPr>
                <w:rStyle w:val="FootnoteReference"/>
              </w:rPr>
              <w:footnoteReference w:customMarkFollows="1" w:id="1"/>
              <w:t>*</w:t>
            </w:r>
            <w:r w:rsidR="00D670F9" w:rsidRPr="0008254F">
              <w:t>, conformément à la Résolution</w:t>
            </w:r>
            <w:r w:rsidRPr="0008254F">
              <w:t> </w:t>
            </w:r>
            <w:r w:rsidR="00D670F9" w:rsidRPr="0008254F">
              <w:t>46 (Kyoto, 1994) de la Conférence de plénipotentiaires</w:t>
            </w:r>
            <w:r w:rsidR="00567849" w:rsidRPr="0008254F">
              <w:t>.</w:t>
            </w:r>
          </w:p>
        </w:tc>
      </w:tr>
    </w:tbl>
    <w:p w14:paraId="41C9F8F7" w14:textId="1C200281" w:rsidR="00567849" w:rsidRPr="0008254F" w:rsidRDefault="00BF7C71" w:rsidP="00920484">
      <w:pPr>
        <w:pStyle w:val="Headingb"/>
        <w:spacing w:after="120"/>
        <w:rPr>
          <w:rFonts w:asciiTheme="minorHAnsi" w:hAnsiTheme="minorHAnsi" w:cstheme="minorHAnsi"/>
          <w:i/>
          <w:iCs/>
          <w:szCs w:val="24"/>
        </w:rPr>
      </w:pPr>
      <w:r w:rsidRPr="0008254F">
        <w:rPr>
          <w:i/>
          <w:iCs/>
        </w:rPr>
        <w:lastRenderedPageBreak/>
        <w:t>–</w:t>
      </w:r>
      <w:r w:rsidRPr="0008254F">
        <w:rPr>
          <w:i/>
          <w:iCs/>
        </w:rPr>
        <w:tab/>
      </w:r>
      <w:r w:rsidR="00D670F9" w:rsidRPr="0008254F">
        <w:rPr>
          <w:i/>
          <w:iCs/>
        </w:rPr>
        <w:t xml:space="preserve">Rapport sur la mise en œuvre de la Résolution </w:t>
      </w:r>
      <w:r w:rsidR="00567849" w:rsidRPr="0008254F">
        <w:rPr>
          <w:i/>
          <w:iCs/>
        </w:rPr>
        <w:t>1420 (C23) (Document</w:t>
      </w:r>
      <w:r w:rsidRPr="0008254F">
        <w:rPr>
          <w:i/>
          <w:iCs/>
        </w:rPr>
        <w:t> </w:t>
      </w:r>
      <w:hyperlink r:id="rId30" w:history="1">
        <w:r w:rsidR="00567849" w:rsidRPr="0008254F">
          <w:rPr>
            <w:rStyle w:val="Hyperlink"/>
            <w:i/>
            <w:iCs/>
          </w:rPr>
          <w:t>C24/56(R</w:t>
        </w:r>
        <w:r w:rsidR="00D670F9" w:rsidRPr="0008254F">
          <w:rPr>
            <w:rStyle w:val="Hyperlink"/>
            <w:i/>
            <w:iCs/>
          </w:rPr>
          <w:t>é</w:t>
        </w:r>
        <w:r w:rsidR="00567849" w:rsidRPr="0008254F">
          <w:rPr>
            <w:rStyle w:val="Hyperlink"/>
            <w:i/>
            <w:iCs/>
          </w:rPr>
          <w:t>v.1)</w:t>
        </w:r>
      </w:hyperlink>
      <w:r w:rsidR="00567849" w:rsidRPr="0008254F">
        <w:rPr>
          <w:i/>
          <w:iCs/>
        </w:rPr>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6"/>
      </w:tblGrid>
      <w:tr w:rsidR="00567849" w:rsidRPr="0008254F" w14:paraId="2C7ACD94" w14:textId="77777777" w:rsidTr="0019166E">
        <w:tc>
          <w:tcPr>
            <w:tcW w:w="9016" w:type="dxa"/>
            <w:tcBorders>
              <w:top w:val="single" w:sz="4" w:space="0" w:color="auto"/>
              <w:bottom w:val="single" w:sz="4" w:space="0" w:color="auto"/>
            </w:tcBorders>
          </w:tcPr>
          <w:p w14:paraId="7C60E695" w14:textId="0C6431C6" w:rsidR="00567849" w:rsidRPr="0008254F" w:rsidRDefault="00795C76" w:rsidP="00BF7C71">
            <w:pPr>
              <w:keepNext/>
              <w:keepLines/>
              <w:spacing w:after="120"/>
              <w:rPr>
                <w:rFonts w:asciiTheme="minorHAnsi" w:eastAsia="Calibri" w:hAnsiTheme="minorHAnsi" w:cstheme="minorHAnsi"/>
                <w:kern w:val="2"/>
                <w:szCs w:val="24"/>
                <w14:ligatures w14:val="standardContextual"/>
              </w:rPr>
            </w:pPr>
            <w:r w:rsidRPr="0008254F">
              <w:rPr>
                <w:rFonts w:eastAsia="SimSun"/>
              </w:rPr>
              <w:t xml:space="preserve">La commission recommande au Conseil de prendre note de la mise en œuvre de la Résolution 1420 (C23) et de l'application du coefficient applicable à l'indemnité de poste le plus récent à compter du 1er février </w:t>
            </w:r>
            <w:r w:rsidR="00567849" w:rsidRPr="0008254F">
              <w:rPr>
                <w:rFonts w:eastAsia="SimSun"/>
              </w:rPr>
              <w:t>2024.</w:t>
            </w:r>
          </w:p>
        </w:tc>
      </w:tr>
    </w:tbl>
    <w:p w14:paraId="7E2D6C85" w14:textId="6DE11A3F" w:rsidR="00567849" w:rsidRPr="0008254F" w:rsidRDefault="00BF7C71" w:rsidP="00920484">
      <w:pPr>
        <w:pStyle w:val="Headingb"/>
        <w:spacing w:after="120"/>
        <w:rPr>
          <w:rFonts w:asciiTheme="minorHAnsi" w:hAnsiTheme="minorHAnsi" w:cstheme="minorHAnsi"/>
          <w:i/>
          <w:iCs/>
          <w:szCs w:val="24"/>
        </w:rPr>
      </w:pPr>
      <w:bookmarkStart w:id="1" w:name="_Hlk169203110"/>
      <w:r w:rsidRPr="0008254F">
        <w:rPr>
          <w:i/>
          <w:iCs/>
        </w:rPr>
        <w:t>–</w:t>
      </w:r>
      <w:r w:rsidRPr="0008254F">
        <w:rPr>
          <w:i/>
          <w:iCs/>
        </w:rPr>
        <w:tab/>
      </w:r>
      <w:r w:rsidR="00795C76" w:rsidRPr="0008254F">
        <w:rPr>
          <w:i/>
          <w:iCs/>
        </w:rPr>
        <w:t>Réorganisation du Bureau de la normalisation des télécommunications</w:t>
      </w:r>
      <w:r w:rsidRPr="0008254F">
        <w:rPr>
          <w:i/>
          <w:iCs/>
        </w:rPr>
        <w:t xml:space="preserve"> </w:t>
      </w:r>
      <w:r w:rsidR="00567849" w:rsidRPr="0008254F">
        <w:rPr>
          <w:i/>
          <w:iCs/>
        </w:rPr>
        <w:t>(Document </w:t>
      </w:r>
      <w:hyperlink r:id="rId31" w:history="1">
        <w:r w:rsidR="00567849" w:rsidRPr="0008254F">
          <w:rPr>
            <w:rStyle w:val="Hyperlink"/>
            <w:i/>
            <w:iCs/>
          </w:rPr>
          <w:t>C24/71(R</w:t>
        </w:r>
        <w:r w:rsidR="00795C76" w:rsidRPr="0008254F">
          <w:rPr>
            <w:rStyle w:val="Hyperlink"/>
            <w:i/>
            <w:iCs/>
          </w:rPr>
          <w:t>é</w:t>
        </w:r>
        <w:r w:rsidR="00567849" w:rsidRPr="0008254F">
          <w:rPr>
            <w:rStyle w:val="Hyperlink"/>
            <w:i/>
            <w:iCs/>
          </w:rPr>
          <w:t>v.2)</w:t>
        </w:r>
      </w:hyperlink>
      <w:r w:rsidR="00567849" w:rsidRPr="0008254F">
        <w:rPr>
          <w:i/>
          <w:iCs/>
        </w:rPr>
        <w:t>)</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567849" w:rsidRPr="0008254F" w14:paraId="086F1B07" w14:textId="77777777" w:rsidTr="0019166E">
        <w:tc>
          <w:tcPr>
            <w:tcW w:w="9016" w:type="dxa"/>
          </w:tcPr>
          <w:p w14:paraId="2FA92EA4" w14:textId="2591A73B" w:rsidR="00567849" w:rsidRPr="0008254F" w:rsidRDefault="00795C76" w:rsidP="00BF7C71">
            <w:pPr>
              <w:spacing w:after="120"/>
              <w:rPr>
                <w:rFonts w:asciiTheme="minorHAnsi" w:eastAsia="Calibri" w:hAnsiTheme="minorHAnsi" w:cstheme="minorHAnsi"/>
                <w:kern w:val="2"/>
                <w:szCs w:val="24"/>
                <w14:ligatures w14:val="standardContextual"/>
              </w:rPr>
            </w:pPr>
            <w:r w:rsidRPr="0008254F">
              <w:rPr>
                <w:rFonts w:eastAsia="SimSun"/>
              </w:rPr>
              <w:t xml:space="preserve">La commission recommande au Conseil de prendre note du Document C24/71(Rév.2) et d'approuver le projet de décision figurant à l'Annexe B du </w:t>
            </w:r>
            <w:r w:rsidR="00567849" w:rsidRPr="0008254F">
              <w:rPr>
                <w:rFonts w:eastAsia="SimSun"/>
              </w:rPr>
              <w:t>Document C24/109.</w:t>
            </w:r>
          </w:p>
        </w:tc>
      </w:tr>
    </w:tbl>
    <w:p w14:paraId="296CA007" w14:textId="57F44E98" w:rsidR="00567849" w:rsidRPr="0008254F" w:rsidRDefault="00BF7C71" w:rsidP="00920484">
      <w:pPr>
        <w:pStyle w:val="Headingb"/>
        <w:spacing w:after="120"/>
        <w:rPr>
          <w:rFonts w:asciiTheme="minorHAnsi" w:hAnsiTheme="minorHAnsi" w:cstheme="minorHAnsi"/>
          <w:i/>
          <w:iCs/>
          <w:szCs w:val="24"/>
        </w:rPr>
      </w:pPr>
      <w:r w:rsidRPr="0008254F">
        <w:rPr>
          <w:i/>
          <w:iCs/>
        </w:rPr>
        <w:t>–</w:t>
      </w:r>
      <w:r w:rsidRPr="0008254F">
        <w:rPr>
          <w:i/>
          <w:iCs/>
        </w:rPr>
        <w:tab/>
      </w:r>
      <w:r w:rsidR="00795C76" w:rsidRPr="0008254F">
        <w:rPr>
          <w:i/>
          <w:iCs/>
        </w:rPr>
        <w:t xml:space="preserve">Assurance maladie après la cessation de service </w:t>
      </w:r>
      <w:r w:rsidR="00567849" w:rsidRPr="0008254F">
        <w:rPr>
          <w:i/>
          <w:iCs/>
        </w:rPr>
        <w:t>(Document</w:t>
      </w:r>
      <w:r w:rsidR="00567849" w:rsidRPr="0008254F">
        <w:rPr>
          <w:rStyle w:val="Hyperlink"/>
          <w:i/>
          <w:iCs/>
        </w:rPr>
        <w:t> </w:t>
      </w:r>
      <w:hyperlink r:id="rId32" w:history="1">
        <w:r w:rsidR="00567849" w:rsidRPr="0008254F">
          <w:rPr>
            <w:rStyle w:val="Hyperlink"/>
            <w:i/>
            <w:iCs/>
          </w:rPr>
          <w:t>C24/46</w:t>
        </w:r>
      </w:hyperlink>
      <w:r w:rsidR="00567849" w:rsidRPr="0008254F">
        <w:rPr>
          <w:i/>
          <w:iCs/>
        </w:rPr>
        <w:t>)</w:t>
      </w:r>
    </w:p>
    <w:tbl>
      <w:tblPr>
        <w:tblStyle w:val="TableGrid"/>
        <w:tblW w:w="0" w:type="auto"/>
        <w:tblLook w:val="04A0" w:firstRow="1" w:lastRow="0" w:firstColumn="1" w:lastColumn="0" w:noHBand="0" w:noVBand="1"/>
      </w:tblPr>
      <w:tblGrid>
        <w:gridCol w:w="9016"/>
      </w:tblGrid>
      <w:tr w:rsidR="00567849" w:rsidRPr="0008254F" w14:paraId="17D26DFC" w14:textId="77777777" w:rsidTr="0019166E">
        <w:tc>
          <w:tcPr>
            <w:tcW w:w="9016" w:type="dxa"/>
          </w:tcPr>
          <w:p w14:paraId="47440722" w14:textId="2025B1C5" w:rsidR="00567849" w:rsidRPr="0008254F" w:rsidRDefault="00795C76" w:rsidP="00BF7C71">
            <w:pPr>
              <w:spacing w:after="120"/>
              <w:rPr>
                <w:rFonts w:asciiTheme="minorHAnsi" w:eastAsia="Calibri" w:hAnsiTheme="minorHAnsi" w:cstheme="minorHAnsi"/>
              </w:rPr>
            </w:pPr>
            <w:r w:rsidRPr="0008254F">
              <w:t>La commission recommande au Conseil de prendre note du rapport figurant dans le Document C24/46</w:t>
            </w:r>
            <w:r w:rsidR="00567849" w:rsidRPr="0008254F">
              <w:t>.</w:t>
            </w:r>
          </w:p>
        </w:tc>
      </w:tr>
    </w:tbl>
    <w:p w14:paraId="7ED20CB9" w14:textId="5277F5EF" w:rsidR="00567849" w:rsidRPr="0008254F" w:rsidRDefault="00BF7C71" w:rsidP="00920484">
      <w:pPr>
        <w:pStyle w:val="Headingb"/>
        <w:spacing w:after="120"/>
        <w:rPr>
          <w:rFonts w:asciiTheme="minorHAnsi" w:hAnsiTheme="minorHAnsi" w:cstheme="minorHAnsi"/>
          <w:i/>
          <w:iCs/>
          <w:szCs w:val="24"/>
        </w:rPr>
      </w:pPr>
      <w:r w:rsidRPr="0008254F">
        <w:rPr>
          <w:i/>
          <w:iCs/>
        </w:rPr>
        <w:t>–</w:t>
      </w:r>
      <w:r w:rsidRPr="0008254F">
        <w:rPr>
          <w:i/>
          <w:iCs/>
        </w:rPr>
        <w:tab/>
      </w:r>
      <w:r w:rsidR="00795C76" w:rsidRPr="0008254F">
        <w:rPr>
          <w:i/>
          <w:iCs/>
        </w:rPr>
        <w:t xml:space="preserve">Arriérés et comptes spéciaux d'arriérés </w:t>
      </w:r>
      <w:r w:rsidR="00567849" w:rsidRPr="0008254F">
        <w:rPr>
          <w:i/>
          <w:iCs/>
        </w:rPr>
        <w:t xml:space="preserve">(Document </w:t>
      </w:r>
      <w:hyperlink r:id="rId33" w:history="1">
        <w:r w:rsidR="00567849" w:rsidRPr="0008254F">
          <w:rPr>
            <w:rStyle w:val="Hyperlink"/>
            <w:i/>
            <w:iCs/>
          </w:rPr>
          <w:t>C24/11</w:t>
        </w:r>
      </w:hyperlink>
      <w:r w:rsidR="00567849" w:rsidRPr="0008254F">
        <w:rPr>
          <w:i/>
          <w:iCs/>
        </w:rPr>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6"/>
      </w:tblGrid>
      <w:tr w:rsidR="00567849" w:rsidRPr="0008254F" w14:paraId="1CF75C8C" w14:textId="77777777" w:rsidTr="0019166E">
        <w:tc>
          <w:tcPr>
            <w:tcW w:w="9016" w:type="dxa"/>
            <w:tcBorders>
              <w:top w:val="single" w:sz="4" w:space="0" w:color="auto"/>
              <w:bottom w:val="single" w:sz="4" w:space="0" w:color="auto"/>
            </w:tcBorders>
          </w:tcPr>
          <w:p w14:paraId="5B3F0D8A" w14:textId="181CD89D" w:rsidR="00567849" w:rsidRPr="0008254F" w:rsidRDefault="00795C76" w:rsidP="00BF7C71">
            <w:pPr>
              <w:spacing w:after="120"/>
              <w:rPr>
                <w:rFonts w:asciiTheme="minorHAnsi" w:eastAsia="Calibri" w:hAnsiTheme="minorHAnsi" w:cstheme="minorHAnsi"/>
                <w:kern w:val="2"/>
                <w:szCs w:val="24"/>
                <w14:ligatures w14:val="standardContextual"/>
              </w:rPr>
            </w:pPr>
            <w:r w:rsidRPr="0008254F">
              <w:rPr>
                <w:rFonts w:eastAsia="SimSun"/>
              </w:rPr>
              <w:t xml:space="preserve">La commission recommande au Conseil de prendre note du rapport figurant dans le Document C24/11, d'approuver la passation par pertes et profits des intérêts moratoires et des créances irrécupérables d'un montant total de 419 841,19 CHF et d'adopter le projet de décision reproduit dans l'Annexe C du </w:t>
            </w:r>
            <w:r w:rsidR="00567849" w:rsidRPr="0008254F">
              <w:rPr>
                <w:rFonts w:eastAsia="SimSun"/>
              </w:rPr>
              <w:t>Document C24/109.</w:t>
            </w:r>
          </w:p>
        </w:tc>
      </w:tr>
    </w:tbl>
    <w:p w14:paraId="58A63289" w14:textId="5F22AE0F" w:rsidR="00567849" w:rsidRPr="0008254F" w:rsidRDefault="00BF7C71" w:rsidP="00920484">
      <w:pPr>
        <w:pStyle w:val="Headingb"/>
        <w:spacing w:after="120"/>
        <w:rPr>
          <w:rFonts w:asciiTheme="minorHAnsi" w:hAnsiTheme="minorHAnsi" w:cstheme="minorHAnsi"/>
          <w:i/>
          <w:iCs/>
          <w:szCs w:val="24"/>
        </w:rPr>
      </w:pPr>
      <w:r w:rsidRPr="0008254F">
        <w:rPr>
          <w:i/>
          <w:iCs/>
        </w:rPr>
        <w:t>–</w:t>
      </w:r>
      <w:r w:rsidRPr="0008254F">
        <w:rPr>
          <w:i/>
          <w:iCs/>
        </w:rPr>
        <w:tab/>
      </w:r>
      <w:r w:rsidR="00795C76" w:rsidRPr="0008254F">
        <w:rPr>
          <w:i/>
          <w:iCs/>
        </w:rPr>
        <w:t xml:space="preserve">Rapport de la Présidente du Groupe de travail du Conseil sur les ressources financières et les ressources humaines </w:t>
      </w:r>
      <w:r w:rsidR="00567849" w:rsidRPr="0008254F">
        <w:rPr>
          <w:i/>
          <w:iCs/>
        </w:rPr>
        <w:t xml:space="preserve">(Documents </w:t>
      </w:r>
      <w:hyperlink r:id="rId34" w:history="1">
        <w:r w:rsidR="00567849" w:rsidRPr="0008254F">
          <w:rPr>
            <w:rStyle w:val="Hyperlink"/>
            <w:i/>
            <w:iCs/>
          </w:rPr>
          <w:t>C24/50+Add.1</w:t>
        </w:r>
      </w:hyperlink>
      <w:r w:rsidR="00567849" w:rsidRPr="0008254F">
        <w:rPr>
          <w:i/>
          <w:iCs/>
        </w:rPr>
        <w:t xml:space="preserve">, </w:t>
      </w:r>
      <w:hyperlink r:id="rId35" w:history="1">
        <w:r w:rsidR="00567849" w:rsidRPr="0008254F">
          <w:rPr>
            <w:rStyle w:val="Hyperlink"/>
            <w:i/>
            <w:iCs/>
          </w:rPr>
          <w:t>CWG-FHR-18/5</w:t>
        </w:r>
      </w:hyperlink>
      <w:r w:rsidR="00567849" w:rsidRPr="0008254F">
        <w:rPr>
          <w:i/>
          <w:iCs/>
        </w:rPr>
        <w:t xml:space="preserve">, </w:t>
      </w:r>
      <w:hyperlink r:id="rId36" w:history="1">
        <w:r w:rsidR="00567849" w:rsidRPr="0008254F">
          <w:rPr>
            <w:rStyle w:val="Hyperlink"/>
            <w:i/>
            <w:iCs/>
          </w:rPr>
          <w:t>C24/DT/5</w:t>
        </w:r>
      </w:hyperlink>
      <w:r w:rsidR="00567849" w:rsidRPr="0008254F">
        <w:rPr>
          <w:i/>
          <w:iCs/>
        </w:rPr>
        <w:t xml:space="preserve">, </w:t>
      </w:r>
      <w:hyperlink r:id="rId37" w:history="1">
        <w:r w:rsidR="00567849" w:rsidRPr="0008254F">
          <w:rPr>
            <w:rStyle w:val="Hyperlink"/>
            <w:i/>
            <w:iCs/>
          </w:rPr>
          <w:t>C24/DT/9</w:t>
        </w:r>
      </w:hyperlink>
      <w:r w:rsidR="00567849" w:rsidRPr="0008254F">
        <w:rPr>
          <w:i/>
          <w:iCs/>
        </w:rPr>
        <w:t xml:space="preserve">, </w:t>
      </w:r>
      <w:hyperlink r:id="rId38" w:history="1">
        <w:r w:rsidR="00567849" w:rsidRPr="0008254F">
          <w:rPr>
            <w:rStyle w:val="Hyperlink"/>
            <w:i/>
            <w:iCs/>
          </w:rPr>
          <w:t>CWG-FHR-18/6</w:t>
        </w:r>
      </w:hyperlink>
      <w:r w:rsidR="00567849" w:rsidRPr="0008254F">
        <w:rPr>
          <w:i/>
          <w:iCs/>
        </w:rPr>
        <w:t xml:space="preserve"> </w:t>
      </w:r>
      <w:r w:rsidR="00795C76" w:rsidRPr="0008254F">
        <w:rPr>
          <w:i/>
          <w:iCs/>
        </w:rPr>
        <w:t>et</w:t>
      </w:r>
      <w:r w:rsidR="00567849" w:rsidRPr="0008254F">
        <w:rPr>
          <w:i/>
          <w:iCs/>
        </w:rPr>
        <w:t xml:space="preserve"> </w:t>
      </w:r>
      <w:hyperlink r:id="rId39" w:history="1">
        <w:r w:rsidR="00567849" w:rsidRPr="0008254F">
          <w:rPr>
            <w:rStyle w:val="Hyperlink"/>
            <w:i/>
            <w:iCs/>
          </w:rPr>
          <w:t>CWG-FHR-18/8</w:t>
        </w:r>
      </w:hyperlink>
      <w:r w:rsidR="00567849" w:rsidRPr="0008254F">
        <w:rPr>
          <w:i/>
          <w:iCs/>
        </w:rPr>
        <w:t>)</w:t>
      </w:r>
    </w:p>
    <w:tbl>
      <w:tblPr>
        <w:tblW w:w="0" w:type="auto"/>
        <w:tblCellMar>
          <w:left w:w="0" w:type="dxa"/>
          <w:right w:w="0" w:type="dxa"/>
        </w:tblCellMar>
        <w:tblLook w:val="04A0" w:firstRow="1" w:lastRow="0" w:firstColumn="1" w:lastColumn="0" w:noHBand="0" w:noVBand="1"/>
      </w:tblPr>
      <w:tblGrid>
        <w:gridCol w:w="9006"/>
      </w:tblGrid>
      <w:tr w:rsidR="00567849" w:rsidRPr="0008254F" w14:paraId="4B4DEC89" w14:textId="77777777" w:rsidTr="0019166E">
        <w:tc>
          <w:tcPr>
            <w:tcW w:w="90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AED9D23" w14:textId="5CA96C9A" w:rsidR="00567849" w:rsidRPr="0008254F" w:rsidRDefault="00795C76" w:rsidP="00BF7C71">
            <w:r w:rsidRPr="0008254F">
              <w:t>La commission recommande au Conseil</w:t>
            </w:r>
            <w:r w:rsidR="00567849" w:rsidRPr="0008254F">
              <w:t>:</w:t>
            </w:r>
          </w:p>
          <w:p w14:paraId="08B25316" w14:textId="59EC00FC" w:rsidR="00567849" w:rsidRPr="0008254F" w:rsidRDefault="00BF7C71" w:rsidP="00BF7C71">
            <w:pPr>
              <w:pStyle w:val="enumlev1"/>
            </w:pPr>
            <w:r w:rsidRPr="0008254F">
              <w:rPr>
                <w:rFonts w:eastAsiaTheme="minorHAnsi" w:cstheme="minorBidi"/>
                <w:szCs w:val="22"/>
              </w:rPr>
              <w:t>•</w:t>
            </w:r>
            <w:r w:rsidRPr="0008254F">
              <w:tab/>
            </w:r>
            <w:r w:rsidR="00795C76" w:rsidRPr="0008254F">
              <w:t>de prendre note des travaux du GTC-FHR</w:t>
            </w:r>
            <w:r w:rsidR="00567849" w:rsidRPr="0008254F">
              <w:t>;</w:t>
            </w:r>
          </w:p>
          <w:p w14:paraId="3C2A20C6" w14:textId="0D1C1857" w:rsidR="00567849" w:rsidRPr="0008254F" w:rsidRDefault="00BF7C71" w:rsidP="00BF7C71">
            <w:pPr>
              <w:pStyle w:val="enumlev1"/>
            </w:pPr>
            <w:r w:rsidRPr="0008254F">
              <w:rPr>
                <w:rFonts w:eastAsiaTheme="minorHAnsi" w:cstheme="minorBidi"/>
                <w:szCs w:val="22"/>
              </w:rPr>
              <w:t>•</w:t>
            </w:r>
            <w:r w:rsidRPr="0008254F">
              <w:tab/>
            </w:r>
            <w:r w:rsidR="00795C76" w:rsidRPr="0008254F">
              <w:t xml:space="preserve">d'approuver les lignes directrices relatives aux contributions en nature figurant à l'Annexe D du Document </w:t>
            </w:r>
            <w:r w:rsidR="00567849" w:rsidRPr="0008254F">
              <w:rPr>
                <w:rFonts w:eastAsia="SimSun" w:cs="Calibri"/>
              </w:rPr>
              <w:t>C24/109</w:t>
            </w:r>
            <w:r w:rsidR="00567849" w:rsidRPr="0008254F">
              <w:t xml:space="preserve">; </w:t>
            </w:r>
            <w:r w:rsidR="00795C76" w:rsidRPr="0008254F">
              <w:t xml:space="preserve">les modifications apportées au Règlement financier et aux Règles financières de l'UIT figurant à l'Annexe E du </w:t>
            </w:r>
            <w:r w:rsidR="00567849" w:rsidRPr="0008254F">
              <w:rPr>
                <w:rFonts w:eastAsia="SimSun" w:cs="Calibri"/>
              </w:rPr>
              <w:t>Document</w:t>
            </w:r>
            <w:r w:rsidRPr="0008254F">
              <w:rPr>
                <w:rFonts w:eastAsia="SimSun" w:cs="Calibri"/>
              </w:rPr>
              <w:t> </w:t>
            </w:r>
            <w:r w:rsidR="00567849" w:rsidRPr="0008254F">
              <w:rPr>
                <w:rFonts w:eastAsia="SimSun" w:cs="Calibri"/>
              </w:rPr>
              <w:t>C24/109</w:t>
            </w:r>
            <w:r w:rsidR="00567849" w:rsidRPr="0008254F">
              <w:t xml:space="preserve">; </w:t>
            </w:r>
            <w:r w:rsidR="00795C76" w:rsidRPr="0008254F">
              <w:t xml:space="preserve">la modification de la Résolution 1338 (C11), comme indiqué dans l'Annexe F du </w:t>
            </w:r>
            <w:r w:rsidR="00567849" w:rsidRPr="0008254F">
              <w:rPr>
                <w:rFonts w:eastAsia="SimSun" w:cs="Calibri"/>
              </w:rPr>
              <w:t>Document C24/109</w:t>
            </w:r>
            <w:r w:rsidR="00567849" w:rsidRPr="0008254F">
              <w:t xml:space="preserve"> </w:t>
            </w:r>
            <w:r w:rsidR="00795C76" w:rsidRPr="0008254F">
              <w:t xml:space="preserve">et la charte du contrôle interne de l'UIT, telle qu'exposée à l'Annexe G du </w:t>
            </w:r>
            <w:r w:rsidR="00567849" w:rsidRPr="0008254F">
              <w:rPr>
                <w:rFonts w:eastAsia="SimSun" w:cs="Calibri"/>
              </w:rPr>
              <w:t>Document C24/109</w:t>
            </w:r>
            <w:r w:rsidR="00567849" w:rsidRPr="0008254F">
              <w:t>;</w:t>
            </w:r>
          </w:p>
          <w:p w14:paraId="37382518" w14:textId="7B6B093F" w:rsidR="00567849" w:rsidRPr="0008254F" w:rsidRDefault="00BF7C71" w:rsidP="00BF7C71">
            <w:pPr>
              <w:pStyle w:val="enumlev1"/>
            </w:pPr>
            <w:r w:rsidRPr="0008254F">
              <w:rPr>
                <w:rFonts w:eastAsiaTheme="minorHAnsi" w:cstheme="minorBidi"/>
                <w:szCs w:val="22"/>
              </w:rPr>
              <w:t>•</w:t>
            </w:r>
            <w:r w:rsidRPr="0008254F">
              <w:tab/>
            </w:r>
            <w:r w:rsidR="00795C76" w:rsidRPr="0008254F">
              <w:t>de prier la Secrétaire générale d'élaborer une charte sur la fonction propre à l'éthique à l'UIT, qui sera présentée à titre d'information à la session de 2025 du</w:t>
            </w:r>
            <w:r w:rsidRPr="0008254F">
              <w:t> </w:t>
            </w:r>
            <w:r w:rsidR="00795C76" w:rsidRPr="0008254F">
              <w:t>Conseil; et</w:t>
            </w:r>
          </w:p>
          <w:p w14:paraId="7FF3E966" w14:textId="4631A68A" w:rsidR="00567849" w:rsidRPr="0008254F" w:rsidRDefault="00BF7C71" w:rsidP="00BF7C71">
            <w:pPr>
              <w:pStyle w:val="enumlev1"/>
              <w:spacing w:after="120"/>
              <w:rPr>
                <w:rFonts w:eastAsia="Calibri"/>
              </w:rPr>
            </w:pPr>
            <w:r w:rsidRPr="0008254F">
              <w:rPr>
                <w:rFonts w:eastAsiaTheme="minorHAnsi" w:cstheme="minorBidi"/>
                <w:szCs w:val="22"/>
              </w:rPr>
              <w:t>•</w:t>
            </w:r>
            <w:r w:rsidRPr="0008254F">
              <w:tab/>
            </w:r>
            <w:r w:rsidR="00795C76" w:rsidRPr="0008254F">
              <w:t>de prier la Secrétaire générale d'envisager de présenter un rapport sur la mise en</w:t>
            </w:r>
            <w:r w:rsidRPr="0008254F">
              <w:t> </w:t>
            </w:r>
            <w:r w:rsidR="00795C76" w:rsidRPr="0008254F">
              <w:t>œuvre de la Recommandation 2 figurant dans le Document JIU/REP/2023/3 sur</w:t>
            </w:r>
            <w:r w:rsidRPr="0008254F">
              <w:t> </w:t>
            </w:r>
            <w:r w:rsidR="00795C76" w:rsidRPr="0008254F">
              <w:t>les dispositifs d'application du principe de responsabilité dans les entité des Nations</w:t>
            </w:r>
            <w:r w:rsidRPr="0008254F">
              <w:t> </w:t>
            </w:r>
            <w:r w:rsidR="00795C76" w:rsidRPr="0008254F">
              <w:t>Unies à la session de 2025 du Conseil</w:t>
            </w:r>
            <w:r w:rsidR="00567849" w:rsidRPr="0008254F">
              <w:t>.</w:t>
            </w:r>
          </w:p>
        </w:tc>
      </w:tr>
    </w:tbl>
    <w:p w14:paraId="07780EA0" w14:textId="3541FA43" w:rsidR="00567849" w:rsidRPr="0008254F" w:rsidRDefault="00BF7C71" w:rsidP="00920484">
      <w:pPr>
        <w:pStyle w:val="Headingb"/>
        <w:spacing w:after="120"/>
        <w:rPr>
          <w:rFonts w:asciiTheme="minorHAnsi" w:hAnsiTheme="minorHAnsi" w:cstheme="minorHAnsi"/>
          <w:i/>
          <w:iCs/>
          <w:szCs w:val="24"/>
        </w:rPr>
      </w:pPr>
      <w:r w:rsidRPr="0008254F">
        <w:rPr>
          <w:rFonts w:asciiTheme="minorHAnsi" w:hAnsiTheme="minorHAnsi" w:cstheme="minorHAnsi"/>
          <w:i/>
          <w:iCs/>
          <w:spacing w:val="2"/>
          <w:szCs w:val="24"/>
        </w:rPr>
        <w:lastRenderedPageBreak/>
        <w:t>–</w:t>
      </w:r>
      <w:r w:rsidRPr="0008254F">
        <w:rPr>
          <w:rFonts w:asciiTheme="minorHAnsi" w:hAnsiTheme="minorHAnsi" w:cstheme="minorHAnsi"/>
          <w:i/>
          <w:iCs/>
          <w:spacing w:val="2"/>
          <w:szCs w:val="24"/>
        </w:rPr>
        <w:tab/>
      </w:r>
      <w:r w:rsidR="009764F3" w:rsidRPr="0008254F">
        <w:rPr>
          <w:rFonts w:asciiTheme="minorHAnsi" w:hAnsiTheme="minorHAnsi" w:cstheme="minorHAnsi"/>
          <w:i/>
          <w:iCs/>
          <w:spacing w:val="2"/>
          <w:szCs w:val="24"/>
        </w:rPr>
        <w:t xml:space="preserve">Projet de locaux du siège de l'Union </w:t>
      </w:r>
      <w:r w:rsidR="00567849" w:rsidRPr="0008254F">
        <w:rPr>
          <w:rFonts w:asciiTheme="minorHAnsi" w:hAnsiTheme="minorHAnsi" w:cstheme="minorHAnsi"/>
          <w:i/>
          <w:iCs/>
          <w:spacing w:val="2"/>
          <w:szCs w:val="24"/>
        </w:rPr>
        <w:t xml:space="preserve">(Documents </w:t>
      </w:r>
      <w:hyperlink r:id="rId40" w:history="1">
        <w:r w:rsidR="00567849" w:rsidRPr="0008254F">
          <w:rPr>
            <w:rStyle w:val="Hyperlink"/>
            <w:rFonts w:asciiTheme="minorHAnsi" w:hAnsiTheme="minorHAnsi" w:cstheme="minorHAnsi"/>
            <w:i/>
            <w:iCs/>
            <w:spacing w:val="2"/>
            <w:szCs w:val="24"/>
          </w:rPr>
          <w:t>C24/7</w:t>
        </w:r>
      </w:hyperlink>
      <w:r w:rsidR="00567849" w:rsidRPr="0008254F">
        <w:rPr>
          <w:rFonts w:asciiTheme="minorHAnsi" w:hAnsiTheme="minorHAnsi" w:cstheme="minorHAnsi"/>
          <w:i/>
          <w:iCs/>
          <w:spacing w:val="2"/>
          <w:szCs w:val="24"/>
        </w:rPr>
        <w:t xml:space="preserve">, </w:t>
      </w:r>
      <w:hyperlink r:id="rId41" w:history="1">
        <w:r w:rsidR="00567849" w:rsidRPr="0008254F">
          <w:rPr>
            <w:rStyle w:val="Hyperlink"/>
            <w:rFonts w:asciiTheme="minorHAnsi" w:hAnsiTheme="minorHAnsi" w:cstheme="minorHAnsi"/>
            <w:i/>
            <w:iCs/>
            <w:spacing w:val="2"/>
            <w:szCs w:val="24"/>
          </w:rPr>
          <w:t>C24/48</w:t>
        </w:r>
      </w:hyperlink>
      <w:r w:rsidR="00567849" w:rsidRPr="0008254F">
        <w:rPr>
          <w:rFonts w:asciiTheme="minorHAnsi" w:hAnsiTheme="minorHAnsi" w:cstheme="minorHAnsi"/>
          <w:i/>
          <w:iCs/>
          <w:spacing w:val="2"/>
          <w:szCs w:val="24"/>
        </w:rPr>
        <w:t xml:space="preserve">, </w:t>
      </w:r>
      <w:hyperlink r:id="rId42" w:history="1">
        <w:r w:rsidR="00567849" w:rsidRPr="0008254F">
          <w:rPr>
            <w:rStyle w:val="Hyperlink"/>
            <w:rFonts w:asciiTheme="minorHAnsi" w:hAnsiTheme="minorHAnsi" w:cstheme="minorHAnsi"/>
            <w:i/>
            <w:iCs/>
            <w:spacing w:val="2"/>
            <w:szCs w:val="24"/>
          </w:rPr>
          <w:t>C24/83</w:t>
        </w:r>
      </w:hyperlink>
      <w:r w:rsidR="00567849" w:rsidRPr="0008254F">
        <w:rPr>
          <w:rFonts w:asciiTheme="minorHAnsi" w:hAnsiTheme="minorHAnsi" w:cstheme="minorHAnsi"/>
          <w:i/>
          <w:iCs/>
          <w:spacing w:val="2"/>
          <w:szCs w:val="24"/>
        </w:rPr>
        <w:t xml:space="preserve">, </w:t>
      </w:r>
      <w:hyperlink r:id="rId43" w:history="1">
        <w:r w:rsidR="00567849" w:rsidRPr="0008254F">
          <w:rPr>
            <w:rStyle w:val="Hyperlink"/>
            <w:rFonts w:asciiTheme="minorHAnsi" w:hAnsiTheme="minorHAnsi" w:cstheme="minorHAnsi"/>
            <w:i/>
            <w:iCs/>
            <w:spacing w:val="2"/>
            <w:szCs w:val="24"/>
          </w:rPr>
          <w:t>C24/94</w:t>
        </w:r>
      </w:hyperlink>
      <w:r w:rsidR="00567849" w:rsidRPr="0008254F">
        <w:rPr>
          <w:rFonts w:asciiTheme="minorHAnsi" w:hAnsiTheme="minorHAnsi" w:cstheme="minorHAnsi"/>
          <w:i/>
          <w:iCs/>
          <w:spacing w:val="2"/>
          <w:szCs w:val="24"/>
        </w:rPr>
        <w:t xml:space="preserve">, </w:t>
      </w:r>
      <w:hyperlink r:id="rId44" w:history="1">
        <w:r w:rsidR="00567849" w:rsidRPr="0008254F">
          <w:rPr>
            <w:rStyle w:val="Hyperlink"/>
            <w:rFonts w:asciiTheme="minorHAnsi" w:hAnsiTheme="minorHAnsi" w:cstheme="minorHAnsi"/>
            <w:i/>
            <w:iCs/>
            <w:spacing w:val="2"/>
            <w:szCs w:val="24"/>
          </w:rPr>
          <w:t>C24/104</w:t>
        </w:r>
      </w:hyperlink>
      <w:r w:rsidR="00567849" w:rsidRPr="0008254F">
        <w:rPr>
          <w:rFonts w:asciiTheme="minorHAnsi" w:hAnsiTheme="minorHAnsi" w:cstheme="minorHAnsi"/>
          <w:i/>
          <w:iCs/>
          <w:spacing w:val="2"/>
          <w:szCs w:val="24"/>
        </w:rPr>
        <w:t xml:space="preserve">, </w:t>
      </w:r>
      <w:hyperlink r:id="rId45" w:history="1">
        <w:r w:rsidR="00567849" w:rsidRPr="0008254F">
          <w:rPr>
            <w:rStyle w:val="Hyperlink"/>
            <w:rFonts w:asciiTheme="minorHAnsi" w:hAnsiTheme="minorHAnsi" w:cstheme="minorHAnsi"/>
            <w:i/>
            <w:iCs/>
            <w:spacing w:val="2"/>
            <w:szCs w:val="24"/>
          </w:rPr>
          <w:t>C24/DL/2</w:t>
        </w:r>
      </w:hyperlink>
      <w:r w:rsidR="00567849" w:rsidRPr="0008254F">
        <w:rPr>
          <w:rFonts w:asciiTheme="minorHAnsi" w:hAnsiTheme="minorHAnsi" w:cstheme="minorHAnsi"/>
          <w:i/>
          <w:iCs/>
          <w:spacing w:val="2"/>
          <w:szCs w:val="24"/>
        </w:rPr>
        <w:t xml:space="preserve"> </w:t>
      </w:r>
      <w:r w:rsidR="009764F3" w:rsidRPr="0008254F">
        <w:rPr>
          <w:rFonts w:asciiTheme="minorHAnsi" w:hAnsiTheme="minorHAnsi" w:cstheme="minorHAnsi"/>
          <w:i/>
          <w:iCs/>
          <w:spacing w:val="2"/>
          <w:szCs w:val="24"/>
        </w:rPr>
        <w:t>et</w:t>
      </w:r>
      <w:r w:rsidR="00567849" w:rsidRPr="0008254F">
        <w:rPr>
          <w:rFonts w:asciiTheme="minorHAnsi" w:hAnsiTheme="minorHAnsi" w:cstheme="minorHAnsi"/>
          <w:i/>
          <w:iCs/>
          <w:spacing w:val="2"/>
          <w:szCs w:val="24"/>
        </w:rPr>
        <w:t xml:space="preserve"> </w:t>
      </w:r>
      <w:hyperlink r:id="rId46" w:history="1">
        <w:r w:rsidR="00567849" w:rsidRPr="0008254F">
          <w:rPr>
            <w:rStyle w:val="Hyperlink"/>
            <w:rFonts w:asciiTheme="minorHAnsi" w:hAnsiTheme="minorHAnsi" w:cstheme="minorHAnsi"/>
            <w:i/>
            <w:iCs/>
            <w:spacing w:val="2"/>
            <w:szCs w:val="24"/>
          </w:rPr>
          <w:t>C24/DT/4</w:t>
        </w:r>
      </w:hyperlink>
      <w:r w:rsidR="00567849" w:rsidRPr="0008254F">
        <w:rPr>
          <w:rFonts w:asciiTheme="minorHAnsi" w:hAnsiTheme="minorHAnsi" w:cstheme="minorHAnsi"/>
          <w:i/>
          <w:iCs/>
          <w:szCs w:val="24"/>
        </w:rPr>
        <w:t>)</w:t>
      </w:r>
    </w:p>
    <w:tbl>
      <w:tblPr>
        <w:tblW w:w="0" w:type="auto"/>
        <w:tblCellMar>
          <w:left w:w="0" w:type="dxa"/>
          <w:right w:w="0" w:type="dxa"/>
        </w:tblCellMar>
        <w:tblLook w:val="04A0" w:firstRow="1" w:lastRow="0" w:firstColumn="1" w:lastColumn="0" w:noHBand="0" w:noVBand="1"/>
      </w:tblPr>
      <w:tblGrid>
        <w:gridCol w:w="9006"/>
      </w:tblGrid>
      <w:tr w:rsidR="00567849" w:rsidRPr="0008254F" w14:paraId="5D613E39" w14:textId="77777777" w:rsidTr="0019166E">
        <w:tc>
          <w:tcPr>
            <w:tcW w:w="90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D5D536" w14:textId="544EAC46" w:rsidR="00567849" w:rsidRPr="0008254F" w:rsidRDefault="009764F3" w:rsidP="00BF7C71">
            <w:pPr>
              <w:keepNext/>
              <w:keepLines/>
              <w:spacing w:after="120"/>
              <w:rPr>
                <w:rFonts w:asciiTheme="minorHAnsi" w:eastAsia="Calibri" w:hAnsiTheme="minorHAnsi" w:cstheme="minorHAnsi"/>
                <w:kern w:val="2"/>
                <w:szCs w:val="24"/>
                <w14:ligatures w14:val="standardContextual"/>
              </w:rPr>
            </w:pPr>
            <w:r w:rsidRPr="0008254F">
              <w:rPr>
                <w:rFonts w:eastAsia="SimSun"/>
              </w:rPr>
              <w:t xml:space="preserve">La commission recommande au Conseil de prendre note du rapport, d'approuver la marche à suivre recommandée par le Secrétariat et d'adopter le projet de décision figurant dans l'Annexe I du </w:t>
            </w:r>
            <w:r w:rsidR="00567849" w:rsidRPr="0008254F">
              <w:rPr>
                <w:rFonts w:eastAsia="SimSun"/>
              </w:rPr>
              <w:t>Document C24/109</w:t>
            </w:r>
            <w:r w:rsidR="00BF7C71" w:rsidRPr="0008254F">
              <w:rPr>
                <w:rFonts w:eastAsia="SimSun"/>
              </w:rPr>
              <w:t>.</w:t>
            </w:r>
          </w:p>
        </w:tc>
      </w:tr>
    </w:tbl>
    <w:p w14:paraId="769D0717" w14:textId="142C2693" w:rsidR="00567849" w:rsidRPr="0008254F" w:rsidRDefault="00BF7C71" w:rsidP="00920484">
      <w:pPr>
        <w:pStyle w:val="Headingb"/>
        <w:spacing w:after="120"/>
        <w:rPr>
          <w:i/>
          <w:iCs/>
        </w:rPr>
      </w:pPr>
      <w:r w:rsidRPr="0008254F">
        <w:rPr>
          <w:i/>
          <w:iCs/>
        </w:rPr>
        <w:t>–</w:t>
      </w:r>
      <w:r w:rsidRPr="0008254F">
        <w:rPr>
          <w:i/>
          <w:iCs/>
        </w:rPr>
        <w:tab/>
      </w:r>
      <w:r w:rsidR="009764F3" w:rsidRPr="0008254F">
        <w:rPr>
          <w:i/>
          <w:iCs/>
        </w:rPr>
        <w:t xml:space="preserve">Fonds pour le développement des technologies de l'information et de la communication </w:t>
      </w:r>
      <w:r w:rsidR="00567849" w:rsidRPr="0008254F">
        <w:rPr>
          <w:i/>
          <w:iCs/>
        </w:rPr>
        <w:t xml:space="preserve">(Document </w:t>
      </w:r>
      <w:hyperlink r:id="rId47" w:history="1">
        <w:r w:rsidR="00567849" w:rsidRPr="0008254F">
          <w:rPr>
            <w:rStyle w:val="Hyperlink"/>
            <w:rFonts w:asciiTheme="minorHAnsi" w:hAnsiTheme="minorHAnsi" w:cstheme="minorHAnsi"/>
            <w:i/>
            <w:iCs/>
            <w:szCs w:val="24"/>
          </w:rPr>
          <w:t>C24/34(R</w:t>
        </w:r>
        <w:r w:rsidR="009764F3" w:rsidRPr="0008254F">
          <w:rPr>
            <w:rStyle w:val="Hyperlink"/>
            <w:rFonts w:asciiTheme="minorHAnsi" w:hAnsiTheme="minorHAnsi" w:cstheme="minorHAnsi"/>
            <w:i/>
            <w:iCs/>
            <w:szCs w:val="24"/>
          </w:rPr>
          <w:t>é</w:t>
        </w:r>
        <w:r w:rsidR="00567849" w:rsidRPr="0008254F">
          <w:rPr>
            <w:rStyle w:val="Hyperlink"/>
            <w:rFonts w:asciiTheme="minorHAnsi" w:hAnsiTheme="minorHAnsi" w:cstheme="minorHAnsi"/>
            <w:i/>
            <w:iCs/>
            <w:szCs w:val="24"/>
          </w:rPr>
          <w:t>v.1)</w:t>
        </w:r>
      </w:hyperlink>
      <w:r w:rsidR="00567849" w:rsidRPr="0008254F">
        <w:rPr>
          <w:i/>
          <w:iCs/>
        </w:rPr>
        <w:t>)</w:t>
      </w:r>
    </w:p>
    <w:tbl>
      <w:tblPr>
        <w:tblW w:w="0" w:type="auto"/>
        <w:tblCellMar>
          <w:left w:w="0" w:type="dxa"/>
          <w:right w:w="0" w:type="dxa"/>
        </w:tblCellMar>
        <w:tblLook w:val="04A0" w:firstRow="1" w:lastRow="0" w:firstColumn="1" w:lastColumn="0" w:noHBand="0" w:noVBand="1"/>
      </w:tblPr>
      <w:tblGrid>
        <w:gridCol w:w="9006"/>
      </w:tblGrid>
      <w:tr w:rsidR="00567849" w:rsidRPr="0008254F" w14:paraId="2971A937" w14:textId="77777777" w:rsidTr="0019166E">
        <w:tc>
          <w:tcPr>
            <w:tcW w:w="90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25FD43" w14:textId="6CCA25C0" w:rsidR="00567849" w:rsidRPr="0008254F" w:rsidRDefault="009764F3" w:rsidP="00BF7C71">
            <w:pPr>
              <w:spacing w:after="120"/>
              <w:rPr>
                <w:rFonts w:eastAsia="SimSun"/>
              </w:rPr>
            </w:pPr>
            <w:r w:rsidRPr="0008254F">
              <w:rPr>
                <w:rFonts w:eastAsia="SimSun"/>
              </w:rPr>
              <w:t>La commission recommande au Conseil de prendre note du rapport figurant dans le Document C24/34(Rév.1</w:t>
            </w:r>
            <w:r w:rsidR="00567849" w:rsidRPr="0008254F">
              <w:rPr>
                <w:rFonts w:eastAsia="SimSun"/>
              </w:rPr>
              <w:t>).</w:t>
            </w:r>
          </w:p>
        </w:tc>
      </w:tr>
    </w:tbl>
    <w:p w14:paraId="08756D77" w14:textId="5A01FE7B" w:rsidR="00567849" w:rsidRPr="0008254F" w:rsidRDefault="00BF7C71" w:rsidP="00920484">
      <w:pPr>
        <w:pStyle w:val="Headingb"/>
        <w:spacing w:after="120"/>
        <w:rPr>
          <w:rFonts w:asciiTheme="minorHAnsi" w:hAnsiTheme="minorHAnsi" w:cstheme="minorHAnsi"/>
          <w:i/>
          <w:iCs/>
          <w:szCs w:val="24"/>
        </w:rPr>
      </w:pPr>
      <w:r w:rsidRPr="0008254F">
        <w:rPr>
          <w:rFonts w:asciiTheme="minorHAnsi" w:hAnsiTheme="minorHAnsi" w:cstheme="minorHAnsi"/>
          <w:i/>
          <w:iCs/>
          <w:szCs w:val="24"/>
        </w:rPr>
        <w:t>–</w:t>
      </w:r>
      <w:r w:rsidRPr="0008254F">
        <w:rPr>
          <w:rFonts w:asciiTheme="minorHAnsi" w:hAnsiTheme="minorHAnsi" w:cstheme="minorHAnsi"/>
          <w:i/>
          <w:iCs/>
          <w:szCs w:val="24"/>
        </w:rPr>
        <w:tab/>
      </w:r>
      <w:r w:rsidR="009764F3" w:rsidRPr="0008254F">
        <w:rPr>
          <w:rFonts w:asciiTheme="minorHAnsi" w:hAnsiTheme="minorHAnsi" w:cstheme="minorHAnsi"/>
          <w:i/>
          <w:iCs/>
          <w:szCs w:val="24"/>
        </w:rPr>
        <w:t xml:space="preserve">Feuille de route pour l'amélioration du site web de l'UIT </w:t>
      </w:r>
      <w:r w:rsidR="00567849" w:rsidRPr="0008254F">
        <w:rPr>
          <w:rFonts w:asciiTheme="minorHAnsi" w:hAnsiTheme="minorHAnsi" w:cstheme="minorHAnsi"/>
          <w:i/>
          <w:iCs/>
          <w:szCs w:val="24"/>
        </w:rPr>
        <w:t xml:space="preserve">(Documents </w:t>
      </w:r>
      <w:hyperlink r:id="rId48" w:history="1">
        <w:r w:rsidR="00567849" w:rsidRPr="0008254F">
          <w:rPr>
            <w:rStyle w:val="Hyperlink"/>
            <w:rFonts w:asciiTheme="minorHAnsi" w:hAnsiTheme="minorHAnsi" w:cstheme="minorHAnsi"/>
            <w:i/>
            <w:iCs/>
            <w:szCs w:val="24"/>
          </w:rPr>
          <w:t>C24/53</w:t>
        </w:r>
      </w:hyperlink>
      <w:r w:rsidR="00567849" w:rsidRPr="0008254F">
        <w:rPr>
          <w:rFonts w:asciiTheme="minorHAnsi" w:hAnsiTheme="minorHAnsi" w:cstheme="minorHAnsi"/>
          <w:i/>
          <w:iCs/>
          <w:szCs w:val="24"/>
        </w:rPr>
        <w:t xml:space="preserve"> </w:t>
      </w:r>
      <w:r w:rsidR="009764F3" w:rsidRPr="0008254F">
        <w:rPr>
          <w:rFonts w:asciiTheme="minorHAnsi" w:hAnsiTheme="minorHAnsi" w:cstheme="minorHAnsi"/>
          <w:i/>
          <w:iCs/>
          <w:szCs w:val="24"/>
        </w:rPr>
        <w:t>et</w:t>
      </w:r>
      <w:r w:rsidR="00920484" w:rsidRPr="0008254F">
        <w:rPr>
          <w:rFonts w:asciiTheme="minorHAnsi" w:hAnsiTheme="minorHAnsi" w:cstheme="minorHAnsi"/>
          <w:i/>
          <w:iCs/>
          <w:szCs w:val="24"/>
        </w:rPr>
        <w:t> </w:t>
      </w:r>
      <w:hyperlink r:id="rId49" w:history="1">
        <w:r w:rsidR="00567849" w:rsidRPr="0008254F">
          <w:rPr>
            <w:rStyle w:val="Hyperlink"/>
            <w:rFonts w:asciiTheme="minorHAnsi" w:hAnsiTheme="minorHAnsi" w:cstheme="minorHAnsi"/>
            <w:i/>
            <w:iCs/>
            <w:szCs w:val="24"/>
          </w:rPr>
          <w:t>C24/101</w:t>
        </w:r>
      </w:hyperlink>
      <w:r w:rsidR="00567849" w:rsidRPr="0008254F">
        <w:rPr>
          <w:rFonts w:asciiTheme="minorHAnsi" w:hAnsiTheme="minorHAnsi" w:cstheme="minorHAnsi"/>
          <w:i/>
          <w:iCs/>
          <w:szCs w:val="24"/>
        </w:rPr>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6"/>
      </w:tblGrid>
      <w:tr w:rsidR="00567849" w:rsidRPr="0008254F" w14:paraId="6C2D549F" w14:textId="77777777" w:rsidTr="0019166E">
        <w:tc>
          <w:tcPr>
            <w:tcW w:w="9016" w:type="dxa"/>
            <w:tcBorders>
              <w:top w:val="single" w:sz="4" w:space="0" w:color="auto"/>
              <w:bottom w:val="single" w:sz="4" w:space="0" w:color="auto"/>
            </w:tcBorders>
          </w:tcPr>
          <w:p w14:paraId="1BF51BFA" w14:textId="796A41EA" w:rsidR="00567849" w:rsidRPr="0008254F" w:rsidRDefault="009764F3" w:rsidP="00BF7C71">
            <w:r w:rsidRPr="0008254F">
              <w:t>La commission recommande au Conseil</w:t>
            </w:r>
            <w:r w:rsidR="00567849" w:rsidRPr="0008254F">
              <w:t>:</w:t>
            </w:r>
          </w:p>
          <w:p w14:paraId="5EA9E051" w14:textId="22A82FA8" w:rsidR="009764F3" w:rsidRPr="0008254F" w:rsidRDefault="00920484" w:rsidP="00BF7C71">
            <w:pPr>
              <w:pStyle w:val="enumlev1"/>
              <w:rPr>
                <w:rFonts w:asciiTheme="minorHAnsi" w:eastAsia="Calibri" w:hAnsiTheme="minorHAnsi" w:cstheme="minorHAnsi"/>
              </w:rPr>
            </w:pPr>
            <w:r w:rsidRPr="0008254F">
              <w:t>•</w:t>
            </w:r>
            <w:r w:rsidRPr="0008254F">
              <w:rPr>
                <w:rFonts w:asciiTheme="minorHAnsi" w:hAnsiTheme="minorHAnsi" w:cstheme="minorHAnsi"/>
                <w:i/>
                <w:iCs/>
                <w:szCs w:val="24"/>
              </w:rPr>
              <w:tab/>
            </w:r>
            <w:r w:rsidR="009764F3" w:rsidRPr="0008254F">
              <w:t>de prendre note du rapport figurant dans le Document C24/53; et</w:t>
            </w:r>
          </w:p>
          <w:p w14:paraId="7E2F0059" w14:textId="4E3D4F2B" w:rsidR="00567849" w:rsidRPr="0008254F" w:rsidRDefault="00920484" w:rsidP="00BF7C71">
            <w:pPr>
              <w:pStyle w:val="enumlev1"/>
              <w:spacing w:after="120"/>
              <w:rPr>
                <w:rFonts w:asciiTheme="minorHAnsi" w:eastAsia="Calibri" w:hAnsiTheme="minorHAnsi" w:cstheme="minorHAnsi"/>
              </w:rPr>
            </w:pPr>
            <w:r w:rsidRPr="0008254F">
              <w:t>•</w:t>
            </w:r>
            <w:r w:rsidRPr="0008254F">
              <w:rPr>
                <w:rFonts w:asciiTheme="minorHAnsi" w:hAnsiTheme="minorHAnsi" w:cstheme="minorHAnsi"/>
                <w:i/>
                <w:iCs/>
                <w:szCs w:val="24"/>
              </w:rPr>
              <w:tab/>
            </w:r>
            <w:r w:rsidR="009764F3" w:rsidRPr="0008254F">
              <w:t>de charger le GTC-FHR d'examiner la mise en œuvre de la feuille de route pour l'amélioration du site web de l'UIT en vue de la compléter par les mesures proposées dans le Document C24/101 et d'examiner les étapes, les échéances et les modalités financières du projet</w:t>
            </w:r>
            <w:r w:rsidR="00567849" w:rsidRPr="0008254F">
              <w:t>.</w:t>
            </w:r>
          </w:p>
        </w:tc>
      </w:tr>
    </w:tbl>
    <w:p w14:paraId="22144AC7" w14:textId="72FFBE8E" w:rsidR="00567849" w:rsidRPr="0008254F" w:rsidRDefault="00BF7C71" w:rsidP="00920484">
      <w:pPr>
        <w:pStyle w:val="Headingb"/>
        <w:spacing w:after="120"/>
        <w:rPr>
          <w:i/>
          <w:iCs/>
        </w:rPr>
      </w:pPr>
      <w:r w:rsidRPr="0008254F">
        <w:rPr>
          <w:i/>
          <w:iCs/>
        </w:rPr>
        <w:t>–</w:t>
      </w:r>
      <w:r w:rsidRPr="0008254F">
        <w:rPr>
          <w:i/>
          <w:iCs/>
        </w:rPr>
        <w:tab/>
      </w:r>
      <w:r w:rsidR="009764F3" w:rsidRPr="0008254F">
        <w:rPr>
          <w:i/>
          <w:iCs/>
        </w:rPr>
        <w:t xml:space="preserve">Incidences budgétaires annuelles de la suite donnée aux décisions de la CMR-23 </w:t>
      </w:r>
      <w:r w:rsidR="00567849" w:rsidRPr="0008254F">
        <w:rPr>
          <w:i/>
          <w:iCs/>
        </w:rPr>
        <w:t xml:space="preserve">(Document </w:t>
      </w:r>
      <w:hyperlink r:id="rId50" w:history="1">
        <w:r w:rsidR="00567849" w:rsidRPr="0008254F">
          <w:rPr>
            <w:rStyle w:val="Hyperlink"/>
            <w:rFonts w:asciiTheme="minorHAnsi" w:hAnsiTheme="minorHAnsi" w:cstheme="minorHAnsi"/>
            <w:i/>
            <w:iCs/>
            <w:szCs w:val="24"/>
          </w:rPr>
          <w:t>C24/63</w:t>
        </w:r>
      </w:hyperlink>
      <w:r w:rsidR="00567849" w:rsidRPr="0008254F">
        <w:rPr>
          <w:i/>
          <w:iCs/>
        </w:rPr>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6"/>
      </w:tblGrid>
      <w:tr w:rsidR="00567849" w:rsidRPr="0008254F" w14:paraId="39727F5A" w14:textId="77777777" w:rsidTr="0019166E">
        <w:tc>
          <w:tcPr>
            <w:tcW w:w="9016" w:type="dxa"/>
            <w:tcBorders>
              <w:top w:val="single" w:sz="4" w:space="0" w:color="auto"/>
              <w:bottom w:val="single" w:sz="4" w:space="0" w:color="auto"/>
            </w:tcBorders>
          </w:tcPr>
          <w:p w14:paraId="7F85873C" w14:textId="0114CE7B" w:rsidR="00567849" w:rsidRPr="0008254F" w:rsidRDefault="009764F3" w:rsidP="00BF7C71">
            <w:r w:rsidRPr="0008254F">
              <w:t>La commission recommande au Conseil</w:t>
            </w:r>
            <w:r w:rsidR="00567849" w:rsidRPr="0008254F">
              <w:t>:</w:t>
            </w:r>
          </w:p>
          <w:p w14:paraId="40A20BEC" w14:textId="21130D73" w:rsidR="00567849" w:rsidRPr="0008254F" w:rsidRDefault="00920484" w:rsidP="00BF7C71">
            <w:pPr>
              <w:pStyle w:val="enumlev1"/>
            </w:pPr>
            <w:r w:rsidRPr="0008254F">
              <w:t>•</w:t>
            </w:r>
            <w:r w:rsidRPr="0008254F">
              <w:rPr>
                <w:rFonts w:asciiTheme="minorHAnsi" w:hAnsiTheme="minorHAnsi" w:cstheme="minorHAnsi"/>
                <w:i/>
                <w:iCs/>
                <w:szCs w:val="24"/>
              </w:rPr>
              <w:tab/>
            </w:r>
            <w:r w:rsidR="009764F3" w:rsidRPr="0008254F">
              <w:t>de prendre note du rapport figurant dans le Document C24/63; et</w:t>
            </w:r>
          </w:p>
          <w:p w14:paraId="23B031C8" w14:textId="72F7ACAC" w:rsidR="00567849" w:rsidRPr="0008254F" w:rsidRDefault="00920484" w:rsidP="00BF7C71">
            <w:pPr>
              <w:pStyle w:val="enumlev1"/>
              <w:spacing w:after="120"/>
              <w:rPr>
                <w:rFonts w:asciiTheme="minorHAnsi" w:eastAsia="Calibri" w:hAnsiTheme="minorHAnsi" w:cstheme="minorHAnsi"/>
              </w:rPr>
            </w:pPr>
            <w:r w:rsidRPr="0008254F">
              <w:t>•</w:t>
            </w:r>
            <w:r w:rsidRPr="0008254F">
              <w:rPr>
                <w:rFonts w:asciiTheme="minorHAnsi" w:hAnsiTheme="minorHAnsi" w:cstheme="minorHAnsi"/>
                <w:i/>
                <w:iCs/>
                <w:szCs w:val="24"/>
              </w:rPr>
              <w:tab/>
            </w:r>
            <w:r w:rsidR="009764F3" w:rsidRPr="0008254F">
              <w:t>de remercier les Émirats arabes unis pour leur contribution financière exceptionnelle destinée à soutenir la mise en œuvre des décisions de la CMR</w:t>
            </w:r>
            <w:r w:rsidR="00567849" w:rsidRPr="0008254F">
              <w:t>-23.</w:t>
            </w:r>
          </w:p>
        </w:tc>
      </w:tr>
    </w:tbl>
    <w:p w14:paraId="788C7449" w14:textId="66836F6D" w:rsidR="00567849" w:rsidRPr="0008254F" w:rsidRDefault="00BF7C71" w:rsidP="00920484">
      <w:pPr>
        <w:pStyle w:val="Headingb"/>
        <w:spacing w:after="120"/>
        <w:rPr>
          <w:i/>
          <w:iCs/>
        </w:rPr>
      </w:pPr>
      <w:r w:rsidRPr="0008254F">
        <w:rPr>
          <w:i/>
          <w:iCs/>
        </w:rPr>
        <w:t>–</w:t>
      </w:r>
      <w:r w:rsidRPr="0008254F">
        <w:rPr>
          <w:i/>
          <w:iCs/>
        </w:rPr>
        <w:tab/>
      </w:r>
      <w:r w:rsidR="009764F3" w:rsidRPr="0008254F">
        <w:rPr>
          <w:i/>
          <w:iCs/>
        </w:rPr>
        <w:t xml:space="preserve">Proposition de modification de la politique relative à l'accès en ligne à la Circulaire internationale d'information sur les fréquences du Bureau des radiocommunications pour les services spatiaux </w:t>
      </w:r>
      <w:r w:rsidR="00567849" w:rsidRPr="0008254F">
        <w:rPr>
          <w:i/>
          <w:iCs/>
        </w:rPr>
        <w:t xml:space="preserve">(Document </w:t>
      </w:r>
      <w:hyperlink r:id="rId51" w:history="1">
        <w:r w:rsidR="00567849" w:rsidRPr="0008254F">
          <w:rPr>
            <w:rStyle w:val="Hyperlink"/>
            <w:rFonts w:asciiTheme="minorHAnsi" w:hAnsiTheme="minorHAnsi" w:cstheme="minorHAnsi"/>
            <w:i/>
            <w:iCs/>
            <w:szCs w:val="24"/>
          </w:rPr>
          <w:t>C24/90</w:t>
        </w:r>
      </w:hyperlink>
      <w:r w:rsidR="00567849" w:rsidRPr="0008254F">
        <w:rPr>
          <w:i/>
          <w:iCs/>
        </w:rPr>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6"/>
      </w:tblGrid>
      <w:tr w:rsidR="00567849" w:rsidRPr="0008254F" w14:paraId="64D02A18" w14:textId="77777777" w:rsidTr="0019166E">
        <w:tc>
          <w:tcPr>
            <w:tcW w:w="9016" w:type="dxa"/>
            <w:tcBorders>
              <w:top w:val="single" w:sz="4" w:space="0" w:color="auto"/>
              <w:bottom w:val="single" w:sz="4" w:space="0" w:color="auto"/>
            </w:tcBorders>
          </w:tcPr>
          <w:p w14:paraId="3F56177F" w14:textId="45181EAC" w:rsidR="00567849" w:rsidRPr="0008254F" w:rsidRDefault="009764F3" w:rsidP="00BF7C71">
            <w:pPr>
              <w:spacing w:after="120"/>
              <w:rPr>
                <w:rFonts w:asciiTheme="minorHAnsi" w:eastAsia="Calibri" w:hAnsiTheme="minorHAnsi" w:cstheme="minorHAnsi"/>
                <w:kern w:val="2"/>
                <w:szCs w:val="24"/>
                <w14:ligatures w14:val="standardContextual"/>
              </w:rPr>
            </w:pPr>
            <w:r w:rsidRPr="0008254F">
              <w:rPr>
                <w:rFonts w:eastAsia="SimSun"/>
              </w:rPr>
              <w:t>La commission recommande au Conseil de demander au Directeur du Bureau des radiocommunications de mettre en œuvre une nouvelle politique visant à fournir aux administrations des États Membres un accès illimité aux BR IFIC en ligne pour les services spatiaux et les services de Terre</w:t>
            </w:r>
            <w:r w:rsidR="00567849" w:rsidRPr="0008254F">
              <w:rPr>
                <w:rFonts w:eastAsia="SimSun"/>
              </w:rPr>
              <w:t>.</w:t>
            </w:r>
          </w:p>
        </w:tc>
      </w:tr>
    </w:tbl>
    <w:p w14:paraId="20EBB516" w14:textId="21CB295E" w:rsidR="00567849" w:rsidRPr="0008254F" w:rsidRDefault="00BF7C71" w:rsidP="00920484">
      <w:pPr>
        <w:pStyle w:val="Headingb"/>
        <w:spacing w:after="120"/>
        <w:rPr>
          <w:i/>
          <w:iCs/>
        </w:rPr>
      </w:pPr>
      <w:r w:rsidRPr="0008254F">
        <w:rPr>
          <w:i/>
          <w:iCs/>
        </w:rPr>
        <w:lastRenderedPageBreak/>
        <w:t>–</w:t>
      </w:r>
      <w:r w:rsidRPr="0008254F">
        <w:rPr>
          <w:i/>
          <w:iCs/>
        </w:rPr>
        <w:tab/>
      </w:r>
      <w:r w:rsidR="009764F3" w:rsidRPr="0008254F">
        <w:rPr>
          <w:i/>
          <w:iCs/>
        </w:rPr>
        <w:t xml:space="preserve">Proposition de gabarit d'aide à l'évaluation des incidences financières des propositions aux conférences </w:t>
      </w:r>
      <w:r w:rsidR="00567849" w:rsidRPr="0008254F">
        <w:rPr>
          <w:i/>
          <w:iCs/>
        </w:rPr>
        <w:t xml:space="preserve">(Document </w:t>
      </w:r>
      <w:hyperlink r:id="rId52" w:history="1">
        <w:r w:rsidR="00567849" w:rsidRPr="0008254F">
          <w:rPr>
            <w:rStyle w:val="Hyperlink"/>
            <w:rFonts w:asciiTheme="minorHAnsi" w:hAnsiTheme="minorHAnsi" w:cstheme="minorHAnsi"/>
            <w:i/>
            <w:iCs/>
            <w:szCs w:val="24"/>
          </w:rPr>
          <w:t>C24/92</w:t>
        </w:r>
      </w:hyperlink>
      <w:r w:rsidR="00567849" w:rsidRPr="0008254F">
        <w:rPr>
          <w:i/>
          <w:iCs/>
        </w:rPr>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6"/>
      </w:tblGrid>
      <w:tr w:rsidR="00567849" w:rsidRPr="0008254F" w14:paraId="38D0C963" w14:textId="77777777" w:rsidTr="0019166E">
        <w:tc>
          <w:tcPr>
            <w:tcW w:w="9016" w:type="dxa"/>
            <w:tcBorders>
              <w:top w:val="single" w:sz="4" w:space="0" w:color="auto"/>
              <w:bottom w:val="single" w:sz="4" w:space="0" w:color="auto"/>
            </w:tcBorders>
          </w:tcPr>
          <w:p w14:paraId="0D8EC2B8" w14:textId="26542F47" w:rsidR="00567849" w:rsidRPr="0008254F" w:rsidRDefault="009764F3" w:rsidP="00920484">
            <w:pPr>
              <w:keepNext/>
              <w:keepLines/>
              <w:spacing w:after="120"/>
              <w:rPr>
                <w:rFonts w:asciiTheme="minorHAnsi" w:eastAsia="Calibri" w:hAnsiTheme="minorHAnsi" w:cstheme="minorHAnsi"/>
                <w:kern w:val="2"/>
                <w:szCs w:val="24"/>
                <w14:ligatures w14:val="standardContextual"/>
              </w:rPr>
            </w:pPr>
            <w:r w:rsidRPr="0008254F">
              <w:rPr>
                <w:rFonts w:eastAsia="SimSun"/>
              </w:rPr>
              <w:t>La commission recommande au Conseil d'inviter le GTC-FHR à tenir des discussions, sur la base des contributions soumises, concernant l'élaboration d'un éventuel mécanisme destiné à faciliter l'évaluation des incidences financières des propositions aux conférences</w:t>
            </w:r>
            <w:r w:rsidR="00567849" w:rsidRPr="0008254F">
              <w:rPr>
                <w:rFonts w:eastAsia="SimSun" w:cs="Calibri"/>
              </w:rPr>
              <w:t>.</w:t>
            </w:r>
          </w:p>
        </w:tc>
      </w:tr>
    </w:tbl>
    <w:p w14:paraId="3CCAABD0" w14:textId="322AEABD" w:rsidR="00567849" w:rsidRPr="0008254F" w:rsidRDefault="00920484" w:rsidP="00920484">
      <w:pPr>
        <w:pStyle w:val="Headingb"/>
        <w:spacing w:after="120"/>
        <w:rPr>
          <w:bCs/>
          <w:i/>
          <w:iCs/>
        </w:rPr>
      </w:pPr>
      <w:bookmarkStart w:id="2" w:name="_Hlk99015874"/>
      <w:r w:rsidRPr="0008254F">
        <w:rPr>
          <w:rFonts w:asciiTheme="minorHAnsi" w:hAnsiTheme="minorHAnsi" w:cstheme="minorHAnsi"/>
          <w:bCs/>
          <w:i/>
          <w:iCs/>
          <w:szCs w:val="24"/>
        </w:rPr>
        <w:t>–</w:t>
      </w:r>
      <w:r w:rsidRPr="0008254F">
        <w:rPr>
          <w:rFonts w:asciiTheme="minorHAnsi" w:hAnsiTheme="minorHAnsi" w:cstheme="minorHAnsi"/>
          <w:bCs/>
          <w:i/>
          <w:iCs/>
          <w:szCs w:val="24"/>
        </w:rPr>
        <w:tab/>
      </w:r>
      <w:r w:rsidR="009764F3" w:rsidRPr="0008254F">
        <w:rPr>
          <w:rFonts w:asciiTheme="minorHAnsi" w:hAnsiTheme="minorHAnsi" w:cstheme="minorHAnsi"/>
          <w:bCs/>
          <w:i/>
          <w:iCs/>
          <w:szCs w:val="24"/>
        </w:rPr>
        <w:t xml:space="preserve">États financiers de l'UIT pour 2022 et 2023 </w:t>
      </w:r>
      <w:r w:rsidR="00567849" w:rsidRPr="0008254F">
        <w:rPr>
          <w:rFonts w:asciiTheme="minorHAnsi" w:hAnsiTheme="minorHAnsi" w:cstheme="minorHAnsi"/>
          <w:bCs/>
          <w:i/>
          <w:iCs/>
          <w:szCs w:val="24"/>
        </w:rPr>
        <w:t xml:space="preserve">(Documents </w:t>
      </w:r>
      <w:hyperlink r:id="rId53" w:history="1">
        <w:r w:rsidR="00567849" w:rsidRPr="0008254F">
          <w:rPr>
            <w:rStyle w:val="Hyperlink"/>
            <w:rFonts w:asciiTheme="minorHAnsi" w:hAnsiTheme="minorHAnsi" w:cstheme="minorHAnsi"/>
            <w:bCs/>
            <w:i/>
            <w:iCs/>
            <w:szCs w:val="24"/>
          </w:rPr>
          <w:t>C24/40</w:t>
        </w:r>
      </w:hyperlink>
      <w:r w:rsidR="00567849" w:rsidRPr="0008254F">
        <w:rPr>
          <w:rFonts w:asciiTheme="minorHAnsi" w:hAnsiTheme="minorHAnsi" w:cstheme="minorHAnsi"/>
          <w:bCs/>
          <w:i/>
          <w:iCs/>
          <w:szCs w:val="24"/>
        </w:rPr>
        <w:t xml:space="preserve">, </w:t>
      </w:r>
      <w:hyperlink r:id="rId54" w:history="1">
        <w:r w:rsidR="00567849" w:rsidRPr="0008254F">
          <w:rPr>
            <w:rStyle w:val="Hyperlink"/>
            <w:rFonts w:asciiTheme="minorHAnsi" w:hAnsiTheme="minorHAnsi" w:cstheme="minorHAnsi"/>
            <w:bCs/>
            <w:i/>
            <w:iCs/>
            <w:szCs w:val="24"/>
          </w:rPr>
          <w:t>C24/41</w:t>
        </w:r>
      </w:hyperlink>
      <w:r w:rsidR="00567849" w:rsidRPr="0008254F">
        <w:rPr>
          <w:rFonts w:asciiTheme="minorHAnsi" w:hAnsiTheme="minorHAnsi" w:cstheme="minorHAnsi"/>
          <w:bCs/>
          <w:i/>
          <w:iCs/>
          <w:szCs w:val="24"/>
        </w:rPr>
        <w:t xml:space="preserve">, </w:t>
      </w:r>
      <w:hyperlink r:id="rId55" w:history="1">
        <w:r w:rsidR="00567849" w:rsidRPr="0008254F">
          <w:rPr>
            <w:rStyle w:val="Hyperlink"/>
            <w:rFonts w:asciiTheme="minorHAnsi" w:hAnsiTheme="minorHAnsi" w:cstheme="minorHAnsi"/>
            <w:bCs/>
            <w:i/>
            <w:iCs/>
            <w:szCs w:val="24"/>
          </w:rPr>
          <w:t>C24/42</w:t>
        </w:r>
      </w:hyperlink>
      <w:r w:rsidR="00567849" w:rsidRPr="0008254F">
        <w:rPr>
          <w:rFonts w:asciiTheme="minorHAnsi" w:hAnsiTheme="minorHAnsi" w:cstheme="minorHAnsi"/>
          <w:bCs/>
          <w:i/>
          <w:iCs/>
          <w:szCs w:val="24"/>
        </w:rPr>
        <w:t xml:space="preserve"> </w:t>
      </w:r>
      <w:r w:rsidR="009764F3" w:rsidRPr="0008254F">
        <w:rPr>
          <w:rFonts w:asciiTheme="minorHAnsi" w:hAnsiTheme="minorHAnsi" w:cstheme="minorHAnsi"/>
          <w:bCs/>
          <w:i/>
          <w:iCs/>
          <w:szCs w:val="24"/>
        </w:rPr>
        <w:t>et</w:t>
      </w:r>
      <w:r w:rsidRPr="0008254F">
        <w:rPr>
          <w:rFonts w:asciiTheme="minorHAnsi" w:hAnsiTheme="minorHAnsi" w:cstheme="minorHAnsi"/>
          <w:bCs/>
          <w:i/>
          <w:iCs/>
          <w:szCs w:val="24"/>
        </w:rPr>
        <w:t> </w:t>
      </w:r>
      <w:hyperlink r:id="rId56" w:history="1">
        <w:r w:rsidR="00567849" w:rsidRPr="0008254F">
          <w:rPr>
            <w:rStyle w:val="Hyperlink"/>
            <w:rFonts w:asciiTheme="minorHAnsi" w:hAnsiTheme="minorHAnsi" w:cstheme="minorHAnsi"/>
            <w:bCs/>
            <w:i/>
            <w:iCs/>
            <w:szCs w:val="24"/>
          </w:rPr>
          <w:t>C24/43</w:t>
        </w:r>
      </w:hyperlink>
      <w:r w:rsidR="00567849" w:rsidRPr="0008254F">
        <w:rPr>
          <w:rFonts w:asciiTheme="minorHAnsi" w:hAnsiTheme="minorHAnsi" w:cstheme="minorHAnsi"/>
          <w:bCs/>
          <w:i/>
          <w:iCs/>
          <w:szCs w:val="24"/>
        </w:rPr>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6"/>
      </w:tblGrid>
      <w:tr w:rsidR="00567849" w:rsidRPr="0008254F" w14:paraId="71A54497" w14:textId="77777777" w:rsidTr="0019166E">
        <w:tc>
          <w:tcPr>
            <w:tcW w:w="9016" w:type="dxa"/>
            <w:tcBorders>
              <w:top w:val="single" w:sz="4" w:space="0" w:color="auto"/>
              <w:bottom w:val="single" w:sz="4" w:space="0" w:color="auto"/>
            </w:tcBorders>
          </w:tcPr>
          <w:p w14:paraId="462E2407" w14:textId="6610FD70" w:rsidR="00567849" w:rsidRPr="0008254F" w:rsidRDefault="00A157C0" w:rsidP="00920484">
            <w:pPr>
              <w:rPr>
                <w:rFonts w:eastAsia="SimSun"/>
              </w:rPr>
            </w:pPr>
            <w:r w:rsidRPr="0008254F">
              <w:rPr>
                <w:rFonts w:eastAsia="SimSun"/>
              </w:rPr>
              <w:t>La commission recommande au Conseil</w:t>
            </w:r>
            <w:r w:rsidR="00567849" w:rsidRPr="0008254F">
              <w:rPr>
                <w:rFonts w:eastAsia="SimSun"/>
              </w:rPr>
              <w:t>:</w:t>
            </w:r>
          </w:p>
          <w:p w14:paraId="7328F5BC" w14:textId="4AB0A1DC" w:rsidR="00567849" w:rsidRPr="0008254F" w:rsidRDefault="00920484" w:rsidP="00920484">
            <w:pPr>
              <w:pStyle w:val="enumlev1"/>
              <w:rPr>
                <w:rFonts w:eastAsia="Calibri"/>
              </w:rPr>
            </w:pPr>
            <w:r w:rsidRPr="0008254F">
              <w:t>•</w:t>
            </w:r>
            <w:r w:rsidRPr="0008254F">
              <w:rPr>
                <w:rFonts w:asciiTheme="minorHAnsi" w:hAnsiTheme="minorHAnsi" w:cstheme="minorHAnsi"/>
                <w:i/>
                <w:iCs/>
                <w:szCs w:val="24"/>
              </w:rPr>
              <w:tab/>
            </w:r>
            <w:r w:rsidR="00A157C0" w:rsidRPr="0008254F">
              <w:rPr>
                <w:rFonts w:eastAsia="Calibri"/>
              </w:rPr>
              <w:t>de prendre note du rapport du Vérificateur extérieur des comptes sur les états financiers de l'UIT pour 2022, tel qu'il figure dans le Document C24/41</w:t>
            </w:r>
            <w:r w:rsidR="00567849" w:rsidRPr="0008254F">
              <w:rPr>
                <w:rFonts w:eastAsia="Calibri"/>
              </w:rPr>
              <w:t>;</w:t>
            </w:r>
          </w:p>
          <w:p w14:paraId="05681B4C" w14:textId="753E47A4" w:rsidR="00567849" w:rsidRPr="0008254F" w:rsidRDefault="00920484" w:rsidP="00920484">
            <w:pPr>
              <w:pStyle w:val="enumlev1"/>
              <w:rPr>
                <w:rFonts w:eastAsia="Calibri"/>
              </w:rPr>
            </w:pPr>
            <w:r w:rsidRPr="0008254F">
              <w:t>•</w:t>
            </w:r>
            <w:r w:rsidRPr="0008254F">
              <w:rPr>
                <w:rFonts w:asciiTheme="minorHAnsi" w:hAnsiTheme="minorHAnsi" w:cstheme="minorHAnsi"/>
                <w:i/>
                <w:iCs/>
                <w:szCs w:val="24"/>
              </w:rPr>
              <w:tab/>
            </w:r>
            <w:r w:rsidR="00A157C0" w:rsidRPr="0008254F">
              <w:rPr>
                <w:rFonts w:eastAsia="Calibri"/>
              </w:rPr>
              <w:t xml:space="preserve">d'approuver les états financiers de l'UIT pour 2022, tels qu'ils figurent dans le Document C24/40, et d'adopter la Résolution reproduite dans l'Annexe J du </w:t>
            </w:r>
            <w:r w:rsidR="00567849" w:rsidRPr="0008254F">
              <w:rPr>
                <w:rFonts w:eastAsia="SimSun" w:cs="Calibri"/>
              </w:rPr>
              <w:t>Document C24/109</w:t>
            </w:r>
            <w:r w:rsidR="00567849" w:rsidRPr="0008254F">
              <w:rPr>
                <w:rFonts w:eastAsia="Calibri"/>
              </w:rPr>
              <w:t>;</w:t>
            </w:r>
          </w:p>
          <w:p w14:paraId="05EBD89A" w14:textId="714F4CCC" w:rsidR="00567849" w:rsidRPr="0008254F" w:rsidRDefault="00920484" w:rsidP="00920484">
            <w:pPr>
              <w:pStyle w:val="enumlev1"/>
              <w:rPr>
                <w:rFonts w:eastAsia="Calibri"/>
              </w:rPr>
            </w:pPr>
            <w:r w:rsidRPr="0008254F">
              <w:t>•</w:t>
            </w:r>
            <w:r w:rsidRPr="0008254F">
              <w:rPr>
                <w:rFonts w:asciiTheme="minorHAnsi" w:hAnsiTheme="minorHAnsi" w:cstheme="minorHAnsi"/>
                <w:i/>
                <w:iCs/>
                <w:szCs w:val="24"/>
              </w:rPr>
              <w:tab/>
            </w:r>
            <w:r w:rsidR="00A157C0" w:rsidRPr="0008254F">
              <w:rPr>
                <w:rFonts w:eastAsia="Calibri"/>
              </w:rPr>
              <w:t>de prendre note des états financiers non vérifiés de l'UIT pour 2023</w:t>
            </w:r>
            <w:r w:rsidR="00567849" w:rsidRPr="0008254F">
              <w:rPr>
                <w:rFonts w:eastAsia="Calibri"/>
              </w:rPr>
              <w:t>;</w:t>
            </w:r>
          </w:p>
          <w:p w14:paraId="43E142F1" w14:textId="4310BEFC" w:rsidR="00567849" w:rsidRPr="0008254F" w:rsidRDefault="00920484" w:rsidP="00920484">
            <w:pPr>
              <w:pStyle w:val="enumlev1"/>
              <w:rPr>
                <w:rFonts w:eastAsia="Calibri"/>
              </w:rPr>
            </w:pPr>
            <w:r w:rsidRPr="0008254F">
              <w:t>•</w:t>
            </w:r>
            <w:r w:rsidRPr="0008254F">
              <w:rPr>
                <w:rFonts w:asciiTheme="minorHAnsi" w:hAnsiTheme="minorHAnsi" w:cstheme="minorHAnsi"/>
                <w:i/>
                <w:iCs/>
                <w:szCs w:val="24"/>
              </w:rPr>
              <w:tab/>
            </w:r>
            <w:r w:rsidR="00A157C0" w:rsidRPr="0008254F">
              <w:rPr>
                <w:rFonts w:eastAsia="Calibri"/>
              </w:rPr>
              <w:t>sous réserve de la réception de l'opinion du Vérificateur extérieur des comptes à l'automne 2024, d'approuver par correspondance les états financiers pour 2023, ainsi qu'il ressort du Document C24/43</w:t>
            </w:r>
            <w:r w:rsidR="00567849" w:rsidRPr="0008254F">
              <w:rPr>
                <w:rFonts w:eastAsia="Calibri"/>
              </w:rPr>
              <w:t>;</w:t>
            </w:r>
          </w:p>
          <w:p w14:paraId="33D1FDD4" w14:textId="747B9166" w:rsidR="00567849" w:rsidRPr="0008254F" w:rsidRDefault="00920484" w:rsidP="00920484">
            <w:pPr>
              <w:pStyle w:val="enumlev1"/>
              <w:rPr>
                <w:rFonts w:eastAsia="Calibri"/>
              </w:rPr>
            </w:pPr>
            <w:r w:rsidRPr="0008254F">
              <w:t>•</w:t>
            </w:r>
            <w:r w:rsidRPr="0008254F">
              <w:rPr>
                <w:rFonts w:asciiTheme="minorHAnsi" w:hAnsiTheme="minorHAnsi" w:cstheme="minorHAnsi"/>
                <w:i/>
                <w:iCs/>
                <w:szCs w:val="24"/>
              </w:rPr>
              <w:tab/>
            </w:r>
            <w:r w:rsidR="00A157C0" w:rsidRPr="0008254F">
              <w:rPr>
                <w:rFonts w:eastAsia="Calibri"/>
              </w:rPr>
              <w:t>de prendre note du rapport du Vérificateur extérieur des comptes sur les états financiers non vérifiés pour 2023, tel qu'il figure dans le Document C24/42</w:t>
            </w:r>
            <w:r w:rsidR="00567849" w:rsidRPr="0008254F">
              <w:rPr>
                <w:rFonts w:eastAsia="Calibri"/>
              </w:rPr>
              <w:t>;</w:t>
            </w:r>
          </w:p>
          <w:p w14:paraId="1A038589" w14:textId="645C6E9A" w:rsidR="00567849" w:rsidRPr="0008254F" w:rsidRDefault="00920484" w:rsidP="00920484">
            <w:pPr>
              <w:pStyle w:val="enumlev1"/>
              <w:rPr>
                <w:rFonts w:eastAsia="Calibri"/>
              </w:rPr>
            </w:pPr>
            <w:r w:rsidRPr="0008254F">
              <w:t>•</w:t>
            </w:r>
            <w:r w:rsidRPr="0008254F">
              <w:rPr>
                <w:rFonts w:asciiTheme="minorHAnsi" w:hAnsiTheme="minorHAnsi" w:cstheme="minorHAnsi"/>
                <w:i/>
                <w:iCs/>
                <w:szCs w:val="24"/>
              </w:rPr>
              <w:tab/>
            </w:r>
            <w:r w:rsidR="00A157C0" w:rsidRPr="0008254F">
              <w:rPr>
                <w:rFonts w:eastAsia="Calibri"/>
              </w:rPr>
              <w:t>d'inviter le Vérificateur extérieur des comptes et la Secrétaire générale à reprendre le cycle régulier de présentation des états financiers pour 2024 à la session de 2025 du Conseil</w:t>
            </w:r>
            <w:r w:rsidR="00567849" w:rsidRPr="0008254F">
              <w:rPr>
                <w:rFonts w:eastAsia="Calibri"/>
              </w:rPr>
              <w:t>;</w:t>
            </w:r>
          </w:p>
          <w:p w14:paraId="1426923E" w14:textId="490BF983" w:rsidR="00567849" w:rsidRPr="0008254F" w:rsidRDefault="00920484" w:rsidP="00920484">
            <w:pPr>
              <w:pStyle w:val="enumlev1"/>
              <w:rPr>
                <w:rFonts w:eastAsia="Calibri"/>
              </w:rPr>
            </w:pPr>
            <w:r w:rsidRPr="0008254F">
              <w:t>•</w:t>
            </w:r>
            <w:r w:rsidRPr="0008254F">
              <w:rPr>
                <w:rFonts w:asciiTheme="minorHAnsi" w:hAnsiTheme="minorHAnsi" w:cstheme="minorHAnsi"/>
                <w:i/>
                <w:iCs/>
                <w:szCs w:val="24"/>
              </w:rPr>
              <w:tab/>
            </w:r>
            <w:r w:rsidR="00A157C0" w:rsidRPr="0008254F">
              <w:rPr>
                <w:rFonts w:eastAsia="Calibri"/>
              </w:rPr>
              <w:t>de charger la Secrétaire générale de continuer à mettre à jour, avec des informations de nature quantitative et qualitative, le tableau de bord de la conformité en ce qui concerne les recommandations des organes de contrôle; et</w:t>
            </w:r>
          </w:p>
          <w:p w14:paraId="26C51437" w14:textId="6B70022F" w:rsidR="00567849" w:rsidRPr="0008254F" w:rsidRDefault="00920484" w:rsidP="00920484">
            <w:pPr>
              <w:pStyle w:val="enumlev1"/>
              <w:spacing w:after="120"/>
              <w:rPr>
                <w:rFonts w:asciiTheme="minorHAnsi" w:eastAsia="Calibri" w:hAnsiTheme="minorHAnsi" w:cstheme="minorHAnsi"/>
                <w:sz w:val="22"/>
              </w:rPr>
            </w:pPr>
            <w:r w:rsidRPr="0008254F">
              <w:t>•</w:t>
            </w:r>
            <w:r w:rsidRPr="0008254F">
              <w:rPr>
                <w:rFonts w:asciiTheme="minorHAnsi" w:hAnsiTheme="minorHAnsi" w:cstheme="minorHAnsi"/>
                <w:i/>
                <w:iCs/>
                <w:szCs w:val="24"/>
              </w:rPr>
              <w:tab/>
            </w:r>
            <w:r w:rsidR="00A157C0" w:rsidRPr="0008254F">
              <w:rPr>
                <w:rFonts w:eastAsia="Calibri"/>
              </w:rPr>
              <w:t>d'inviter la Secrétaire générale à étudier s'il est possible de mettre en place un accès en ligne au tableau de bord susmentionné ouvert aux États Membres</w:t>
            </w:r>
            <w:r w:rsidR="00567849" w:rsidRPr="0008254F">
              <w:rPr>
                <w:rFonts w:eastAsia="Calibri"/>
              </w:rPr>
              <w:t>.</w:t>
            </w:r>
          </w:p>
        </w:tc>
      </w:tr>
    </w:tbl>
    <w:bookmarkEnd w:id="2"/>
    <w:p w14:paraId="6C45410D" w14:textId="0661A700" w:rsidR="00567849" w:rsidRPr="0008254F" w:rsidRDefault="00920484" w:rsidP="00920484">
      <w:pPr>
        <w:pStyle w:val="Headingb"/>
        <w:spacing w:after="120"/>
        <w:rPr>
          <w:i/>
          <w:iCs/>
        </w:rPr>
      </w:pPr>
      <w:r w:rsidRPr="0008254F">
        <w:rPr>
          <w:i/>
          <w:iCs/>
        </w:rPr>
        <w:t>–</w:t>
      </w:r>
      <w:r w:rsidRPr="0008254F">
        <w:rPr>
          <w:i/>
          <w:iCs/>
        </w:rPr>
        <w:tab/>
      </w:r>
      <w:r w:rsidR="00A157C0" w:rsidRPr="0008254F">
        <w:rPr>
          <w:i/>
          <w:iCs/>
        </w:rPr>
        <w:t xml:space="preserve">Treizième rapport du Comité consultatif indépendant pour les questions de gestion </w:t>
      </w:r>
      <w:r w:rsidR="00567849" w:rsidRPr="0008254F">
        <w:rPr>
          <w:i/>
          <w:iCs/>
        </w:rPr>
        <w:t xml:space="preserve">(Document </w:t>
      </w:r>
      <w:hyperlink r:id="rId57" w:history="1">
        <w:r w:rsidR="00567849" w:rsidRPr="0008254F">
          <w:rPr>
            <w:rStyle w:val="Hyperlink"/>
            <w:rFonts w:asciiTheme="minorHAnsi" w:hAnsiTheme="minorHAnsi" w:cstheme="minorHAnsi"/>
            <w:bCs/>
            <w:i/>
            <w:iCs/>
            <w:szCs w:val="24"/>
          </w:rPr>
          <w:t>C24/22</w:t>
        </w:r>
      </w:hyperlink>
      <w:r w:rsidR="00567849" w:rsidRPr="0008254F">
        <w:rPr>
          <w:i/>
          <w:iCs/>
        </w:rPr>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6"/>
      </w:tblGrid>
      <w:tr w:rsidR="00567849" w:rsidRPr="0008254F" w14:paraId="607ED4B6" w14:textId="77777777" w:rsidTr="0019166E">
        <w:tc>
          <w:tcPr>
            <w:tcW w:w="9016" w:type="dxa"/>
            <w:tcBorders>
              <w:top w:val="single" w:sz="4" w:space="0" w:color="auto"/>
              <w:bottom w:val="single" w:sz="4" w:space="0" w:color="auto"/>
            </w:tcBorders>
          </w:tcPr>
          <w:p w14:paraId="37DD74A7" w14:textId="0F34D7C5" w:rsidR="00567849" w:rsidRPr="0008254F" w:rsidRDefault="00A157C0" w:rsidP="00920484">
            <w:r w:rsidRPr="0008254F">
              <w:t>La Commission recommande au Conseil</w:t>
            </w:r>
            <w:r w:rsidR="00567849" w:rsidRPr="0008254F">
              <w:t>:</w:t>
            </w:r>
          </w:p>
          <w:p w14:paraId="45D0F7EB" w14:textId="56D2D297" w:rsidR="00567849" w:rsidRPr="0008254F" w:rsidRDefault="00920484" w:rsidP="00920484">
            <w:pPr>
              <w:pStyle w:val="enumlev1"/>
              <w:rPr>
                <w:rFonts w:cs="Calibri"/>
                <w:szCs w:val="24"/>
              </w:rPr>
            </w:pPr>
            <w:r w:rsidRPr="0008254F">
              <w:t>•</w:t>
            </w:r>
            <w:r w:rsidRPr="0008254F">
              <w:rPr>
                <w:rFonts w:asciiTheme="minorHAnsi" w:hAnsiTheme="minorHAnsi" w:cstheme="minorHAnsi"/>
                <w:i/>
                <w:iCs/>
                <w:szCs w:val="24"/>
              </w:rPr>
              <w:tab/>
            </w:r>
            <w:r w:rsidR="00A157C0" w:rsidRPr="0008254F">
              <w:t>de prendre note du rapport figurant dans le Document C24/22;</w:t>
            </w:r>
          </w:p>
          <w:p w14:paraId="7CC3D69F" w14:textId="70E5D673" w:rsidR="00567849" w:rsidRPr="0008254F" w:rsidRDefault="00920484" w:rsidP="00920484">
            <w:pPr>
              <w:pStyle w:val="enumlev1"/>
              <w:rPr>
                <w:rFonts w:cs="Calibri"/>
                <w:szCs w:val="24"/>
              </w:rPr>
            </w:pPr>
            <w:r w:rsidRPr="0008254F">
              <w:t>•</w:t>
            </w:r>
            <w:r w:rsidRPr="0008254F">
              <w:rPr>
                <w:rFonts w:asciiTheme="minorHAnsi" w:hAnsiTheme="minorHAnsi" w:cstheme="minorHAnsi"/>
                <w:i/>
                <w:iCs/>
                <w:szCs w:val="24"/>
              </w:rPr>
              <w:tab/>
            </w:r>
            <w:r w:rsidR="00A157C0" w:rsidRPr="0008254F">
              <w:rPr>
                <w:rFonts w:cs="Calibri"/>
                <w:szCs w:val="24"/>
              </w:rPr>
              <w:t>d'accepter les recommandations du CCIG</w:t>
            </w:r>
            <w:r w:rsidR="00567849" w:rsidRPr="0008254F">
              <w:rPr>
                <w:rFonts w:cs="Calibri"/>
                <w:szCs w:val="24"/>
              </w:rPr>
              <w:t>;</w:t>
            </w:r>
          </w:p>
          <w:p w14:paraId="000D9351" w14:textId="3C60F3B0" w:rsidR="00567849" w:rsidRPr="0008254F" w:rsidRDefault="00920484" w:rsidP="00920484">
            <w:pPr>
              <w:pStyle w:val="enumlev1"/>
              <w:rPr>
                <w:rFonts w:asciiTheme="minorHAnsi" w:eastAsia="Calibri" w:hAnsiTheme="minorHAnsi" w:cstheme="minorHAnsi"/>
                <w:kern w:val="2"/>
                <w:szCs w:val="24"/>
                <w14:ligatures w14:val="standardContextual"/>
              </w:rPr>
            </w:pPr>
            <w:r w:rsidRPr="0008254F">
              <w:t>•</w:t>
            </w:r>
            <w:r w:rsidRPr="0008254F">
              <w:rPr>
                <w:rFonts w:asciiTheme="minorHAnsi" w:hAnsiTheme="minorHAnsi" w:cstheme="minorHAnsi"/>
                <w:i/>
                <w:iCs/>
                <w:szCs w:val="24"/>
              </w:rPr>
              <w:tab/>
            </w:r>
            <w:r w:rsidR="00A157C0" w:rsidRPr="0008254F">
              <w:rPr>
                <w:rFonts w:cs="Calibri"/>
                <w:szCs w:val="24"/>
              </w:rPr>
              <w:t>de charger la Secrétaire générale de mettre en œuvre toutes les recommandations des années précédentes qui sont restées en suspens</w:t>
            </w:r>
            <w:r w:rsidR="00567849" w:rsidRPr="0008254F">
              <w:rPr>
                <w:rFonts w:cs="Calibri"/>
                <w:szCs w:val="24"/>
              </w:rPr>
              <w:t xml:space="preserve">; </w:t>
            </w:r>
            <w:r w:rsidR="00A157C0" w:rsidRPr="0008254F">
              <w:rPr>
                <w:rFonts w:cs="Calibri"/>
                <w:szCs w:val="24"/>
              </w:rPr>
              <w:t>et</w:t>
            </w:r>
          </w:p>
          <w:p w14:paraId="23D94027" w14:textId="6E716ECB" w:rsidR="00567849" w:rsidRPr="0008254F" w:rsidRDefault="00920484" w:rsidP="00920484">
            <w:pPr>
              <w:pStyle w:val="enumlev1"/>
              <w:spacing w:after="120"/>
              <w:rPr>
                <w:rFonts w:asciiTheme="minorHAnsi" w:eastAsia="Calibri" w:hAnsiTheme="minorHAnsi" w:cstheme="minorHAnsi"/>
                <w:kern w:val="2"/>
                <w:szCs w:val="24"/>
                <w14:ligatures w14:val="standardContextual"/>
              </w:rPr>
            </w:pPr>
            <w:r w:rsidRPr="0008254F">
              <w:t>•</w:t>
            </w:r>
            <w:r w:rsidRPr="0008254F">
              <w:rPr>
                <w:rFonts w:asciiTheme="minorHAnsi" w:hAnsiTheme="minorHAnsi" w:cstheme="minorHAnsi"/>
                <w:i/>
                <w:iCs/>
                <w:szCs w:val="24"/>
              </w:rPr>
              <w:tab/>
            </w:r>
            <w:r w:rsidR="00A157C0" w:rsidRPr="0008254F">
              <w:rPr>
                <w:rFonts w:cs="Calibri"/>
                <w:szCs w:val="24"/>
              </w:rPr>
              <w:t>d'inviter le CCIG à faire en sorte que son quatorzième rapport soit soumis en temps voulu au Conseil à sa session de 2025</w:t>
            </w:r>
            <w:r w:rsidR="00567849" w:rsidRPr="0008254F">
              <w:rPr>
                <w:rFonts w:cs="Calibri"/>
                <w:szCs w:val="24"/>
              </w:rPr>
              <w:t>.</w:t>
            </w:r>
          </w:p>
        </w:tc>
      </w:tr>
    </w:tbl>
    <w:p w14:paraId="7CB32899" w14:textId="75A98B7A" w:rsidR="00567849" w:rsidRPr="0008254F" w:rsidRDefault="00920484" w:rsidP="00920484">
      <w:pPr>
        <w:pStyle w:val="Headingb"/>
        <w:spacing w:after="120"/>
        <w:rPr>
          <w:i/>
          <w:iCs/>
        </w:rPr>
      </w:pPr>
      <w:r w:rsidRPr="0008254F">
        <w:rPr>
          <w:i/>
          <w:iCs/>
        </w:rPr>
        <w:lastRenderedPageBreak/>
        <w:t>–</w:t>
      </w:r>
      <w:r w:rsidRPr="0008254F">
        <w:rPr>
          <w:i/>
          <w:iCs/>
        </w:rPr>
        <w:tab/>
      </w:r>
      <w:r w:rsidR="00A157C0" w:rsidRPr="0008254F">
        <w:rPr>
          <w:i/>
          <w:iCs/>
        </w:rPr>
        <w:t xml:space="preserve">Rapport de l'Unité du contrôle interne sur les activités d'audit interne </w:t>
      </w:r>
      <w:r w:rsidR="00567849" w:rsidRPr="0008254F">
        <w:rPr>
          <w:i/>
          <w:iCs/>
        </w:rPr>
        <w:t>(Document</w:t>
      </w:r>
      <w:r w:rsidRPr="0008254F">
        <w:rPr>
          <w:i/>
          <w:iCs/>
        </w:rPr>
        <w:t> </w:t>
      </w:r>
      <w:hyperlink r:id="rId58" w:history="1">
        <w:r w:rsidR="00567849" w:rsidRPr="0008254F">
          <w:rPr>
            <w:rStyle w:val="Hyperlink"/>
            <w:rFonts w:asciiTheme="minorHAnsi" w:hAnsiTheme="minorHAnsi" w:cstheme="minorHAnsi"/>
            <w:bCs/>
            <w:i/>
            <w:iCs/>
            <w:szCs w:val="24"/>
          </w:rPr>
          <w:t>C24/44</w:t>
        </w:r>
      </w:hyperlink>
      <w:r w:rsidR="00567849" w:rsidRPr="0008254F">
        <w:rPr>
          <w:i/>
          <w:iCs/>
        </w:rPr>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6"/>
      </w:tblGrid>
      <w:tr w:rsidR="00567849" w:rsidRPr="0008254F" w14:paraId="51E04E75" w14:textId="77777777" w:rsidTr="0019166E">
        <w:tc>
          <w:tcPr>
            <w:tcW w:w="9016" w:type="dxa"/>
            <w:tcBorders>
              <w:top w:val="single" w:sz="4" w:space="0" w:color="auto"/>
              <w:bottom w:val="single" w:sz="4" w:space="0" w:color="auto"/>
            </w:tcBorders>
          </w:tcPr>
          <w:p w14:paraId="002977A9" w14:textId="5E5D3EEC" w:rsidR="00567849" w:rsidRPr="0008254F" w:rsidRDefault="005049A1" w:rsidP="0019166E">
            <w:pPr>
              <w:spacing w:after="120"/>
              <w:rPr>
                <w:rFonts w:asciiTheme="minorHAnsi" w:eastAsia="Calibri" w:hAnsiTheme="minorHAnsi" w:cstheme="minorHAnsi"/>
                <w:kern w:val="2"/>
                <w:szCs w:val="24"/>
                <w14:ligatures w14:val="standardContextual"/>
              </w:rPr>
            </w:pPr>
            <w:r w:rsidRPr="0008254F">
              <w:rPr>
                <w:rFonts w:eastAsia="SimSun"/>
              </w:rPr>
              <w:t>La commission recommande au Conseil de prendre note du rapport figurant dans le Document C24/44</w:t>
            </w:r>
            <w:r w:rsidR="00567849" w:rsidRPr="0008254F">
              <w:rPr>
                <w:rFonts w:eastAsia="SimSun"/>
              </w:rPr>
              <w:t>.</w:t>
            </w:r>
          </w:p>
        </w:tc>
      </w:tr>
    </w:tbl>
    <w:p w14:paraId="252EC3F6" w14:textId="2C03F7D6" w:rsidR="00567849" w:rsidRPr="0008254F" w:rsidRDefault="00920484" w:rsidP="00920484">
      <w:pPr>
        <w:pStyle w:val="Headingb"/>
        <w:spacing w:after="120"/>
        <w:rPr>
          <w:i/>
          <w:iCs/>
        </w:rPr>
      </w:pPr>
      <w:r w:rsidRPr="0008254F">
        <w:rPr>
          <w:i/>
          <w:iCs/>
        </w:rPr>
        <w:t>–</w:t>
      </w:r>
      <w:r w:rsidRPr="0008254F">
        <w:rPr>
          <w:i/>
          <w:iCs/>
        </w:rPr>
        <w:tab/>
      </w:r>
      <w:r w:rsidR="005049A1" w:rsidRPr="0008254F">
        <w:rPr>
          <w:i/>
          <w:iCs/>
        </w:rPr>
        <w:t xml:space="preserve">Rapport de l'Unité du contrôle interne sur les activités d'enquête </w:t>
      </w:r>
      <w:r w:rsidR="00567849" w:rsidRPr="0008254F">
        <w:rPr>
          <w:i/>
          <w:iCs/>
        </w:rPr>
        <w:t xml:space="preserve">(Document </w:t>
      </w:r>
      <w:hyperlink r:id="rId59" w:history="1">
        <w:r w:rsidR="00567849" w:rsidRPr="0008254F">
          <w:rPr>
            <w:rStyle w:val="Hyperlink"/>
            <w:rFonts w:asciiTheme="minorHAnsi" w:hAnsiTheme="minorHAnsi" w:cstheme="minorHAnsi"/>
            <w:bCs/>
            <w:i/>
            <w:iCs/>
            <w:szCs w:val="24"/>
          </w:rPr>
          <w:t>C24/47</w:t>
        </w:r>
      </w:hyperlink>
      <w:r w:rsidR="00567849" w:rsidRPr="0008254F">
        <w:rPr>
          <w:i/>
          <w:iCs/>
        </w:rPr>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6"/>
      </w:tblGrid>
      <w:tr w:rsidR="00567849" w:rsidRPr="0008254F" w14:paraId="0E0E4631" w14:textId="77777777" w:rsidTr="0019166E">
        <w:tc>
          <w:tcPr>
            <w:tcW w:w="9016" w:type="dxa"/>
            <w:tcBorders>
              <w:top w:val="single" w:sz="4" w:space="0" w:color="auto"/>
              <w:bottom w:val="single" w:sz="4" w:space="0" w:color="auto"/>
            </w:tcBorders>
          </w:tcPr>
          <w:p w14:paraId="0E2073FC" w14:textId="7D5FB71C" w:rsidR="00567849" w:rsidRPr="0008254F" w:rsidRDefault="005049A1" w:rsidP="00920484">
            <w:pPr>
              <w:spacing w:after="120"/>
              <w:rPr>
                <w:rFonts w:asciiTheme="minorHAnsi" w:eastAsia="Calibri" w:hAnsiTheme="minorHAnsi" w:cstheme="minorHAnsi"/>
                <w:bCs/>
                <w:kern w:val="2"/>
                <w:szCs w:val="24"/>
                <w14:ligatures w14:val="standardContextual"/>
              </w:rPr>
            </w:pPr>
            <w:r w:rsidRPr="0008254F">
              <w:rPr>
                <w:rFonts w:eastAsia="SimSun"/>
              </w:rPr>
              <w:t>La commission recommande au Conseil de prendre note du rapport figurant dans le Document C24/47</w:t>
            </w:r>
            <w:r w:rsidR="00567849" w:rsidRPr="0008254F">
              <w:rPr>
                <w:rFonts w:eastAsia="SimSun"/>
              </w:rPr>
              <w:t>.</w:t>
            </w:r>
          </w:p>
        </w:tc>
      </w:tr>
    </w:tbl>
    <w:p w14:paraId="54A78FC1" w14:textId="2F47A921" w:rsidR="00567849" w:rsidRPr="0008254F" w:rsidRDefault="00920484" w:rsidP="00920484">
      <w:pPr>
        <w:pStyle w:val="Headingb"/>
        <w:spacing w:after="120"/>
        <w:rPr>
          <w:rFonts w:asciiTheme="minorHAnsi" w:eastAsia="Calibri" w:hAnsiTheme="minorHAnsi" w:cstheme="minorHAnsi"/>
          <w:i/>
          <w:iCs/>
          <w:kern w:val="2"/>
          <w:szCs w:val="24"/>
          <w14:ligatures w14:val="standardContextual"/>
        </w:rPr>
      </w:pPr>
      <w:r w:rsidRPr="0008254F">
        <w:rPr>
          <w:rFonts w:asciiTheme="minorHAnsi" w:hAnsiTheme="minorHAnsi" w:cstheme="minorHAnsi"/>
          <w:bCs/>
          <w:i/>
          <w:iCs/>
          <w:szCs w:val="24"/>
        </w:rPr>
        <w:t>–</w:t>
      </w:r>
      <w:r w:rsidRPr="0008254F">
        <w:rPr>
          <w:rFonts w:asciiTheme="minorHAnsi" w:hAnsiTheme="minorHAnsi" w:cstheme="minorHAnsi"/>
          <w:bCs/>
          <w:i/>
          <w:iCs/>
          <w:szCs w:val="24"/>
        </w:rPr>
        <w:tab/>
      </w:r>
      <w:r w:rsidR="005049A1" w:rsidRPr="0008254F">
        <w:rPr>
          <w:rFonts w:asciiTheme="minorHAnsi" w:hAnsiTheme="minorHAnsi" w:cstheme="minorHAnsi"/>
          <w:bCs/>
          <w:i/>
          <w:iCs/>
          <w:szCs w:val="24"/>
        </w:rPr>
        <w:t xml:space="preserve">Rapport du Bureau de l'éthique </w:t>
      </w:r>
      <w:r w:rsidR="00567849" w:rsidRPr="0008254F">
        <w:rPr>
          <w:rFonts w:asciiTheme="minorHAnsi" w:hAnsiTheme="minorHAnsi" w:cstheme="minorHAnsi"/>
          <w:bCs/>
          <w:i/>
          <w:iCs/>
          <w:szCs w:val="24"/>
        </w:rPr>
        <w:t xml:space="preserve">(Document </w:t>
      </w:r>
      <w:hyperlink r:id="rId60" w:history="1">
        <w:r w:rsidR="00567849" w:rsidRPr="0008254F">
          <w:rPr>
            <w:rStyle w:val="Hyperlink"/>
            <w:rFonts w:asciiTheme="minorHAnsi" w:hAnsiTheme="minorHAnsi" w:cstheme="minorHAnsi"/>
            <w:bCs/>
            <w:i/>
            <w:iCs/>
            <w:szCs w:val="24"/>
          </w:rPr>
          <w:t>C24/14</w:t>
        </w:r>
      </w:hyperlink>
      <w:r w:rsidR="00567849" w:rsidRPr="0008254F">
        <w:rPr>
          <w:rFonts w:asciiTheme="minorHAnsi" w:hAnsiTheme="minorHAnsi" w:cstheme="minorHAnsi"/>
          <w:bCs/>
          <w:i/>
          <w:iCs/>
          <w:szCs w:val="24"/>
        </w:rPr>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6"/>
      </w:tblGrid>
      <w:tr w:rsidR="00567849" w:rsidRPr="0008254F" w14:paraId="0B5947D3" w14:textId="77777777" w:rsidTr="0019166E">
        <w:tc>
          <w:tcPr>
            <w:tcW w:w="9016" w:type="dxa"/>
            <w:tcBorders>
              <w:top w:val="single" w:sz="4" w:space="0" w:color="auto"/>
              <w:bottom w:val="single" w:sz="4" w:space="0" w:color="auto"/>
            </w:tcBorders>
          </w:tcPr>
          <w:p w14:paraId="3B42C3AB" w14:textId="2CE3DFBA" w:rsidR="00567849" w:rsidRPr="0008254F" w:rsidRDefault="001D0C98" w:rsidP="00920484">
            <w:pPr>
              <w:spacing w:after="120"/>
              <w:rPr>
                <w:rFonts w:asciiTheme="minorHAnsi" w:eastAsia="Calibri" w:hAnsiTheme="minorHAnsi" w:cstheme="minorHAnsi"/>
                <w:bCs/>
                <w:kern w:val="2"/>
                <w:szCs w:val="24"/>
                <w14:ligatures w14:val="standardContextual"/>
              </w:rPr>
            </w:pPr>
            <w:r w:rsidRPr="0008254F">
              <w:rPr>
                <w:rFonts w:eastAsia="SimSun"/>
              </w:rPr>
              <w:t>La Commission recommande au Conseil de prendre note du rapport du Bureau de l'éthique (Document C24/14)</w:t>
            </w:r>
            <w:r w:rsidR="00567849" w:rsidRPr="0008254F">
              <w:rPr>
                <w:rFonts w:eastAsia="SimSun" w:cs="Calibri"/>
                <w:szCs w:val="24"/>
              </w:rPr>
              <w:t>.</w:t>
            </w:r>
          </w:p>
        </w:tc>
      </w:tr>
    </w:tbl>
    <w:p w14:paraId="7B250ED0" w14:textId="6B302F67" w:rsidR="00567849" w:rsidRPr="0008254F" w:rsidRDefault="00920484" w:rsidP="00920484">
      <w:pPr>
        <w:pStyle w:val="Headingb"/>
        <w:spacing w:after="120"/>
        <w:rPr>
          <w:i/>
          <w:iCs/>
        </w:rPr>
      </w:pPr>
      <w:r w:rsidRPr="0008254F">
        <w:rPr>
          <w:i/>
          <w:iCs/>
        </w:rPr>
        <w:t>–</w:t>
      </w:r>
      <w:r w:rsidRPr="0008254F">
        <w:rPr>
          <w:i/>
          <w:iCs/>
        </w:rPr>
        <w:tab/>
      </w:r>
      <w:r w:rsidR="001D0C98" w:rsidRPr="0008254F">
        <w:rPr>
          <w:i/>
          <w:iCs/>
        </w:rPr>
        <w:t xml:space="preserve">Proposition de code de conduite pour les manifestations de l'UIT </w:t>
      </w:r>
      <w:r w:rsidR="00567849" w:rsidRPr="0008254F">
        <w:rPr>
          <w:i/>
          <w:iCs/>
        </w:rPr>
        <w:t xml:space="preserve">(Document </w:t>
      </w:r>
      <w:hyperlink r:id="rId61" w:history="1">
        <w:r w:rsidR="00567849" w:rsidRPr="0008254F">
          <w:rPr>
            <w:rStyle w:val="Hyperlink"/>
            <w:rFonts w:asciiTheme="minorHAnsi" w:hAnsiTheme="minorHAnsi" w:cstheme="minorHAnsi"/>
            <w:bCs/>
            <w:i/>
            <w:iCs/>
            <w:szCs w:val="24"/>
          </w:rPr>
          <w:t>C24/78</w:t>
        </w:r>
      </w:hyperlink>
      <w:r w:rsidR="00567849" w:rsidRPr="0008254F">
        <w:rPr>
          <w:i/>
          <w:iCs/>
        </w:rPr>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6"/>
      </w:tblGrid>
      <w:tr w:rsidR="00567849" w:rsidRPr="0008254F" w14:paraId="4C8A8DA1" w14:textId="77777777" w:rsidTr="0019166E">
        <w:tc>
          <w:tcPr>
            <w:tcW w:w="9016" w:type="dxa"/>
            <w:tcBorders>
              <w:top w:val="single" w:sz="4" w:space="0" w:color="auto"/>
              <w:bottom w:val="single" w:sz="4" w:space="0" w:color="auto"/>
            </w:tcBorders>
          </w:tcPr>
          <w:p w14:paraId="57B6455C" w14:textId="48C04755" w:rsidR="00567849" w:rsidRPr="0008254F" w:rsidRDefault="001D0C98" w:rsidP="00920484">
            <w:r w:rsidRPr="0008254F">
              <w:t>La commission recommande au Conseil</w:t>
            </w:r>
            <w:r w:rsidR="00567849" w:rsidRPr="0008254F">
              <w:t>:</w:t>
            </w:r>
          </w:p>
          <w:p w14:paraId="068FC7BF" w14:textId="33B74374" w:rsidR="00567849" w:rsidRPr="0008254F" w:rsidRDefault="00920484" w:rsidP="00920484">
            <w:pPr>
              <w:pStyle w:val="enumlev1"/>
            </w:pPr>
            <w:r w:rsidRPr="0008254F">
              <w:t>•</w:t>
            </w:r>
            <w:r w:rsidRPr="0008254F">
              <w:rPr>
                <w:rFonts w:asciiTheme="minorHAnsi" w:hAnsiTheme="minorHAnsi" w:cstheme="minorHAnsi"/>
                <w:i/>
                <w:iCs/>
                <w:szCs w:val="24"/>
              </w:rPr>
              <w:tab/>
            </w:r>
            <w:r w:rsidR="001D0C98" w:rsidRPr="0008254F">
              <w:t>d'approuver le principe d'un code de conduite pour les manifestations de l'UIT</w:t>
            </w:r>
            <w:r w:rsidR="00567849" w:rsidRPr="0008254F">
              <w:t>;</w:t>
            </w:r>
          </w:p>
          <w:p w14:paraId="54EE9E63" w14:textId="18A395C2" w:rsidR="00567849" w:rsidRPr="0008254F" w:rsidRDefault="00920484" w:rsidP="00920484">
            <w:pPr>
              <w:pStyle w:val="enumlev1"/>
            </w:pPr>
            <w:r w:rsidRPr="0008254F">
              <w:t>•</w:t>
            </w:r>
            <w:r w:rsidRPr="0008254F">
              <w:rPr>
                <w:rFonts w:asciiTheme="minorHAnsi" w:hAnsiTheme="minorHAnsi" w:cstheme="minorHAnsi"/>
                <w:i/>
                <w:iCs/>
                <w:szCs w:val="24"/>
              </w:rPr>
              <w:tab/>
            </w:r>
            <w:r w:rsidR="001D0C98" w:rsidRPr="0008254F">
              <w:t>de charger le Secrétariat d'élaborer un avant-projet de code de conduite pour les manifestations destiné à être retravaillé par le GTC-FHR; et</w:t>
            </w:r>
          </w:p>
          <w:p w14:paraId="613F180D" w14:textId="56B4E275" w:rsidR="00567849" w:rsidRPr="0008254F" w:rsidRDefault="00920484" w:rsidP="00920484">
            <w:pPr>
              <w:pStyle w:val="enumlev1"/>
              <w:spacing w:after="120"/>
              <w:rPr>
                <w:rFonts w:asciiTheme="minorHAnsi" w:eastAsia="Calibri" w:hAnsiTheme="minorHAnsi" w:cstheme="minorHAnsi"/>
              </w:rPr>
            </w:pPr>
            <w:r w:rsidRPr="0008254F">
              <w:t>•</w:t>
            </w:r>
            <w:r w:rsidRPr="0008254F">
              <w:rPr>
                <w:rFonts w:asciiTheme="minorHAnsi" w:hAnsiTheme="minorHAnsi" w:cstheme="minorHAnsi"/>
                <w:i/>
                <w:iCs/>
                <w:szCs w:val="24"/>
              </w:rPr>
              <w:tab/>
            </w:r>
            <w:r w:rsidR="001D0C98" w:rsidRPr="0008254F">
              <w:t>de demander au GTC-FHR de soumettre pour examen, à la session de 2025 du Conseil, un projet final de code de conduite pour les manifestations de l'UIT</w:t>
            </w:r>
            <w:r w:rsidR="00567849" w:rsidRPr="0008254F">
              <w:t>.</w:t>
            </w:r>
          </w:p>
        </w:tc>
      </w:tr>
    </w:tbl>
    <w:p w14:paraId="7A682A55" w14:textId="4739875E" w:rsidR="00567849" w:rsidRPr="0008254F" w:rsidRDefault="005C5DC0" w:rsidP="005C5DC0">
      <w:pPr>
        <w:pStyle w:val="Headingb"/>
        <w:spacing w:after="120"/>
        <w:rPr>
          <w:bCs/>
          <w:i/>
          <w:iCs/>
        </w:rPr>
      </w:pPr>
      <w:bookmarkStart w:id="3" w:name="_Hlk99097482"/>
      <w:r w:rsidRPr="0008254F">
        <w:rPr>
          <w:rFonts w:eastAsia="SimSun"/>
          <w:i/>
          <w:iCs/>
        </w:rPr>
        <w:t>–</w:t>
      </w:r>
      <w:r w:rsidRPr="0008254F">
        <w:rPr>
          <w:rFonts w:eastAsia="SimSun"/>
          <w:i/>
          <w:iCs/>
        </w:rPr>
        <w:tab/>
      </w:r>
      <w:r w:rsidR="001D0C98" w:rsidRPr="0008254F">
        <w:rPr>
          <w:rFonts w:eastAsia="SimSun"/>
          <w:i/>
          <w:iCs/>
        </w:rPr>
        <w:t xml:space="preserve">Admission de la République des Palaos et part contributive future </w:t>
      </w:r>
      <w:r w:rsidR="00567849" w:rsidRPr="0008254F">
        <w:rPr>
          <w:rFonts w:eastAsia="SimSun"/>
          <w:i/>
          <w:iCs/>
        </w:rPr>
        <w:t>(Document</w:t>
      </w:r>
      <w:r w:rsidRPr="0008254F">
        <w:rPr>
          <w:rFonts w:eastAsia="SimSun"/>
          <w:i/>
          <w:iCs/>
        </w:rPr>
        <w:t> </w:t>
      </w:r>
      <w:hyperlink r:id="rId62" w:history="1">
        <w:r w:rsidR="00567849" w:rsidRPr="0008254F">
          <w:rPr>
            <w:rStyle w:val="Hyperlink"/>
            <w:rFonts w:asciiTheme="minorHAnsi" w:eastAsia="SimSun" w:hAnsiTheme="minorHAnsi" w:cstheme="minorHAnsi"/>
            <w:i/>
            <w:iCs/>
            <w:szCs w:val="24"/>
          </w:rPr>
          <w:t>C24/62</w:t>
        </w:r>
      </w:hyperlink>
      <w:r w:rsidR="00567849" w:rsidRPr="0008254F">
        <w:rPr>
          <w:rFonts w:eastAsia="SimSun"/>
          <w:i/>
          <w:iCs/>
        </w:rPr>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567849" w:rsidRPr="0008254F" w14:paraId="1E343B1A" w14:textId="77777777" w:rsidTr="0019166E">
        <w:tc>
          <w:tcPr>
            <w:tcW w:w="9017" w:type="dxa"/>
            <w:tcBorders>
              <w:top w:val="single" w:sz="4" w:space="0" w:color="auto"/>
              <w:bottom w:val="single" w:sz="4" w:space="0" w:color="auto"/>
            </w:tcBorders>
          </w:tcPr>
          <w:p w14:paraId="092CFEB6" w14:textId="2709A425" w:rsidR="00567849" w:rsidRPr="0008254F" w:rsidRDefault="001D0C98" w:rsidP="0019166E">
            <w:pPr>
              <w:spacing w:after="120"/>
              <w:rPr>
                <w:rFonts w:asciiTheme="minorHAnsi" w:eastAsia="Calibri" w:hAnsiTheme="minorHAnsi" w:cstheme="minorHAnsi"/>
                <w:kern w:val="2"/>
                <w:szCs w:val="24"/>
                <w14:ligatures w14:val="standardContextual"/>
              </w:rPr>
            </w:pPr>
            <w:r w:rsidRPr="0008254F">
              <w:rPr>
                <w:rFonts w:eastAsia="SimSun"/>
              </w:rPr>
              <w:t>La commission recommande au Conseil d'accorder, à titre exceptionnel, une dérogation aux critères établis par le Conseil à sa session de 2010 et d'approuver l'attribution de la classe de contribution de 1/16 d'unité à la République des Palaos</w:t>
            </w:r>
            <w:r w:rsidR="00567849" w:rsidRPr="0008254F">
              <w:rPr>
                <w:rFonts w:eastAsia="SimSun" w:cs="Calibri"/>
              </w:rPr>
              <w:t>.</w:t>
            </w:r>
          </w:p>
        </w:tc>
      </w:tr>
    </w:tbl>
    <w:p w14:paraId="54CC03A6" w14:textId="13B871A7" w:rsidR="00567849" w:rsidRPr="0008254F" w:rsidRDefault="005C5DC0" w:rsidP="005C5DC0">
      <w:pPr>
        <w:pStyle w:val="Headingb"/>
        <w:spacing w:after="120"/>
        <w:rPr>
          <w:rFonts w:eastAsia="Calibri"/>
          <w:i/>
          <w:iCs/>
          <w:kern w:val="2"/>
          <w14:ligatures w14:val="standardContextual"/>
        </w:rPr>
      </w:pPr>
      <w:bookmarkStart w:id="4" w:name="_Hlk99099464"/>
      <w:bookmarkEnd w:id="3"/>
      <w:r w:rsidRPr="0008254F">
        <w:rPr>
          <w:i/>
          <w:iCs/>
        </w:rPr>
        <w:t>–</w:t>
      </w:r>
      <w:r w:rsidRPr="0008254F">
        <w:rPr>
          <w:i/>
          <w:iCs/>
        </w:rPr>
        <w:tab/>
      </w:r>
      <w:r w:rsidR="001D0C98" w:rsidRPr="0008254F">
        <w:rPr>
          <w:i/>
          <w:iCs/>
        </w:rPr>
        <w:t xml:space="preserve">Renforcement de la gestion des risques et du système de contrôle interne </w:t>
      </w:r>
      <w:r w:rsidR="00567849" w:rsidRPr="0008254F">
        <w:rPr>
          <w:i/>
          <w:iCs/>
        </w:rPr>
        <w:t>(Document</w:t>
      </w:r>
      <w:r w:rsidRPr="0008254F">
        <w:rPr>
          <w:i/>
          <w:iCs/>
        </w:rPr>
        <w:t> </w:t>
      </w:r>
      <w:hyperlink r:id="rId63" w:history="1">
        <w:r w:rsidR="00567849" w:rsidRPr="0008254F">
          <w:rPr>
            <w:rStyle w:val="Hyperlink"/>
            <w:rFonts w:asciiTheme="minorHAnsi" w:hAnsiTheme="minorHAnsi" w:cstheme="minorHAnsi"/>
            <w:bCs/>
            <w:i/>
            <w:iCs/>
            <w:szCs w:val="24"/>
          </w:rPr>
          <w:t>C24/49</w:t>
        </w:r>
      </w:hyperlink>
      <w:r w:rsidR="00567849" w:rsidRPr="0008254F">
        <w:rPr>
          <w:i/>
          <w:iCs/>
        </w:rPr>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6"/>
      </w:tblGrid>
      <w:tr w:rsidR="00567849" w:rsidRPr="0008254F" w14:paraId="0BC6C658" w14:textId="77777777" w:rsidTr="0019166E">
        <w:tc>
          <w:tcPr>
            <w:tcW w:w="9016" w:type="dxa"/>
            <w:tcBorders>
              <w:top w:val="single" w:sz="4" w:space="0" w:color="auto"/>
              <w:bottom w:val="single" w:sz="4" w:space="0" w:color="auto"/>
            </w:tcBorders>
          </w:tcPr>
          <w:p w14:paraId="31B4E1C7" w14:textId="562E85B8" w:rsidR="00567849" w:rsidRPr="0008254F" w:rsidRDefault="001D0C98" w:rsidP="005C5DC0">
            <w:pPr>
              <w:rPr>
                <w:rFonts w:eastAsia="SimSun"/>
              </w:rPr>
            </w:pPr>
            <w:r w:rsidRPr="0008254F">
              <w:rPr>
                <w:rFonts w:eastAsia="SimSun"/>
              </w:rPr>
              <w:t>La Commission recommande au Conseil</w:t>
            </w:r>
            <w:r w:rsidR="00567849" w:rsidRPr="0008254F">
              <w:rPr>
                <w:rFonts w:eastAsia="SimSun"/>
              </w:rPr>
              <w:t>:</w:t>
            </w:r>
          </w:p>
          <w:p w14:paraId="03466D68" w14:textId="596AA13D" w:rsidR="00567849" w:rsidRPr="0008254F" w:rsidRDefault="005C5DC0" w:rsidP="005C5DC0">
            <w:pPr>
              <w:pStyle w:val="enumlev1"/>
              <w:rPr>
                <w:rFonts w:eastAsia="Calibri" w:cs="Calibri"/>
              </w:rPr>
            </w:pPr>
            <w:r w:rsidRPr="0008254F">
              <w:t>•</w:t>
            </w:r>
            <w:r w:rsidRPr="0008254F">
              <w:rPr>
                <w:rFonts w:asciiTheme="minorHAnsi" w:hAnsiTheme="minorHAnsi" w:cstheme="minorHAnsi"/>
                <w:i/>
                <w:iCs/>
                <w:szCs w:val="24"/>
              </w:rPr>
              <w:tab/>
            </w:r>
            <w:r w:rsidR="001D0C98" w:rsidRPr="0008254F">
              <w:rPr>
                <w:rFonts w:eastAsia="Calibri"/>
              </w:rPr>
              <w:t>de prendre note du rapport figurant dans le Document C24/49</w:t>
            </w:r>
            <w:r w:rsidR="00567849" w:rsidRPr="0008254F">
              <w:rPr>
                <w:rFonts w:eastAsia="Calibri"/>
              </w:rPr>
              <w:t xml:space="preserve">; </w:t>
            </w:r>
            <w:r w:rsidR="001D0C98" w:rsidRPr="0008254F">
              <w:rPr>
                <w:rFonts w:eastAsia="Calibri"/>
              </w:rPr>
              <w:t>et</w:t>
            </w:r>
          </w:p>
          <w:p w14:paraId="3FDFE7A7" w14:textId="6AB88FE7" w:rsidR="00567849" w:rsidRPr="0008254F" w:rsidRDefault="005C5DC0" w:rsidP="00860407">
            <w:pPr>
              <w:pStyle w:val="enumlev1"/>
              <w:spacing w:after="120"/>
              <w:rPr>
                <w:rFonts w:asciiTheme="minorHAnsi" w:eastAsia="Calibri" w:hAnsiTheme="minorHAnsi" w:cstheme="minorHAnsi"/>
              </w:rPr>
            </w:pPr>
            <w:r w:rsidRPr="0008254F">
              <w:t>•</w:t>
            </w:r>
            <w:r w:rsidRPr="0008254F">
              <w:rPr>
                <w:rFonts w:asciiTheme="minorHAnsi" w:hAnsiTheme="minorHAnsi" w:cstheme="minorHAnsi"/>
                <w:i/>
                <w:iCs/>
                <w:szCs w:val="24"/>
              </w:rPr>
              <w:tab/>
            </w:r>
            <w:r w:rsidR="001D0C98" w:rsidRPr="0008254F">
              <w:rPr>
                <w:rFonts w:eastAsia="Calibri" w:cs="Calibri"/>
              </w:rPr>
              <w:t>de charger le GTC-FHR de poursuivre les discussions sur la gestion des risques et les contrôles internes</w:t>
            </w:r>
            <w:r w:rsidR="00567849" w:rsidRPr="0008254F">
              <w:rPr>
                <w:rFonts w:eastAsia="Calibri" w:cs="Calibri"/>
              </w:rPr>
              <w:t>.</w:t>
            </w:r>
          </w:p>
        </w:tc>
      </w:tr>
    </w:tbl>
    <w:p w14:paraId="63B3CBD3" w14:textId="4BF67179" w:rsidR="00567849" w:rsidRPr="0008254F" w:rsidRDefault="005C5DC0" w:rsidP="005C5DC0">
      <w:pPr>
        <w:pStyle w:val="Headingb"/>
        <w:spacing w:after="120"/>
        <w:rPr>
          <w:i/>
          <w:iCs/>
        </w:rPr>
      </w:pPr>
      <w:r w:rsidRPr="0008254F">
        <w:rPr>
          <w:i/>
          <w:iCs/>
        </w:rPr>
        <w:t>–</w:t>
      </w:r>
      <w:r w:rsidRPr="0008254F">
        <w:rPr>
          <w:i/>
          <w:iCs/>
        </w:rPr>
        <w:tab/>
      </w:r>
      <w:r w:rsidR="001D0C98" w:rsidRPr="0008254F">
        <w:rPr>
          <w:i/>
          <w:iCs/>
        </w:rPr>
        <w:t xml:space="preserve">Rapports du CCI sur les questions relatives à l'ensemble du système des Nations Unies pour 2022-2023 et Recommandations à l'intention des chefs de secrétariat et des organes délibérants </w:t>
      </w:r>
      <w:r w:rsidR="00567849" w:rsidRPr="0008254F">
        <w:rPr>
          <w:i/>
          <w:iCs/>
        </w:rPr>
        <w:t xml:space="preserve">(Document </w:t>
      </w:r>
      <w:hyperlink r:id="rId64" w:history="1">
        <w:r w:rsidR="00567849" w:rsidRPr="0008254F">
          <w:rPr>
            <w:rStyle w:val="Hyperlink"/>
            <w:rFonts w:asciiTheme="minorHAnsi" w:hAnsiTheme="minorHAnsi" w:cstheme="minorHAnsi"/>
            <w:bCs/>
            <w:i/>
            <w:iCs/>
            <w:szCs w:val="24"/>
          </w:rPr>
          <w:t>C24/57</w:t>
        </w:r>
      </w:hyperlink>
      <w:r w:rsidR="00567849" w:rsidRPr="0008254F">
        <w:rPr>
          <w:i/>
          <w:iCs/>
        </w:rPr>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6"/>
      </w:tblGrid>
      <w:tr w:rsidR="00567849" w:rsidRPr="0008254F" w14:paraId="0F122396" w14:textId="77777777" w:rsidTr="0019166E">
        <w:tc>
          <w:tcPr>
            <w:tcW w:w="9016" w:type="dxa"/>
            <w:tcBorders>
              <w:top w:val="single" w:sz="4" w:space="0" w:color="auto"/>
              <w:bottom w:val="single" w:sz="4" w:space="0" w:color="auto"/>
            </w:tcBorders>
          </w:tcPr>
          <w:p w14:paraId="039F3DCA" w14:textId="6A16137B" w:rsidR="00567849" w:rsidRPr="0008254F" w:rsidRDefault="001D0C98" w:rsidP="005C5DC0">
            <w:pPr>
              <w:spacing w:after="120"/>
              <w:rPr>
                <w:rFonts w:asciiTheme="minorHAnsi" w:eastAsia="Calibri" w:hAnsiTheme="minorHAnsi" w:cstheme="minorHAnsi"/>
                <w:kern w:val="2"/>
                <w:szCs w:val="24"/>
                <w14:ligatures w14:val="standardContextual"/>
              </w:rPr>
            </w:pPr>
            <w:r w:rsidRPr="0008254F">
              <w:rPr>
                <w:rFonts w:eastAsia="SimSun"/>
              </w:rPr>
              <w:t>La commission recommande au Conseil d'accepter les six Recommandations adressées aux organes délibérants issues des quatre rapports du CCI</w:t>
            </w:r>
            <w:r w:rsidR="00567849" w:rsidRPr="0008254F">
              <w:rPr>
                <w:rFonts w:eastAsia="SimSun"/>
              </w:rPr>
              <w:t>.</w:t>
            </w:r>
          </w:p>
        </w:tc>
      </w:tr>
    </w:tbl>
    <w:p w14:paraId="45EBE39F" w14:textId="7ED8D1F8" w:rsidR="00567849" w:rsidRPr="0008254F" w:rsidRDefault="005C5DC0" w:rsidP="005C5DC0">
      <w:pPr>
        <w:pStyle w:val="Headingb"/>
        <w:spacing w:after="120"/>
        <w:rPr>
          <w:i/>
          <w:iCs/>
        </w:rPr>
      </w:pPr>
      <w:bookmarkStart w:id="5" w:name="_Hlk99102426"/>
      <w:bookmarkEnd w:id="4"/>
      <w:r w:rsidRPr="0008254F">
        <w:rPr>
          <w:i/>
          <w:iCs/>
        </w:rPr>
        <w:lastRenderedPageBreak/>
        <w:t>–</w:t>
      </w:r>
      <w:r w:rsidRPr="0008254F">
        <w:rPr>
          <w:i/>
          <w:iCs/>
        </w:rPr>
        <w:tab/>
      </w:r>
      <w:r w:rsidR="0003503B" w:rsidRPr="0008254F">
        <w:rPr>
          <w:i/>
          <w:iCs/>
        </w:rPr>
        <w:t xml:space="preserve">Affectation des économies réalisées dans le cadre de l'exécution du budget 2023 et utilisation du Fonds de roulement des expositions </w:t>
      </w:r>
      <w:r w:rsidR="00567849" w:rsidRPr="0008254F">
        <w:rPr>
          <w:i/>
          <w:iCs/>
        </w:rPr>
        <w:t xml:space="preserve">(Document </w:t>
      </w:r>
      <w:hyperlink r:id="rId65" w:history="1">
        <w:r w:rsidR="00567849" w:rsidRPr="0008254F">
          <w:rPr>
            <w:rStyle w:val="Hyperlink"/>
            <w:rFonts w:asciiTheme="minorHAnsi" w:hAnsiTheme="minorHAnsi" w:cstheme="minorHAnsi"/>
            <w:bCs/>
            <w:i/>
            <w:iCs/>
            <w:szCs w:val="24"/>
          </w:rPr>
          <w:t>C24/19</w:t>
        </w:r>
      </w:hyperlink>
      <w:r w:rsidR="00567849" w:rsidRPr="0008254F">
        <w:rPr>
          <w:i/>
          <w:iCs/>
        </w:rPr>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6"/>
      </w:tblGrid>
      <w:tr w:rsidR="00567849" w:rsidRPr="0008254F" w14:paraId="502AF98F" w14:textId="77777777" w:rsidTr="0019166E">
        <w:tc>
          <w:tcPr>
            <w:tcW w:w="9016" w:type="dxa"/>
            <w:tcBorders>
              <w:top w:val="single" w:sz="4" w:space="0" w:color="auto"/>
              <w:bottom w:val="single" w:sz="4" w:space="0" w:color="auto"/>
            </w:tcBorders>
          </w:tcPr>
          <w:p w14:paraId="05881219" w14:textId="7367C596" w:rsidR="00567849" w:rsidRPr="0008254F" w:rsidRDefault="0003503B" w:rsidP="005C5DC0">
            <w:pPr>
              <w:spacing w:after="120"/>
              <w:rPr>
                <w:rFonts w:asciiTheme="minorHAnsi" w:hAnsiTheme="minorHAnsi" w:cstheme="minorHAnsi"/>
                <w:kern w:val="2"/>
                <w:szCs w:val="24"/>
                <w14:ligatures w14:val="standardContextual"/>
              </w:rPr>
            </w:pPr>
            <w:r w:rsidRPr="0008254F">
              <w:rPr>
                <w:rFonts w:eastAsia="SimSun"/>
              </w:rPr>
              <w:t xml:space="preserve">La commission recommande au Conseil de prendre note du rapport figurant dans le Document C24/19 et d'adopter le projet de Résolution reproduit dans l'Annexe K du </w:t>
            </w:r>
            <w:r w:rsidR="00567849" w:rsidRPr="0008254F">
              <w:rPr>
                <w:rFonts w:eastAsia="SimSun" w:cs="Calibri"/>
              </w:rPr>
              <w:t>Document C24/109</w:t>
            </w:r>
            <w:r w:rsidR="00567849" w:rsidRPr="0008254F">
              <w:rPr>
                <w:rFonts w:eastAsia="SimSun"/>
              </w:rPr>
              <w:t>.</w:t>
            </w:r>
          </w:p>
        </w:tc>
      </w:tr>
    </w:tbl>
    <w:p w14:paraId="1BB4D0CC" w14:textId="0831E828" w:rsidR="00567849" w:rsidRPr="0008254F" w:rsidRDefault="005C5DC0" w:rsidP="005C5DC0">
      <w:pPr>
        <w:pStyle w:val="Headingb"/>
        <w:spacing w:after="120"/>
        <w:rPr>
          <w:i/>
          <w:iCs/>
        </w:rPr>
      </w:pPr>
      <w:r w:rsidRPr="0008254F">
        <w:rPr>
          <w:i/>
          <w:iCs/>
        </w:rPr>
        <w:t>–</w:t>
      </w:r>
      <w:r w:rsidRPr="0008254F">
        <w:rPr>
          <w:i/>
          <w:iCs/>
        </w:rPr>
        <w:tab/>
      </w:r>
      <w:r w:rsidR="0003503B" w:rsidRPr="0008254F">
        <w:rPr>
          <w:i/>
          <w:iCs/>
        </w:rPr>
        <w:t>Examen annuel des produits et des charges dans le cadre de l'exécution du budget</w:t>
      </w:r>
      <w:r w:rsidRPr="0008254F">
        <w:rPr>
          <w:i/>
          <w:iCs/>
        </w:rPr>
        <w:t> </w:t>
      </w:r>
      <w:r w:rsidR="0003503B" w:rsidRPr="0008254F">
        <w:rPr>
          <w:i/>
          <w:iCs/>
        </w:rPr>
        <w:t xml:space="preserve">2024: résultats préliminaires de la mise en œuvre des mesures d'efficacité établies dans l'Annexe 2 de la Décision 5 de la Conférence de plénipotentiaires </w:t>
      </w:r>
      <w:r w:rsidR="00567849" w:rsidRPr="0008254F">
        <w:rPr>
          <w:i/>
          <w:iCs/>
        </w:rPr>
        <w:t xml:space="preserve">(Document </w:t>
      </w:r>
      <w:hyperlink r:id="rId66" w:history="1">
        <w:r w:rsidR="00567849" w:rsidRPr="0008254F">
          <w:rPr>
            <w:rStyle w:val="Hyperlink"/>
            <w:rFonts w:asciiTheme="minorHAnsi" w:hAnsiTheme="minorHAnsi" w:cstheme="minorHAnsi"/>
            <w:bCs/>
            <w:i/>
            <w:iCs/>
            <w:szCs w:val="24"/>
          </w:rPr>
          <w:t>C24/9</w:t>
        </w:r>
      </w:hyperlink>
      <w:r w:rsidR="00567849" w:rsidRPr="0008254F">
        <w:rPr>
          <w:i/>
          <w:iCs/>
        </w:rPr>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6"/>
      </w:tblGrid>
      <w:tr w:rsidR="00567849" w:rsidRPr="0008254F" w14:paraId="56445A48" w14:textId="77777777" w:rsidTr="0019166E">
        <w:tc>
          <w:tcPr>
            <w:tcW w:w="9016" w:type="dxa"/>
            <w:tcBorders>
              <w:top w:val="single" w:sz="4" w:space="0" w:color="auto"/>
              <w:bottom w:val="single" w:sz="4" w:space="0" w:color="auto"/>
            </w:tcBorders>
          </w:tcPr>
          <w:p w14:paraId="02BAE087" w14:textId="07ADCBEF" w:rsidR="00567849" w:rsidRPr="0008254F" w:rsidRDefault="0003503B" w:rsidP="005C5DC0">
            <w:pPr>
              <w:spacing w:after="120"/>
              <w:rPr>
                <w:rFonts w:asciiTheme="minorHAnsi" w:eastAsia="Calibri" w:hAnsiTheme="minorHAnsi" w:cstheme="minorHAnsi"/>
                <w:kern w:val="2"/>
                <w:szCs w:val="24"/>
                <w14:ligatures w14:val="standardContextual"/>
              </w:rPr>
            </w:pPr>
            <w:r w:rsidRPr="0008254F">
              <w:rPr>
                <w:rFonts w:eastAsia="SimSun"/>
              </w:rPr>
              <w:t>La commission recommande au Conseil de prendre note du rapport figurant dans le Document C24/</w:t>
            </w:r>
            <w:r w:rsidR="00567849" w:rsidRPr="0008254F">
              <w:rPr>
                <w:rFonts w:eastAsia="SimSun"/>
              </w:rPr>
              <w:t>9.</w:t>
            </w:r>
          </w:p>
        </w:tc>
      </w:tr>
    </w:tbl>
    <w:bookmarkEnd w:id="5"/>
    <w:p w14:paraId="174861B0" w14:textId="5EA76B56" w:rsidR="00567849" w:rsidRPr="0008254F" w:rsidRDefault="005C5DC0" w:rsidP="005C5DC0">
      <w:pPr>
        <w:pStyle w:val="Headingb"/>
        <w:spacing w:after="120"/>
        <w:rPr>
          <w:i/>
          <w:iCs/>
        </w:rPr>
      </w:pPr>
      <w:r w:rsidRPr="0008254F">
        <w:rPr>
          <w:i/>
          <w:iCs/>
        </w:rPr>
        <w:t>–</w:t>
      </w:r>
      <w:r w:rsidRPr="0008254F">
        <w:rPr>
          <w:i/>
          <w:iCs/>
        </w:rPr>
        <w:tab/>
      </w:r>
      <w:r w:rsidR="0003503B" w:rsidRPr="0008254F">
        <w:rPr>
          <w:i/>
          <w:iCs/>
        </w:rPr>
        <w:t>Recouvrement des coûts pour le traitement des fiches de notification des réseaux à satellite</w:t>
      </w:r>
      <w:r w:rsidR="00567849" w:rsidRPr="0008254F">
        <w:rPr>
          <w:i/>
          <w:iCs/>
        </w:rPr>
        <w:t xml:space="preserve"> (Document </w:t>
      </w:r>
      <w:hyperlink r:id="rId67" w:history="1">
        <w:r w:rsidR="00567849" w:rsidRPr="0008254F">
          <w:rPr>
            <w:rStyle w:val="Hyperlink"/>
            <w:rFonts w:asciiTheme="minorHAnsi" w:hAnsiTheme="minorHAnsi" w:cstheme="minorHAnsi"/>
            <w:bCs/>
            <w:i/>
            <w:iCs/>
            <w:szCs w:val="24"/>
          </w:rPr>
          <w:t>C24/16</w:t>
        </w:r>
      </w:hyperlink>
      <w:r w:rsidR="00567849" w:rsidRPr="0008254F">
        <w:rPr>
          <w:i/>
          <w:iCs/>
        </w:rPr>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6"/>
      </w:tblGrid>
      <w:tr w:rsidR="00567849" w:rsidRPr="0008254F" w14:paraId="62E388B1" w14:textId="77777777" w:rsidTr="0019166E">
        <w:tc>
          <w:tcPr>
            <w:tcW w:w="9016" w:type="dxa"/>
            <w:tcBorders>
              <w:top w:val="single" w:sz="4" w:space="0" w:color="auto"/>
              <w:bottom w:val="single" w:sz="4" w:space="0" w:color="auto"/>
            </w:tcBorders>
          </w:tcPr>
          <w:p w14:paraId="4ED86C23" w14:textId="158EA220" w:rsidR="00567849" w:rsidRPr="0008254F" w:rsidRDefault="0003503B" w:rsidP="005C5DC0">
            <w:r w:rsidRPr="0008254F">
              <w:t>La commission recommande au Conseil</w:t>
            </w:r>
            <w:r w:rsidR="00567849" w:rsidRPr="0008254F">
              <w:t>:</w:t>
            </w:r>
          </w:p>
          <w:p w14:paraId="5FB95454" w14:textId="4BFE4B79" w:rsidR="00567849" w:rsidRPr="0008254F" w:rsidRDefault="005C5DC0" w:rsidP="005C5DC0">
            <w:pPr>
              <w:pStyle w:val="enumlev1"/>
            </w:pPr>
            <w:r w:rsidRPr="0008254F">
              <w:t>•</w:t>
            </w:r>
            <w:r w:rsidRPr="0008254F">
              <w:rPr>
                <w:rFonts w:asciiTheme="minorHAnsi" w:hAnsiTheme="minorHAnsi" w:cstheme="minorHAnsi"/>
                <w:i/>
                <w:iCs/>
                <w:szCs w:val="24"/>
              </w:rPr>
              <w:tab/>
            </w:r>
            <w:r w:rsidR="0003503B" w:rsidRPr="0008254F">
              <w:t xml:space="preserve">d'approuver, à titre provisoire, la version révisée de la Décision 482 (C01, dernière mod. C20) telle qu'elle figure dans l'Annexe L du </w:t>
            </w:r>
            <w:r w:rsidR="00567849" w:rsidRPr="0008254F">
              <w:rPr>
                <w:rFonts w:eastAsia="SimSun" w:cs="Calibri"/>
              </w:rPr>
              <w:t>Document C24/109</w:t>
            </w:r>
            <w:r w:rsidR="00567849" w:rsidRPr="0008254F">
              <w:t xml:space="preserve">; </w:t>
            </w:r>
            <w:r w:rsidR="0003503B" w:rsidRPr="0008254F">
              <w:t>et</w:t>
            </w:r>
          </w:p>
          <w:p w14:paraId="63E4FDA5" w14:textId="75A2444F" w:rsidR="00567849" w:rsidRPr="0008254F" w:rsidRDefault="005C5DC0" w:rsidP="005C5DC0">
            <w:pPr>
              <w:pStyle w:val="enumlev1"/>
              <w:spacing w:after="120"/>
              <w:rPr>
                <w:rFonts w:asciiTheme="minorHAnsi" w:eastAsia="Calibri" w:hAnsiTheme="minorHAnsi" w:cstheme="minorHAnsi"/>
              </w:rPr>
            </w:pPr>
            <w:r w:rsidRPr="0008254F">
              <w:t>•</w:t>
            </w:r>
            <w:r w:rsidRPr="0008254F">
              <w:rPr>
                <w:rFonts w:asciiTheme="minorHAnsi" w:hAnsiTheme="minorHAnsi" w:cstheme="minorHAnsi"/>
                <w:i/>
                <w:iCs/>
                <w:szCs w:val="24"/>
              </w:rPr>
              <w:tab/>
            </w:r>
            <w:r w:rsidR="0003503B" w:rsidRPr="0008254F">
              <w:t>de charger le Groupe d'experts sur la Décision 482 de revoir les aspects liés au recouvrement des coûts pour les stations terriennes en mouvement assujetties à la Résolution 121 (CMR-23), afin d'inclure une nouvelle mise à jour de la Décision 482, s'il y a lieu, dans le rapport qu'il soumettra à la session de 2025 du Conseil</w:t>
            </w:r>
            <w:r w:rsidR="00567849" w:rsidRPr="0008254F">
              <w:t>.</w:t>
            </w:r>
          </w:p>
        </w:tc>
      </w:tr>
    </w:tbl>
    <w:p w14:paraId="4DFFE1C4" w14:textId="639D19AB" w:rsidR="00567849" w:rsidRPr="0008254F" w:rsidRDefault="00770851" w:rsidP="00770851">
      <w:pPr>
        <w:pStyle w:val="Headingb"/>
        <w:spacing w:after="120"/>
      </w:pPr>
      <w:r w:rsidRPr="0008254F">
        <w:t>–</w:t>
      </w:r>
      <w:r w:rsidRPr="0008254F">
        <w:tab/>
      </w:r>
      <w:r w:rsidR="0003503B" w:rsidRPr="0008254F">
        <w:rPr>
          <w:i/>
          <w:iCs/>
        </w:rPr>
        <w:t xml:space="preserve">Rapport de la Présidente du Groupe d'experts du Conseil sur la Décision 482 </w:t>
      </w:r>
      <w:r w:rsidR="00567849" w:rsidRPr="0008254F">
        <w:rPr>
          <w:i/>
          <w:iCs/>
        </w:rPr>
        <w:t xml:space="preserve">(Document </w:t>
      </w:r>
      <w:hyperlink r:id="rId68" w:history="1">
        <w:r w:rsidR="00567849" w:rsidRPr="0008254F">
          <w:rPr>
            <w:rStyle w:val="Hyperlink"/>
            <w:rFonts w:asciiTheme="minorHAnsi" w:hAnsiTheme="minorHAnsi" w:cstheme="minorHAnsi"/>
            <w:bCs/>
            <w:i/>
            <w:iCs/>
            <w:szCs w:val="24"/>
          </w:rPr>
          <w:t>C24/10</w:t>
        </w:r>
      </w:hyperlink>
      <w:r w:rsidR="00567849" w:rsidRPr="0008254F">
        <w:rPr>
          <w:i/>
          <w:iCs/>
        </w:rPr>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6"/>
      </w:tblGrid>
      <w:tr w:rsidR="00567849" w:rsidRPr="0008254F" w14:paraId="3D7E7A3A" w14:textId="77777777" w:rsidTr="0019166E">
        <w:tc>
          <w:tcPr>
            <w:tcW w:w="9016" w:type="dxa"/>
            <w:tcBorders>
              <w:top w:val="single" w:sz="4" w:space="0" w:color="auto"/>
              <w:bottom w:val="single" w:sz="4" w:space="0" w:color="auto"/>
            </w:tcBorders>
          </w:tcPr>
          <w:p w14:paraId="6C84F285" w14:textId="2DA5015B" w:rsidR="00567849" w:rsidRPr="0008254F" w:rsidRDefault="0003503B" w:rsidP="005C5DC0">
            <w:r w:rsidRPr="0008254F">
              <w:t>La commission recommande au Conseil</w:t>
            </w:r>
            <w:r w:rsidR="00567849" w:rsidRPr="0008254F">
              <w:t>:</w:t>
            </w:r>
          </w:p>
          <w:p w14:paraId="4358BBBF" w14:textId="2E31D7A7" w:rsidR="00567849" w:rsidRPr="0008254F" w:rsidRDefault="005C5DC0" w:rsidP="005C5DC0">
            <w:pPr>
              <w:pStyle w:val="enumlev1"/>
            </w:pPr>
            <w:r w:rsidRPr="0008254F">
              <w:t>•</w:t>
            </w:r>
            <w:r w:rsidRPr="0008254F">
              <w:rPr>
                <w:rFonts w:asciiTheme="minorHAnsi" w:hAnsiTheme="minorHAnsi" w:cstheme="minorHAnsi"/>
                <w:i/>
                <w:iCs/>
                <w:szCs w:val="24"/>
              </w:rPr>
              <w:tab/>
            </w:r>
            <w:r w:rsidR="0003503B" w:rsidRPr="0008254F">
              <w:t xml:space="preserve">de prendre note du rapport figurant dans le Document </w:t>
            </w:r>
            <w:r w:rsidR="00567849" w:rsidRPr="0008254F">
              <w:t>C24/10;</w:t>
            </w:r>
          </w:p>
          <w:p w14:paraId="3E2769BA" w14:textId="06BFDB3D" w:rsidR="00567849" w:rsidRPr="0008254F" w:rsidRDefault="005C5DC0" w:rsidP="005C5DC0">
            <w:pPr>
              <w:pStyle w:val="enumlev1"/>
            </w:pPr>
            <w:r w:rsidRPr="0008254F">
              <w:t>•</w:t>
            </w:r>
            <w:r w:rsidRPr="0008254F">
              <w:rPr>
                <w:rFonts w:asciiTheme="minorHAnsi" w:hAnsiTheme="minorHAnsi" w:cstheme="minorHAnsi"/>
                <w:i/>
                <w:iCs/>
                <w:szCs w:val="24"/>
              </w:rPr>
              <w:tab/>
            </w:r>
            <w:r w:rsidR="0003503B" w:rsidRPr="0008254F">
              <w:t>de prier le Groupe d'experts sur la Décision 482 du Conseil de présenter son rapport final lors de la session de 2025 du Conseil, conformément à son mandat</w:t>
            </w:r>
            <w:r w:rsidR="00567849" w:rsidRPr="0008254F">
              <w:t xml:space="preserve">; </w:t>
            </w:r>
            <w:r w:rsidR="0003503B" w:rsidRPr="0008254F">
              <w:t>et</w:t>
            </w:r>
          </w:p>
          <w:p w14:paraId="090FC829" w14:textId="06B01F14" w:rsidR="00567849" w:rsidRPr="0008254F" w:rsidRDefault="005C5DC0" w:rsidP="005C5DC0">
            <w:pPr>
              <w:pStyle w:val="enumlev1"/>
              <w:spacing w:after="120"/>
            </w:pPr>
            <w:r w:rsidRPr="0008254F">
              <w:t>•</w:t>
            </w:r>
            <w:r w:rsidRPr="0008254F">
              <w:rPr>
                <w:rFonts w:asciiTheme="minorHAnsi" w:hAnsiTheme="minorHAnsi" w:cstheme="minorHAnsi"/>
                <w:i/>
                <w:iCs/>
                <w:szCs w:val="24"/>
              </w:rPr>
              <w:tab/>
            </w:r>
            <w:r w:rsidR="0003503B" w:rsidRPr="0008254F">
              <w:t>eu égard à l'importance des travaux du Groupe pour ce qui est de leurs incidences sur le budget biennal pour 2026-2027 et de l'élaboration du plan financier pour</w:t>
            </w:r>
            <w:r w:rsidRPr="0008254F">
              <w:t> </w:t>
            </w:r>
            <w:r w:rsidR="0003503B" w:rsidRPr="0008254F">
              <w:t>2028-2031, d'inviter le Groupe d'experts à présenter, dans l'intervalle, un projet de rapport à la réunion de janvier 2025 du GTC-FHR et du GTC-SFP</w:t>
            </w:r>
            <w:r w:rsidR="00567849" w:rsidRPr="0008254F">
              <w:t>.</w:t>
            </w:r>
          </w:p>
        </w:tc>
      </w:tr>
    </w:tbl>
    <w:p w14:paraId="3823D8CA" w14:textId="0D3107BE" w:rsidR="00567849" w:rsidRPr="0008254F" w:rsidRDefault="005C5DC0" w:rsidP="005C5DC0">
      <w:pPr>
        <w:pStyle w:val="Headingb"/>
        <w:spacing w:after="120"/>
        <w:rPr>
          <w:i/>
          <w:iCs/>
        </w:rPr>
      </w:pPr>
      <w:r w:rsidRPr="0008254F">
        <w:rPr>
          <w:i/>
          <w:iCs/>
        </w:rPr>
        <w:t>–</w:t>
      </w:r>
      <w:r w:rsidRPr="0008254F">
        <w:rPr>
          <w:i/>
          <w:iCs/>
        </w:rPr>
        <w:tab/>
      </w:r>
      <w:r w:rsidR="0003503B" w:rsidRPr="0008254F">
        <w:rPr>
          <w:i/>
          <w:iCs/>
        </w:rPr>
        <w:t xml:space="preserve">Nouvelles demandes d'exonération du paiement de droits pour les organisations ayant un caractère international </w:t>
      </w:r>
      <w:r w:rsidR="00567849" w:rsidRPr="0008254F">
        <w:rPr>
          <w:i/>
          <w:iCs/>
        </w:rPr>
        <w:t xml:space="preserve">(Document </w:t>
      </w:r>
      <w:hyperlink r:id="rId69" w:history="1">
        <w:r w:rsidR="00567849" w:rsidRPr="0008254F">
          <w:rPr>
            <w:rStyle w:val="Hyperlink"/>
            <w:rFonts w:asciiTheme="minorHAnsi" w:hAnsiTheme="minorHAnsi" w:cstheme="minorHAnsi"/>
            <w:bCs/>
            <w:i/>
            <w:iCs/>
            <w:szCs w:val="24"/>
          </w:rPr>
          <w:t>C24/39</w:t>
        </w:r>
      </w:hyperlink>
      <w:r w:rsidR="00567849" w:rsidRPr="0008254F">
        <w:rPr>
          <w:i/>
          <w:iCs/>
        </w:rPr>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567849" w:rsidRPr="0008254F" w14:paraId="11CB44D5" w14:textId="77777777" w:rsidTr="0019166E">
        <w:tc>
          <w:tcPr>
            <w:tcW w:w="9017" w:type="dxa"/>
            <w:tcBorders>
              <w:top w:val="single" w:sz="4" w:space="0" w:color="auto"/>
              <w:bottom w:val="single" w:sz="4" w:space="0" w:color="auto"/>
            </w:tcBorders>
          </w:tcPr>
          <w:p w14:paraId="52408F6E" w14:textId="4B51F023" w:rsidR="00567849" w:rsidRPr="0008254F" w:rsidRDefault="0003503B" w:rsidP="005C5DC0">
            <w:pPr>
              <w:spacing w:after="120"/>
              <w:rPr>
                <w:rFonts w:asciiTheme="minorHAnsi" w:eastAsia="Calibri" w:hAnsiTheme="minorHAnsi" w:cstheme="minorHAnsi"/>
                <w:kern w:val="2"/>
                <w:szCs w:val="24"/>
                <w14:ligatures w14:val="standardContextual"/>
              </w:rPr>
            </w:pPr>
            <w:r w:rsidRPr="0008254F">
              <w:rPr>
                <w:rFonts w:eastAsia="SimSun"/>
              </w:rPr>
              <w:t>La Commission recommande au Conseil d'approuver les recommandations de la Secrétaire générale concernant les demandes d'exonération du paiement des contributions des Membres des Secteurs, telles qu'elles figurent dans le Document</w:t>
            </w:r>
            <w:r w:rsidR="005C5DC0" w:rsidRPr="0008254F">
              <w:rPr>
                <w:rFonts w:eastAsia="SimSun"/>
              </w:rPr>
              <w:t> </w:t>
            </w:r>
            <w:r w:rsidRPr="0008254F">
              <w:rPr>
                <w:rFonts w:eastAsia="SimSun"/>
              </w:rPr>
              <w:t>C24/39</w:t>
            </w:r>
            <w:r w:rsidR="00567849" w:rsidRPr="0008254F">
              <w:rPr>
                <w:rFonts w:eastAsia="SimSun"/>
              </w:rPr>
              <w:t>.</w:t>
            </w:r>
          </w:p>
        </w:tc>
      </w:tr>
    </w:tbl>
    <w:p w14:paraId="3E1C5900" w14:textId="5E998066" w:rsidR="00567849" w:rsidRPr="0008254F" w:rsidRDefault="005C5DC0" w:rsidP="005C5DC0">
      <w:pPr>
        <w:pStyle w:val="Headingb"/>
        <w:spacing w:after="120"/>
        <w:rPr>
          <w:i/>
          <w:iCs/>
        </w:rPr>
      </w:pPr>
      <w:r w:rsidRPr="0008254F">
        <w:rPr>
          <w:i/>
          <w:iCs/>
        </w:rPr>
        <w:lastRenderedPageBreak/>
        <w:t>–</w:t>
      </w:r>
      <w:r w:rsidRPr="0008254F">
        <w:rPr>
          <w:i/>
          <w:iCs/>
        </w:rPr>
        <w:tab/>
      </w:r>
      <w:r w:rsidR="0003503B" w:rsidRPr="0008254F">
        <w:rPr>
          <w:i/>
          <w:iCs/>
        </w:rPr>
        <w:t xml:space="preserve">Participation d'autres entités s'occupant de questions de télécommunication aux activités de l'UIT </w:t>
      </w:r>
      <w:r w:rsidR="00567849" w:rsidRPr="0008254F">
        <w:rPr>
          <w:i/>
          <w:iCs/>
        </w:rPr>
        <w:t xml:space="preserve">(Document </w:t>
      </w:r>
      <w:hyperlink r:id="rId70" w:history="1">
        <w:r w:rsidR="00567849" w:rsidRPr="0008254F">
          <w:rPr>
            <w:rStyle w:val="Hyperlink"/>
            <w:rFonts w:asciiTheme="minorHAnsi" w:hAnsiTheme="minorHAnsi" w:cstheme="minorHAnsi"/>
            <w:bCs/>
            <w:i/>
            <w:iCs/>
            <w:szCs w:val="24"/>
          </w:rPr>
          <w:t>C24/58</w:t>
        </w:r>
      </w:hyperlink>
      <w:r w:rsidR="00567849" w:rsidRPr="0008254F">
        <w:rPr>
          <w:i/>
          <w:iCs/>
        </w:rPr>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6"/>
      </w:tblGrid>
      <w:tr w:rsidR="00567849" w:rsidRPr="0008254F" w14:paraId="6E3034DB" w14:textId="77777777" w:rsidTr="0019166E">
        <w:tc>
          <w:tcPr>
            <w:tcW w:w="9016" w:type="dxa"/>
            <w:tcBorders>
              <w:top w:val="single" w:sz="4" w:space="0" w:color="auto"/>
              <w:bottom w:val="single" w:sz="4" w:space="0" w:color="auto"/>
            </w:tcBorders>
          </w:tcPr>
          <w:p w14:paraId="608F22A0" w14:textId="0BF0AA5E" w:rsidR="00567849" w:rsidRPr="0008254F" w:rsidRDefault="0003503B" w:rsidP="005C5DC0">
            <w:pPr>
              <w:spacing w:after="120"/>
              <w:rPr>
                <w:rFonts w:asciiTheme="minorHAnsi" w:eastAsia="Calibri" w:hAnsiTheme="minorHAnsi" w:cstheme="minorHAnsi"/>
                <w:kern w:val="2"/>
                <w14:ligatures w14:val="standardContextual"/>
              </w:rPr>
            </w:pPr>
            <w:r w:rsidRPr="0008254F">
              <w:rPr>
                <w:rFonts w:eastAsia="SimSun"/>
              </w:rPr>
              <w:t>La Commission recommande au Conseil de confirmer les mesures prises par la Secrétaire</w:t>
            </w:r>
            <w:r w:rsidR="00770851" w:rsidRPr="0008254F">
              <w:rPr>
                <w:rFonts w:eastAsia="SimSun"/>
              </w:rPr>
              <w:t> </w:t>
            </w:r>
            <w:r w:rsidRPr="0008254F">
              <w:rPr>
                <w:rFonts w:eastAsia="SimSun"/>
              </w:rPr>
              <w:t>générale concernant l'admission d'autres entités s'occupant de questions de télécommunication énumérées dans l'annexe du Document C24/58</w:t>
            </w:r>
            <w:r w:rsidR="00567849" w:rsidRPr="0008254F">
              <w:rPr>
                <w:rFonts w:eastAsia="SimSun"/>
              </w:rPr>
              <w:t>.</w:t>
            </w:r>
          </w:p>
        </w:tc>
      </w:tr>
    </w:tbl>
    <w:p w14:paraId="4A68A281" w14:textId="3FCBAB13" w:rsidR="00567849" w:rsidRPr="0008254F" w:rsidRDefault="005C5DC0" w:rsidP="005C5DC0">
      <w:pPr>
        <w:pStyle w:val="Headingb"/>
        <w:spacing w:after="120"/>
        <w:rPr>
          <w:i/>
          <w:iCs/>
        </w:rPr>
      </w:pPr>
      <w:r w:rsidRPr="0008254F">
        <w:rPr>
          <w:i/>
          <w:iCs/>
        </w:rPr>
        <w:t>–</w:t>
      </w:r>
      <w:r w:rsidRPr="0008254F">
        <w:rPr>
          <w:i/>
          <w:iCs/>
        </w:rPr>
        <w:tab/>
      </w:r>
      <w:r w:rsidR="0003503B" w:rsidRPr="0008254F">
        <w:rPr>
          <w:i/>
          <w:iCs/>
        </w:rPr>
        <w:t xml:space="preserve">Stratégie de mobilisation des ressources de l'UIT </w:t>
      </w:r>
      <w:r w:rsidR="00567849" w:rsidRPr="0008254F">
        <w:rPr>
          <w:i/>
          <w:iCs/>
        </w:rPr>
        <w:t xml:space="preserve">(Document </w:t>
      </w:r>
      <w:hyperlink r:id="rId71" w:history="1">
        <w:r w:rsidR="00567849" w:rsidRPr="0008254F">
          <w:rPr>
            <w:rStyle w:val="Hyperlink"/>
            <w:rFonts w:asciiTheme="minorHAnsi" w:hAnsiTheme="minorHAnsi" w:cstheme="minorHAnsi"/>
            <w:bCs/>
            <w:i/>
            <w:iCs/>
            <w:szCs w:val="24"/>
          </w:rPr>
          <w:t>C24/70</w:t>
        </w:r>
      </w:hyperlink>
      <w:r w:rsidR="00567849" w:rsidRPr="0008254F">
        <w:rPr>
          <w:i/>
          <w:iCs/>
        </w:rPr>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6"/>
      </w:tblGrid>
      <w:tr w:rsidR="00567849" w:rsidRPr="0008254F" w14:paraId="470EABD2" w14:textId="77777777" w:rsidTr="0019166E">
        <w:tc>
          <w:tcPr>
            <w:tcW w:w="9016" w:type="dxa"/>
            <w:tcBorders>
              <w:top w:val="single" w:sz="4" w:space="0" w:color="auto"/>
              <w:bottom w:val="single" w:sz="4" w:space="0" w:color="auto"/>
            </w:tcBorders>
          </w:tcPr>
          <w:p w14:paraId="2B2F0CE6" w14:textId="42AE8C89" w:rsidR="00567849" w:rsidRPr="0008254F" w:rsidRDefault="0003503B" w:rsidP="005C5DC0">
            <w:pPr>
              <w:spacing w:after="120"/>
              <w:rPr>
                <w:rFonts w:asciiTheme="minorHAnsi" w:eastAsia="Calibri" w:hAnsiTheme="minorHAnsi" w:cstheme="minorHAnsi"/>
                <w:kern w:val="2"/>
                <w14:ligatures w14:val="standardContextual"/>
              </w:rPr>
            </w:pPr>
            <w:r w:rsidRPr="0008254F">
              <w:rPr>
                <w:rFonts w:eastAsia="SimSun"/>
              </w:rPr>
              <w:t>La Commission recommande au Conseil de prendre note du rapport figurant dans le Document C24/70 et de demander au Secrétariat de tenir compte des observations et des vues exprimées par les États Membres</w:t>
            </w:r>
            <w:r w:rsidR="00567849" w:rsidRPr="0008254F">
              <w:rPr>
                <w:rFonts w:eastAsia="SimSun"/>
              </w:rPr>
              <w:t>.</w:t>
            </w:r>
          </w:p>
        </w:tc>
      </w:tr>
    </w:tbl>
    <w:p w14:paraId="18E27015" w14:textId="46A04496" w:rsidR="00567849" w:rsidRPr="0008254F" w:rsidRDefault="005C5DC0" w:rsidP="005C5DC0">
      <w:pPr>
        <w:pStyle w:val="Headingb"/>
        <w:spacing w:after="120"/>
        <w:rPr>
          <w:i/>
          <w:iCs/>
        </w:rPr>
      </w:pPr>
      <w:r w:rsidRPr="0008254F">
        <w:rPr>
          <w:i/>
          <w:iCs/>
        </w:rPr>
        <w:t>–</w:t>
      </w:r>
      <w:r w:rsidRPr="0008254F">
        <w:rPr>
          <w:i/>
          <w:iCs/>
        </w:rPr>
        <w:tab/>
      </w:r>
      <w:r w:rsidR="0003503B" w:rsidRPr="0008254F">
        <w:rPr>
          <w:i/>
          <w:iCs/>
        </w:rPr>
        <w:t xml:space="preserve">Rapport d'activité sur la mise en œuvre des Décisions 600 (C17) et 601 (C17) du Conseil </w:t>
      </w:r>
      <w:r w:rsidR="00567849" w:rsidRPr="0008254F">
        <w:rPr>
          <w:i/>
          <w:iCs/>
        </w:rPr>
        <w:t xml:space="preserve">(Document </w:t>
      </w:r>
      <w:hyperlink r:id="rId72" w:history="1">
        <w:r w:rsidR="00567849" w:rsidRPr="0008254F">
          <w:rPr>
            <w:rStyle w:val="Hyperlink"/>
            <w:rFonts w:asciiTheme="minorHAnsi" w:hAnsiTheme="minorHAnsi" w:cstheme="minorHAnsi"/>
            <w:bCs/>
            <w:i/>
            <w:iCs/>
            <w:szCs w:val="24"/>
          </w:rPr>
          <w:t>C24/38</w:t>
        </w:r>
      </w:hyperlink>
      <w:r w:rsidR="00567849" w:rsidRPr="0008254F">
        <w:rPr>
          <w:i/>
          <w:iCs/>
        </w:rPr>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6"/>
      </w:tblGrid>
      <w:tr w:rsidR="00567849" w:rsidRPr="0008254F" w14:paraId="11E9F251" w14:textId="77777777" w:rsidTr="0019166E">
        <w:tc>
          <w:tcPr>
            <w:tcW w:w="9016" w:type="dxa"/>
            <w:tcBorders>
              <w:top w:val="single" w:sz="4" w:space="0" w:color="auto"/>
              <w:bottom w:val="single" w:sz="4" w:space="0" w:color="auto"/>
            </w:tcBorders>
          </w:tcPr>
          <w:p w14:paraId="41F29279" w14:textId="6B084E00" w:rsidR="00567849" w:rsidRPr="0008254F" w:rsidRDefault="0003503B" w:rsidP="005C5DC0">
            <w:pPr>
              <w:spacing w:after="120"/>
              <w:rPr>
                <w:rFonts w:asciiTheme="minorHAnsi" w:eastAsia="Calibri" w:hAnsiTheme="minorHAnsi" w:cstheme="minorHAnsi"/>
                <w:kern w:val="2"/>
                <w14:ligatures w14:val="standardContextual"/>
              </w:rPr>
            </w:pPr>
            <w:r w:rsidRPr="0008254F">
              <w:rPr>
                <w:rFonts w:eastAsia="SimSun"/>
              </w:rPr>
              <w:t>La commission recommande au Conseil de prendre note du rapport figurant dans le Document C24/38</w:t>
            </w:r>
            <w:r w:rsidR="00567849" w:rsidRPr="0008254F">
              <w:rPr>
                <w:rFonts w:eastAsia="SimSun"/>
              </w:rPr>
              <w:t>.</w:t>
            </w:r>
          </w:p>
        </w:tc>
      </w:tr>
    </w:tbl>
    <w:p w14:paraId="5701D668" w14:textId="4FD73A30" w:rsidR="00567849" w:rsidRPr="0008254F" w:rsidRDefault="005C5DC0" w:rsidP="005C5DC0">
      <w:pPr>
        <w:pStyle w:val="Headingb"/>
        <w:spacing w:after="120"/>
        <w:rPr>
          <w:i/>
          <w:iCs/>
        </w:rPr>
      </w:pPr>
      <w:r w:rsidRPr="0008254F">
        <w:rPr>
          <w:i/>
          <w:iCs/>
        </w:rPr>
        <w:t>–</w:t>
      </w:r>
      <w:r w:rsidRPr="0008254F">
        <w:rPr>
          <w:i/>
          <w:iCs/>
        </w:rPr>
        <w:tab/>
      </w:r>
      <w:r w:rsidR="0003503B" w:rsidRPr="0008254F">
        <w:rPr>
          <w:i/>
          <w:iCs/>
        </w:rPr>
        <w:t>Rapport sur l'instauration d'une structure de gouvernance pour la cybersécurité, les</w:t>
      </w:r>
      <w:r w:rsidR="00770851" w:rsidRPr="0008254F">
        <w:rPr>
          <w:i/>
          <w:iCs/>
        </w:rPr>
        <w:t> </w:t>
      </w:r>
      <w:r w:rsidR="0003503B" w:rsidRPr="0008254F">
        <w:rPr>
          <w:i/>
          <w:iCs/>
        </w:rPr>
        <w:t xml:space="preserve">TIC et les données/informations </w:t>
      </w:r>
      <w:r w:rsidR="00567849" w:rsidRPr="0008254F">
        <w:rPr>
          <w:i/>
          <w:iCs/>
        </w:rPr>
        <w:t xml:space="preserve">(Document </w:t>
      </w:r>
      <w:hyperlink r:id="rId73" w:history="1">
        <w:r w:rsidR="00567849" w:rsidRPr="0008254F">
          <w:rPr>
            <w:rStyle w:val="Hyperlink"/>
            <w:rFonts w:asciiTheme="minorHAnsi" w:hAnsiTheme="minorHAnsi" w:cstheme="minorHAnsi"/>
            <w:bCs/>
            <w:i/>
            <w:iCs/>
            <w:szCs w:val="24"/>
          </w:rPr>
          <w:t>C24/54</w:t>
        </w:r>
      </w:hyperlink>
      <w:r w:rsidR="00567849" w:rsidRPr="0008254F">
        <w:rPr>
          <w:i/>
          <w:iCs/>
        </w:rPr>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6"/>
      </w:tblGrid>
      <w:tr w:rsidR="00567849" w:rsidRPr="0008254F" w14:paraId="04112F32" w14:textId="77777777" w:rsidTr="0019166E">
        <w:tc>
          <w:tcPr>
            <w:tcW w:w="9016" w:type="dxa"/>
            <w:tcBorders>
              <w:top w:val="single" w:sz="4" w:space="0" w:color="auto"/>
              <w:bottom w:val="single" w:sz="4" w:space="0" w:color="auto"/>
            </w:tcBorders>
          </w:tcPr>
          <w:p w14:paraId="7C8B2A78" w14:textId="704A2858" w:rsidR="00567849" w:rsidRPr="0008254F" w:rsidRDefault="0003503B" w:rsidP="005C5DC0">
            <w:pPr>
              <w:rPr>
                <w:rFonts w:eastAsia="SimSun"/>
              </w:rPr>
            </w:pPr>
            <w:r w:rsidRPr="0008254F">
              <w:rPr>
                <w:rFonts w:eastAsia="SimSun"/>
              </w:rPr>
              <w:t>La commission recommande au Conseil</w:t>
            </w:r>
            <w:r w:rsidR="00567849" w:rsidRPr="0008254F">
              <w:rPr>
                <w:rFonts w:eastAsia="SimSun"/>
              </w:rPr>
              <w:t>:</w:t>
            </w:r>
          </w:p>
          <w:p w14:paraId="01E943DF" w14:textId="4438A4FE" w:rsidR="00567849" w:rsidRPr="0008254F" w:rsidRDefault="005C5DC0" w:rsidP="005C5DC0">
            <w:pPr>
              <w:pStyle w:val="enumlev1"/>
              <w:rPr>
                <w:rFonts w:eastAsia="Calibri"/>
              </w:rPr>
            </w:pPr>
            <w:r w:rsidRPr="0008254F">
              <w:t>•</w:t>
            </w:r>
            <w:r w:rsidRPr="0008254F">
              <w:rPr>
                <w:rFonts w:asciiTheme="minorHAnsi" w:hAnsiTheme="minorHAnsi" w:cstheme="minorHAnsi"/>
                <w:i/>
                <w:iCs/>
                <w:szCs w:val="24"/>
              </w:rPr>
              <w:tab/>
            </w:r>
            <w:r w:rsidR="0003503B" w:rsidRPr="0008254F">
              <w:rPr>
                <w:rFonts w:eastAsia="Calibri"/>
              </w:rPr>
              <w:t>de prendre note du rapport figurant dans le Document C24/54; et</w:t>
            </w:r>
          </w:p>
          <w:p w14:paraId="6CDD624E" w14:textId="3C5F221F" w:rsidR="00567849" w:rsidRPr="0008254F" w:rsidRDefault="005C5DC0" w:rsidP="005C5DC0">
            <w:pPr>
              <w:pStyle w:val="enumlev1"/>
              <w:spacing w:after="120"/>
              <w:rPr>
                <w:rFonts w:asciiTheme="minorHAnsi" w:eastAsia="Calibri" w:hAnsiTheme="minorHAnsi" w:cstheme="minorHAnsi"/>
              </w:rPr>
            </w:pPr>
            <w:r w:rsidRPr="0008254F">
              <w:t>•</w:t>
            </w:r>
            <w:r w:rsidRPr="0008254F">
              <w:rPr>
                <w:rFonts w:asciiTheme="minorHAnsi" w:hAnsiTheme="minorHAnsi" w:cstheme="minorHAnsi"/>
                <w:i/>
                <w:iCs/>
                <w:szCs w:val="24"/>
              </w:rPr>
              <w:tab/>
            </w:r>
            <w:r w:rsidR="0003503B" w:rsidRPr="0008254F">
              <w:rPr>
                <w:rFonts w:eastAsia="Calibri"/>
              </w:rPr>
              <w:t>de charger la Secrétaire générale de lui faire rapport régulièrement ainsi qu'au</w:t>
            </w:r>
            <w:r w:rsidR="00860407" w:rsidRPr="0008254F">
              <w:rPr>
                <w:rFonts w:eastAsia="Calibri"/>
              </w:rPr>
              <w:t> </w:t>
            </w:r>
            <w:r w:rsidR="0003503B" w:rsidRPr="0008254F">
              <w:rPr>
                <w:rFonts w:eastAsia="Calibri"/>
              </w:rPr>
              <w:t>GTC</w:t>
            </w:r>
            <w:r w:rsidR="00860407" w:rsidRPr="0008254F">
              <w:rPr>
                <w:rFonts w:eastAsia="Calibri"/>
              </w:rPr>
              <w:noBreakHyphen/>
            </w:r>
            <w:r w:rsidR="0003503B" w:rsidRPr="0008254F">
              <w:rPr>
                <w:rFonts w:eastAsia="Calibri"/>
              </w:rPr>
              <w:t>FHR sur la mise en œuvre de la stratégie en matière de technologies de</w:t>
            </w:r>
            <w:r w:rsidR="00860407" w:rsidRPr="0008254F">
              <w:rPr>
                <w:rFonts w:eastAsia="Calibri"/>
              </w:rPr>
              <w:t> </w:t>
            </w:r>
            <w:r w:rsidR="0003503B" w:rsidRPr="0008254F">
              <w:rPr>
                <w:rFonts w:eastAsia="Calibri"/>
              </w:rPr>
              <w:t>l'information</w:t>
            </w:r>
            <w:r w:rsidR="00567849" w:rsidRPr="0008254F">
              <w:rPr>
                <w:rFonts w:eastAsia="Calibri"/>
              </w:rPr>
              <w:t>.</w:t>
            </w:r>
          </w:p>
        </w:tc>
      </w:tr>
    </w:tbl>
    <w:p w14:paraId="224C4817" w14:textId="4E279899" w:rsidR="00567849" w:rsidRPr="0008254F" w:rsidRDefault="005C5DC0" w:rsidP="005C5DC0">
      <w:pPr>
        <w:pStyle w:val="Headingb"/>
        <w:spacing w:after="120"/>
        <w:rPr>
          <w:i/>
          <w:iCs/>
        </w:rPr>
      </w:pPr>
      <w:r w:rsidRPr="0008254F">
        <w:rPr>
          <w:i/>
          <w:iCs/>
        </w:rPr>
        <w:t>–</w:t>
      </w:r>
      <w:r w:rsidRPr="0008254F">
        <w:rPr>
          <w:i/>
          <w:iCs/>
        </w:rPr>
        <w:tab/>
      </w:r>
      <w:r w:rsidR="007F4864" w:rsidRPr="0008254F">
        <w:rPr>
          <w:i/>
          <w:iCs/>
        </w:rPr>
        <w:t xml:space="preserve">Participation à distance conformément à la Résolution 167 (Rév. Bucarest, 2022) de la Conférence de plénipotentiaires </w:t>
      </w:r>
      <w:r w:rsidR="00567849" w:rsidRPr="0008254F">
        <w:rPr>
          <w:i/>
          <w:iCs/>
        </w:rPr>
        <w:t xml:space="preserve">(Documents </w:t>
      </w:r>
      <w:hyperlink r:id="rId74" w:history="1">
        <w:r w:rsidR="00567849" w:rsidRPr="0008254F">
          <w:rPr>
            <w:rStyle w:val="Hyperlink"/>
            <w:rFonts w:asciiTheme="minorHAnsi" w:hAnsiTheme="minorHAnsi" w:cstheme="minorHAnsi"/>
            <w:bCs/>
            <w:i/>
            <w:iCs/>
            <w:szCs w:val="24"/>
          </w:rPr>
          <w:t>C24/61</w:t>
        </w:r>
      </w:hyperlink>
      <w:r w:rsidR="00567849" w:rsidRPr="0008254F">
        <w:rPr>
          <w:i/>
          <w:iCs/>
        </w:rPr>
        <w:t xml:space="preserve"> </w:t>
      </w:r>
      <w:r w:rsidR="007F4864" w:rsidRPr="0008254F">
        <w:rPr>
          <w:i/>
          <w:iCs/>
        </w:rPr>
        <w:t>et</w:t>
      </w:r>
      <w:r w:rsidR="00567849" w:rsidRPr="0008254F">
        <w:rPr>
          <w:i/>
          <w:iCs/>
        </w:rPr>
        <w:t xml:space="preserve"> </w:t>
      </w:r>
      <w:hyperlink r:id="rId75" w:history="1">
        <w:r w:rsidR="00567849" w:rsidRPr="0008254F">
          <w:rPr>
            <w:rStyle w:val="Hyperlink"/>
            <w:rFonts w:asciiTheme="minorHAnsi" w:hAnsiTheme="minorHAnsi" w:cstheme="minorHAnsi"/>
            <w:bCs/>
            <w:i/>
            <w:iCs/>
            <w:szCs w:val="24"/>
          </w:rPr>
          <w:t>C24/97</w:t>
        </w:r>
      </w:hyperlink>
      <w:r w:rsidR="00567849" w:rsidRPr="0008254F">
        <w:rPr>
          <w:i/>
          <w:iCs/>
        </w:rPr>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6"/>
      </w:tblGrid>
      <w:tr w:rsidR="00567849" w:rsidRPr="0008254F" w14:paraId="479D0790" w14:textId="77777777" w:rsidTr="0019166E">
        <w:tc>
          <w:tcPr>
            <w:tcW w:w="9016" w:type="dxa"/>
            <w:tcBorders>
              <w:top w:val="single" w:sz="4" w:space="0" w:color="auto"/>
              <w:bottom w:val="single" w:sz="4" w:space="0" w:color="auto"/>
            </w:tcBorders>
          </w:tcPr>
          <w:p w14:paraId="6376534D" w14:textId="2DD9DEC5" w:rsidR="00567849" w:rsidRPr="0008254F" w:rsidRDefault="007F4864" w:rsidP="005C5DC0">
            <w:pPr>
              <w:rPr>
                <w:rFonts w:eastAsia="SimSun"/>
              </w:rPr>
            </w:pPr>
            <w:r w:rsidRPr="0008254F">
              <w:rPr>
                <w:rFonts w:eastAsia="SimSun"/>
              </w:rPr>
              <w:t>La commission recommande au Conseil</w:t>
            </w:r>
            <w:r w:rsidR="00567849" w:rsidRPr="0008254F">
              <w:rPr>
                <w:rFonts w:eastAsia="SimSun"/>
              </w:rPr>
              <w:t>:</w:t>
            </w:r>
          </w:p>
          <w:p w14:paraId="4D668C9C" w14:textId="4B401488" w:rsidR="00567849" w:rsidRPr="0008254F" w:rsidRDefault="005C5DC0" w:rsidP="005C5DC0">
            <w:pPr>
              <w:pStyle w:val="enumlev1"/>
              <w:rPr>
                <w:rFonts w:eastAsia="Calibri"/>
              </w:rPr>
            </w:pPr>
            <w:r w:rsidRPr="0008254F">
              <w:t>•</w:t>
            </w:r>
            <w:r w:rsidRPr="0008254F">
              <w:rPr>
                <w:rFonts w:asciiTheme="minorHAnsi" w:hAnsiTheme="minorHAnsi" w:cstheme="minorHAnsi"/>
                <w:i/>
                <w:iCs/>
                <w:szCs w:val="24"/>
              </w:rPr>
              <w:tab/>
            </w:r>
            <w:r w:rsidR="007F4864" w:rsidRPr="0008254F">
              <w:rPr>
                <w:rFonts w:eastAsia="Calibri"/>
              </w:rPr>
              <w:t>de prendre note du Document C24/61</w:t>
            </w:r>
            <w:r w:rsidR="00567849" w:rsidRPr="0008254F">
              <w:rPr>
                <w:rFonts w:eastAsia="Calibri"/>
              </w:rPr>
              <w:t xml:space="preserve">; </w:t>
            </w:r>
            <w:r w:rsidR="007F4864" w:rsidRPr="0008254F">
              <w:rPr>
                <w:rFonts w:eastAsia="Calibri"/>
              </w:rPr>
              <w:t>et</w:t>
            </w:r>
          </w:p>
          <w:p w14:paraId="722D1C21" w14:textId="0D89C448" w:rsidR="00567849" w:rsidRPr="0008254F" w:rsidRDefault="005C5DC0" w:rsidP="005C5DC0">
            <w:pPr>
              <w:pStyle w:val="enumlev1"/>
              <w:spacing w:after="120"/>
              <w:rPr>
                <w:rFonts w:asciiTheme="minorHAnsi" w:eastAsia="Calibri" w:hAnsiTheme="minorHAnsi" w:cstheme="minorHAnsi"/>
              </w:rPr>
            </w:pPr>
            <w:r w:rsidRPr="0008254F">
              <w:t>•</w:t>
            </w:r>
            <w:r w:rsidRPr="0008254F">
              <w:rPr>
                <w:rFonts w:asciiTheme="minorHAnsi" w:hAnsiTheme="minorHAnsi" w:cstheme="minorHAnsi"/>
                <w:i/>
                <w:iCs/>
                <w:szCs w:val="24"/>
              </w:rPr>
              <w:tab/>
            </w:r>
            <w:r w:rsidR="007F4864" w:rsidRPr="0008254F">
              <w:rPr>
                <w:rFonts w:eastAsia="Calibri"/>
              </w:rPr>
              <w:t>de charger la Secrétaire générale d'élaborer un projet de lignes directrices pour la gestion des réunions entièrement virtuelles et des réunions physiques avec participation à distance et de le soumettre pour examen au GTC</w:t>
            </w:r>
            <w:r w:rsidR="00860407" w:rsidRPr="0008254F">
              <w:rPr>
                <w:rFonts w:eastAsia="Calibri"/>
              </w:rPr>
              <w:t>-</w:t>
            </w:r>
            <w:r w:rsidR="007F4864" w:rsidRPr="0008254F">
              <w:rPr>
                <w:rFonts w:eastAsia="Calibri"/>
              </w:rPr>
              <w:t>FHR; et de charger le GTC-FHR de créer un groupe de travail par correspondance chargé de l'examen du projet soumis par le Secrétariat et d'élaborer le mandat de ce groupe</w:t>
            </w:r>
            <w:r w:rsidR="00567849" w:rsidRPr="0008254F">
              <w:rPr>
                <w:rFonts w:eastAsia="Calibri"/>
              </w:rPr>
              <w:t>.</w:t>
            </w:r>
          </w:p>
        </w:tc>
      </w:tr>
    </w:tbl>
    <w:p w14:paraId="6E37F69A" w14:textId="49DD8AFF" w:rsidR="00567849" w:rsidRPr="0008254F" w:rsidRDefault="00567849" w:rsidP="002360A6">
      <w:pPr>
        <w:pStyle w:val="Normalaftertitle"/>
      </w:pPr>
      <w:r w:rsidRPr="0008254F">
        <w:t>1.6</w:t>
      </w:r>
      <w:r w:rsidRPr="0008254F">
        <w:tab/>
      </w:r>
      <w:r w:rsidR="007F4864" w:rsidRPr="0008254F">
        <w:t xml:space="preserve">En approuvant les recommandations ci-dessus, le Conseil </w:t>
      </w:r>
      <w:r w:rsidR="007F4864" w:rsidRPr="0008254F">
        <w:rPr>
          <w:b/>
          <w:bCs/>
        </w:rPr>
        <w:t>adopte</w:t>
      </w:r>
      <w:r w:rsidR="007F4864" w:rsidRPr="0008254F">
        <w:t xml:space="preserve"> </w:t>
      </w:r>
      <w:r w:rsidR="00B13494" w:rsidRPr="0008254F">
        <w:t>donc</w:t>
      </w:r>
      <w:r w:rsidR="007F4864" w:rsidRPr="0008254F">
        <w:t xml:space="preserve"> les textes suivants figurant dans le Document C24/109</w:t>
      </w:r>
      <w:r w:rsidRPr="0008254F">
        <w:t>:</w:t>
      </w:r>
    </w:p>
    <w:p w14:paraId="73FC633C" w14:textId="21031EC0" w:rsidR="00567849" w:rsidRPr="0008254F" w:rsidRDefault="00567849" w:rsidP="0025286A">
      <w:pPr>
        <w:tabs>
          <w:tab w:val="clear" w:pos="567"/>
          <w:tab w:val="clear" w:pos="1134"/>
          <w:tab w:val="clear" w:pos="1701"/>
        </w:tabs>
        <w:ind w:left="1190" w:hanging="1190"/>
      </w:pPr>
      <w:r w:rsidRPr="0008254F">
        <w:t>Annex</w:t>
      </w:r>
      <w:r w:rsidR="007F4864" w:rsidRPr="0008254F">
        <w:t>e</w:t>
      </w:r>
      <w:r w:rsidRPr="0008254F">
        <w:t xml:space="preserve"> A – </w:t>
      </w:r>
      <w:r w:rsidRPr="0008254F">
        <w:tab/>
      </w:r>
      <w:r w:rsidR="007F4864" w:rsidRPr="0008254F">
        <w:t xml:space="preserve">Projet de Résolution sur les </w:t>
      </w:r>
      <w:r w:rsidRPr="0008254F">
        <w:t xml:space="preserve">conditions </w:t>
      </w:r>
      <w:r w:rsidR="007F4864" w:rsidRPr="0008254F">
        <w:t>d'emploi des fonctionnaires élus de l'UIT</w:t>
      </w:r>
    </w:p>
    <w:p w14:paraId="3477E737" w14:textId="1A81DBFC" w:rsidR="00567849" w:rsidRPr="0008254F" w:rsidRDefault="00567849" w:rsidP="0025286A">
      <w:pPr>
        <w:tabs>
          <w:tab w:val="clear" w:pos="567"/>
          <w:tab w:val="clear" w:pos="1134"/>
          <w:tab w:val="clear" w:pos="1701"/>
        </w:tabs>
        <w:ind w:left="1190" w:hanging="1190"/>
      </w:pPr>
      <w:bookmarkStart w:id="6" w:name="_Hlk169820353"/>
      <w:r w:rsidRPr="0008254F">
        <w:t>Annex</w:t>
      </w:r>
      <w:r w:rsidR="007F4864" w:rsidRPr="0008254F">
        <w:t>e</w:t>
      </w:r>
      <w:r w:rsidRPr="0008254F">
        <w:t xml:space="preserve"> B – </w:t>
      </w:r>
      <w:r w:rsidRPr="0008254F">
        <w:tab/>
      </w:r>
      <w:r w:rsidR="007F4864" w:rsidRPr="0008254F">
        <w:t xml:space="preserve">Projet de nouvelle Décision sur la description </w:t>
      </w:r>
      <w:bookmarkEnd w:id="6"/>
      <w:r w:rsidR="007F4864" w:rsidRPr="0008254F">
        <w:t>du poste (grade D1) de Chef du Département de l'engagement stratégique du Bureau de la normalisation des télécommunications</w:t>
      </w:r>
    </w:p>
    <w:p w14:paraId="76EDEA8A" w14:textId="1705444E" w:rsidR="00567849" w:rsidRPr="0008254F" w:rsidRDefault="00567849" w:rsidP="0025286A">
      <w:pPr>
        <w:tabs>
          <w:tab w:val="clear" w:pos="567"/>
          <w:tab w:val="clear" w:pos="1134"/>
          <w:tab w:val="clear" w:pos="1701"/>
        </w:tabs>
        <w:ind w:left="1190" w:hanging="1190"/>
      </w:pPr>
      <w:r w:rsidRPr="0008254F">
        <w:lastRenderedPageBreak/>
        <w:t>Annex</w:t>
      </w:r>
      <w:r w:rsidR="007F4864" w:rsidRPr="0008254F">
        <w:t>e</w:t>
      </w:r>
      <w:r w:rsidRPr="0008254F">
        <w:t xml:space="preserve"> C – </w:t>
      </w:r>
      <w:r w:rsidRPr="0008254F">
        <w:tab/>
      </w:r>
      <w:r w:rsidR="007F4864" w:rsidRPr="0008254F">
        <w:t xml:space="preserve">Projet de nouvelle Décision sur la passation </w:t>
      </w:r>
      <w:r w:rsidR="003E28DF" w:rsidRPr="0008254F">
        <w:t>par pertes et profits d'intérêts moratoires et de créances irrécupérables</w:t>
      </w:r>
    </w:p>
    <w:p w14:paraId="204BADDD" w14:textId="2E2744C7" w:rsidR="00567849" w:rsidRPr="0008254F" w:rsidRDefault="00567849" w:rsidP="0025286A">
      <w:pPr>
        <w:tabs>
          <w:tab w:val="clear" w:pos="567"/>
          <w:tab w:val="clear" w:pos="1134"/>
          <w:tab w:val="clear" w:pos="1701"/>
        </w:tabs>
        <w:ind w:left="1190" w:hanging="1190"/>
      </w:pPr>
      <w:r w:rsidRPr="0008254F">
        <w:t>Annex</w:t>
      </w:r>
      <w:r w:rsidR="0025286A" w:rsidRPr="0008254F">
        <w:t>e</w:t>
      </w:r>
      <w:r w:rsidRPr="0008254F">
        <w:t xml:space="preserve"> D – </w:t>
      </w:r>
      <w:r w:rsidRPr="0008254F">
        <w:tab/>
      </w:r>
      <w:r w:rsidR="003E28DF" w:rsidRPr="0008254F">
        <w:t>Lignes directrices relatives aux contribution en nature</w:t>
      </w:r>
    </w:p>
    <w:p w14:paraId="1259C956" w14:textId="33865B1D" w:rsidR="00567849" w:rsidRPr="0008254F" w:rsidRDefault="00567849" w:rsidP="0025286A">
      <w:pPr>
        <w:tabs>
          <w:tab w:val="clear" w:pos="567"/>
          <w:tab w:val="clear" w:pos="1134"/>
          <w:tab w:val="clear" w:pos="1701"/>
        </w:tabs>
        <w:ind w:left="1190" w:hanging="1190"/>
      </w:pPr>
      <w:r w:rsidRPr="0008254F">
        <w:t>Annex</w:t>
      </w:r>
      <w:r w:rsidR="0025286A" w:rsidRPr="0008254F">
        <w:t>e</w:t>
      </w:r>
      <w:r w:rsidRPr="0008254F">
        <w:t xml:space="preserve"> E – </w:t>
      </w:r>
      <w:r w:rsidRPr="0008254F">
        <w:tab/>
      </w:r>
      <w:r w:rsidR="003E28DF" w:rsidRPr="0008254F">
        <w:t>Règles financières et Règlement financier</w:t>
      </w:r>
    </w:p>
    <w:p w14:paraId="198D97C0" w14:textId="446232B0" w:rsidR="00567849" w:rsidRPr="0008254F" w:rsidRDefault="00567849" w:rsidP="0025286A">
      <w:pPr>
        <w:tabs>
          <w:tab w:val="clear" w:pos="567"/>
          <w:tab w:val="clear" w:pos="1134"/>
          <w:tab w:val="clear" w:pos="1701"/>
        </w:tabs>
        <w:ind w:left="1190" w:hanging="1190"/>
      </w:pPr>
      <w:r w:rsidRPr="0008254F">
        <w:t>Annex</w:t>
      </w:r>
      <w:r w:rsidR="0025286A" w:rsidRPr="0008254F">
        <w:t>e</w:t>
      </w:r>
      <w:r w:rsidRPr="0008254F">
        <w:t xml:space="preserve"> F – </w:t>
      </w:r>
      <w:r w:rsidRPr="0008254F">
        <w:tab/>
      </w:r>
      <w:r w:rsidR="003E28DF" w:rsidRPr="0008254F">
        <w:rPr>
          <w:spacing w:val="-4"/>
        </w:rPr>
        <w:t>Projet de révision de la</w:t>
      </w:r>
      <w:r w:rsidRPr="0008254F">
        <w:rPr>
          <w:spacing w:val="-4"/>
        </w:rPr>
        <w:t xml:space="preserve"> R</w:t>
      </w:r>
      <w:r w:rsidR="003E28DF" w:rsidRPr="0008254F">
        <w:rPr>
          <w:spacing w:val="-4"/>
        </w:rPr>
        <w:t>é</w:t>
      </w:r>
      <w:r w:rsidRPr="0008254F">
        <w:rPr>
          <w:spacing w:val="-4"/>
        </w:rPr>
        <w:t xml:space="preserve">solution 1338 (C11, </w:t>
      </w:r>
      <w:r w:rsidR="003E28DF" w:rsidRPr="0008254F">
        <w:rPr>
          <w:spacing w:val="-4"/>
        </w:rPr>
        <w:t xml:space="preserve">dernière modification </w:t>
      </w:r>
      <w:r w:rsidRPr="0008254F">
        <w:rPr>
          <w:spacing w:val="-4"/>
        </w:rPr>
        <w:t xml:space="preserve">C24) </w:t>
      </w:r>
      <w:r w:rsidR="003E28DF" w:rsidRPr="0008254F">
        <w:rPr>
          <w:spacing w:val="-4"/>
        </w:rPr>
        <w:t>relative au Fonds pour le développement des technologies de l'information et de la communication (FDTIC</w:t>
      </w:r>
      <w:r w:rsidRPr="0008254F">
        <w:t>)</w:t>
      </w:r>
    </w:p>
    <w:p w14:paraId="68035A5E" w14:textId="063F6AE6" w:rsidR="00567849" w:rsidRPr="0008254F" w:rsidRDefault="00567849" w:rsidP="0025286A">
      <w:pPr>
        <w:tabs>
          <w:tab w:val="clear" w:pos="567"/>
          <w:tab w:val="clear" w:pos="1134"/>
          <w:tab w:val="clear" w:pos="1701"/>
        </w:tabs>
        <w:ind w:left="1190" w:hanging="1190"/>
      </w:pPr>
      <w:r w:rsidRPr="0008254F">
        <w:t>Annex</w:t>
      </w:r>
      <w:r w:rsidR="0025286A" w:rsidRPr="0008254F">
        <w:t>e</w:t>
      </w:r>
      <w:r w:rsidRPr="0008254F">
        <w:t xml:space="preserve"> G – </w:t>
      </w:r>
      <w:r w:rsidRPr="0008254F">
        <w:tab/>
      </w:r>
      <w:r w:rsidR="003E28DF" w:rsidRPr="0008254F">
        <w:t>Charte du contrôle interne de l'UIT</w:t>
      </w:r>
    </w:p>
    <w:p w14:paraId="63AEBC23" w14:textId="49F4AEAE" w:rsidR="00567849" w:rsidRPr="0008254F" w:rsidRDefault="00567849" w:rsidP="0025286A">
      <w:pPr>
        <w:tabs>
          <w:tab w:val="clear" w:pos="567"/>
          <w:tab w:val="clear" w:pos="1134"/>
          <w:tab w:val="clear" w:pos="1701"/>
        </w:tabs>
        <w:ind w:left="1190" w:hanging="1190"/>
      </w:pPr>
      <w:r w:rsidRPr="0008254F">
        <w:t>Annex</w:t>
      </w:r>
      <w:r w:rsidR="0025286A" w:rsidRPr="0008254F">
        <w:t>e</w:t>
      </w:r>
      <w:r w:rsidRPr="0008254F">
        <w:t xml:space="preserve"> I – </w:t>
      </w:r>
      <w:r w:rsidRPr="0008254F">
        <w:tab/>
      </w:r>
      <w:r w:rsidR="003E28DF" w:rsidRPr="0008254F">
        <w:t>Projet de Décision sur le nouveau projet réévalué pour les locaux du siège de l'UIT</w:t>
      </w:r>
    </w:p>
    <w:p w14:paraId="41746B73" w14:textId="4ADE1ABC" w:rsidR="00567849" w:rsidRPr="0008254F" w:rsidRDefault="00567849" w:rsidP="0025286A">
      <w:pPr>
        <w:tabs>
          <w:tab w:val="clear" w:pos="567"/>
          <w:tab w:val="clear" w:pos="1134"/>
          <w:tab w:val="clear" w:pos="1701"/>
        </w:tabs>
        <w:ind w:left="1190" w:hanging="1190"/>
      </w:pPr>
      <w:r w:rsidRPr="0008254F">
        <w:t>Annex</w:t>
      </w:r>
      <w:r w:rsidR="0025286A" w:rsidRPr="0008254F">
        <w:t>e</w:t>
      </w:r>
      <w:r w:rsidRPr="0008254F">
        <w:t xml:space="preserve"> J – </w:t>
      </w:r>
      <w:r w:rsidRPr="0008254F">
        <w:tab/>
      </w:r>
      <w:r w:rsidR="003E28DF" w:rsidRPr="0008254F">
        <w:t>Projet de Résolution sur le rapport de gestion financière pour l'exercice 2022</w:t>
      </w:r>
    </w:p>
    <w:p w14:paraId="2A4AE15D" w14:textId="45B469C0" w:rsidR="00567849" w:rsidRPr="0008254F" w:rsidRDefault="00567849" w:rsidP="0025286A">
      <w:pPr>
        <w:tabs>
          <w:tab w:val="clear" w:pos="567"/>
          <w:tab w:val="clear" w:pos="1134"/>
          <w:tab w:val="clear" w:pos="1701"/>
        </w:tabs>
        <w:ind w:left="1190" w:hanging="1190"/>
      </w:pPr>
      <w:r w:rsidRPr="0008254F">
        <w:t>Annex</w:t>
      </w:r>
      <w:r w:rsidR="0025286A" w:rsidRPr="0008254F">
        <w:t>e</w:t>
      </w:r>
      <w:r w:rsidRPr="0008254F">
        <w:t xml:space="preserve"> K – </w:t>
      </w:r>
      <w:r w:rsidRPr="0008254F">
        <w:tab/>
      </w:r>
      <w:r w:rsidR="003E28DF" w:rsidRPr="0008254F">
        <w:t>Projet de Résolution sur l'affectation des économies réalisées dans le cadre de l'exécution du budget 2023 et affectation du Fonds de roulement des expositions</w:t>
      </w:r>
    </w:p>
    <w:p w14:paraId="15B4644F" w14:textId="3549C138" w:rsidR="00567849" w:rsidRPr="0008254F" w:rsidRDefault="00567849" w:rsidP="0025286A">
      <w:pPr>
        <w:tabs>
          <w:tab w:val="clear" w:pos="567"/>
          <w:tab w:val="clear" w:pos="1134"/>
          <w:tab w:val="clear" w:pos="1701"/>
        </w:tabs>
        <w:ind w:left="1190" w:hanging="1190"/>
      </w:pPr>
      <w:r w:rsidRPr="0008254F">
        <w:t>Annex</w:t>
      </w:r>
      <w:r w:rsidR="0025286A" w:rsidRPr="0008254F">
        <w:t>e</w:t>
      </w:r>
      <w:r w:rsidRPr="0008254F">
        <w:t xml:space="preserve"> L – </w:t>
      </w:r>
      <w:r w:rsidRPr="0008254F">
        <w:tab/>
        <w:t>D</w:t>
      </w:r>
      <w:r w:rsidR="003E28DF" w:rsidRPr="0008254F">
        <w:t>é</w:t>
      </w:r>
      <w:r w:rsidRPr="0008254F">
        <w:t>cision 48</w:t>
      </w:r>
      <w:r w:rsidR="003E28DF" w:rsidRPr="0008254F">
        <w:t>2</w:t>
      </w:r>
      <w:r w:rsidRPr="0008254F">
        <w:t xml:space="preserve"> (</w:t>
      </w:r>
      <w:r w:rsidR="003E28DF" w:rsidRPr="0008254F">
        <w:t>modifiée en</w:t>
      </w:r>
      <w:r w:rsidRPr="0008254F">
        <w:t xml:space="preserve"> 2024) </w:t>
      </w:r>
      <w:r w:rsidR="003E28DF" w:rsidRPr="0008254F">
        <w:t>sur la mise en œuvre du recouvrement des coûts pour le traitement des fiches de notification des réseaux à satellite</w:t>
      </w:r>
      <w:r w:rsidRPr="0008254F">
        <w:t>.</w:t>
      </w:r>
    </w:p>
    <w:p w14:paraId="4478F507" w14:textId="23C6016F" w:rsidR="00567849" w:rsidRPr="0008254F" w:rsidRDefault="00567849" w:rsidP="002360A6">
      <w:r w:rsidRPr="0008254F">
        <w:t>1.7</w:t>
      </w:r>
      <w:r w:rsidRPr="0008254F">
        <w:tab/>
      </w:r>
      <w:r w:rsidR="003E28DF" w:rsidRPr="0008254F">
        <w:t xml:space="preserve">Le rapport du Président de la Commission permanente de l'administration et de la gestion </w:t>
      </w:r>
      <w:r w:rsidRPr="0008254F">
        <w:t xml:space="preserve">(Document C24/109), </w:t>
      </w:r>
      <w:r w:rsidR="003E28DF" w:rsidRPr="0008254F">
        <w:t xml:space="preserve">dans son ensemble et tel que modifié, est </w:t>
      </w:r>
      <w:r w:rsidR="003E28DF" w:rsidRPr="0008254F">
        <w:rPr>
          <w:b/>
          <w:bCs/>
        </w:rPr>
        <w:t>approuvé</w:t>
      </w:r>
      <w:r w:rsidRPr="0008254F">
        <w:t>.</w:t>
      </w:r>
    </w:p>
    <w:p w14:paraId="6F5CEE93" w14:textId="4488FC60" w:rsidR="00567849" w:rsidRPr="0008254F" w:rsidRDefault="00567849" w:rsidP="002360A6">
      <w:pPr>
        <w:pStyle w:val="Heading1"/>
      </w:pPr>
      <w:r w:rsidRPr="0008254F">
        <w:t>2</w:t>
      </w:r>
      <w:r w:rsidRPr="0008254F">
        <w:tab/>
      </w:r>
      <w:r w:rsidR="00CC1F5D" w:rsidRPr="0008254F">
        <w:t xml:space="preserve">État d'avancement des préparatifs en vue du Sommet sur la jeunesse </w:t>
      </w:r>
      <w:r w:rsidRPr="0008254F">
        <w:t>(Document </w:t>
      </w:r>
      <w:hyperlink r:id="rId76" w:history="1">
        <w:r w:rsidRPr="0008254F">
          <w:rPr>
            <w:rStyle w:val="Hyperlink"/>
            <w:bCs/>
            <w:szCs w:val="28"/>
          </w:rPr>
          <w:t>C24/32</w:t>
        </w:r>
      </w:hyperlink>
      <w:r w:rsidRPr="0008254F">
        <w:t>)</w:t>
      </w:r>
    </w:p>
    <w:p w14:paraId="5B395FDB" w14:textId="57BF3B5B" w:rsidR="00567849" w:rsidRPr="0008254F" w:rsidRDefault="00567849" w:rsidP="002360A6">
      <w:r w:rsidRPr="0008254F">
        <w:t>2.1</w:t>
      </w:r>
      <w:r w:rsidRPr="0008254F">
        <w:tab/>
      </w:r>
      <w:r w:rsidR="005C3217" w:rsidRPr="0008254F">
        <w:t xml:space="preserve">Un représentant du BDT présente le Document C24/32, qui </w:t>
      </w:r>
      <w:r w:rsidR="008F0DA3" w:rsidRPr="0008254F">
        <w:t>met en lumière l</w:t>
      </w:r>
      <w:r w:rsidR="005C3217" w:rsidRPr="0008254F">
        <w:t xml:space="preserve">es progrès accomplis </w:t>
      </w:r>
      <w:r w:rsidR="008F0DA3" w:rsidRPr="0008254F">
        <w:t>en ce qui concerne</w:t>
      </w:r>
      <w:r w:rsidR="005C3217" w:rsidRPr="0008254F">
        <w:t xml:space="preserve"> l'organisation du Sommet mondial sur la jeunesse de l'UIT de</w:t>
      </w:r>
      <w:r w:rsidR="002360A6" w:rsidRPr="0008254F">
        <w:t> </w:t>
      </w:r>
      <w:r w:rsidR="005C3217" w:rsidRPr="0008254F">
        <w:t>2024</w:t>
      </w:r>
      <w:r w:rsidR="008F0DA3" w:rsidRPr="0008254F">
        <w:t xml:space="preserve"> (GYS-24)</w:t>
      </w:r>
      <w:r w:rsidR="005C3217" w:rsidRPr="0008254F">
        <w:t xml:space="preserve">. Ce sommet se tiendra en principe du 11 au 13 décembre 2024 et aura pour thème "Faire entendre la voix des jeunes dans le domaine des TIC en vue de bâtir un avenir connecté". L'objectif est avant tout d'identifier les principaux besoins et les principales exigences liés au numérique à satisfaire pour faire en sorte que tous les jeunes puissent accéder aux TIC et utiliser ces technologies de manière égale et équitable et soient en mesure de participer activement à la société et </w:t>
      </w:r>
      <w:r w:rsidR="008F0DA3" w:rsidRPr="0008254F">
        <w:t xml:space="preserve">à </w:t>
      </w:r>
      <w:r w:rsidR="005C3217" w:rsidRPr="0008254F">
        <w:t>l'économique numériques mondiales. Pour ce faire, il est prévu que le Sommet élabore un document final axé sur le rôle de la jeunesse</w:t>
      </w:r>
      <w:r w:rsidR="00913849" w:rsidRPr="0008254F">
        <w:t xml:space="preserve"> dans le paysage numérique mondial </w:t>
      </w:r>
      <w:r w:rsidR="008F0DA3" w:rsidRPr="0008254F">
        <w:t>en vue d'</w:t>
      </w:r>
      <w:r w:rsidR="00913849" w:rsidRPr="0008254F">
        <w:t xml:space="preserve">autonomiser les jeunes générations du monde entier. Le Sommet </w:t>
      </w:r>
      <w:r w:rsidR="008F0DA3" w:rsidRPr="0008254F">
        <w:t>bénéficiera</w:t>
      </w:r>
      <w:r w:rsidR="00913849" w:rsidRPr="0008254F">
        <w:t xml:space="preserve"> en outre de la participation de la toute nouvelle cohorte de représentants des groupes pour la jeunesse de l'initiative Generation Connect. Le Document C24/32 comprend deux annexes, dans lesquelles figurent le projet d'ordre du jour et un programme plus détaillé. Un document analogue a été soumis par le BDT au Groupe consultatif pour le développement des télécommunications (GCDT), lequel a décidé</w:t>
      </w:r>
      <w:r w:rsidR="008F0DA3" w:rsidRPr="0008254F">
        <w:t xml:space="preserve">, à l'issue des discussions, </w:t>
      </w:r>
      <w:r w:rsidR="00913849" w:rsidRPr="0008254F">
        <w:t>de créer un groupe de coordination informel pour formuler de nouvelles recommandations à l'intention du Directeur du BDT sur le contenu et le programme de la manifestation.</w:t>
      </w:r>
    </w:p>
    <w:p w14:paraId="431F4879" w14:textId="7DDD7706" w:rsidR="00567849" w:rsidRPr="0008254F" w:rsidRDefault="00567849" w:rsidP="002360A6">
      <w:r w:rsidRPr="0008254F">
        <w:t>2.2</w:t>
      </w:r>
      <w:r w:rsidRPr="0008254F">
        <w:tab/>
      </w:r>
      <w:r w:rsidR="00913849" w:rsidRPr="0008254F">
        <w:t xml:space="preserve">Un conseiller fait savoir qu'il espère que l'édition 2024 du Sommet connaîtra le même succès que l'édition précédente tenue en 2022 à Kigali et insiste sur la nécessité d'envoyer un message clair aux jeunes et de veiller à ce que leurs voix soient entendues de manière </w:t>
      </w:r>
      <w:r w:rsidR="00913849" w:rsidRPr="0008254F">
        <w:lastRenderedPageBreak/>
        <w:t>ouverte, transparente et inclusive, sans limites ou restrictions d'aucune sorte. Un</w:t>
      </w:r>
      <w:r w:rsidR="0025286A" w:rsidRPr="0008254F">
        <w:t xml:space="preserve"> </w:t>
      </w:r>
      <w:r w:rsidR="00913849" w:rsidRPr="0008254F">
        <w:t>autre</w:t>
      </w:r>
      <w:r w:rsidR="002360A6" w:rsidRPr="0008254F">
        <w:t xml:space="preserve"> </w:t>
      </w:r>
      <w:r w:rsidR="00913849" w:rsidRPr="0008254F">
        <w:t>conseiller proposer de définir des critères à l'aune desquels évaluer le succès</w:t>
      </w:r>
      <w:r w:rsidR="002360A6" w:rsidRPr="0008254F">
        <w:t xml:space="preserve"> </w:t>
      </w:r>
      <w:r w:rsidR="00913849" w:rsidRPr="0008254F">
        <w:t>du</w:t>
      </w:r>
      <w:r w:rsidR="002360A6" w:rsidRPr="0008254F">
        <w:t> </w:t>
      </w:r>
      <w:r w:rsidR="00913849" w:rsidRPr="0008254F">
        <w:t>Sommet</w:t>
      </w:r>
      <w:r w:rsidR="002360A6" w:rsidRPr="0008254F">
        <w:t> </w:t>
      </w:r>
      <w:r w:rsidR="008F0DA3" w:rsidRPr="0008254F">
        <w:t>GYS-</w:t>
      </w:r>
      <w:r w:rsidR="00913849" w:rsidRPr="0008254F">
        <w:t>24.</w:t>
      </w:r>
    </w:p>
    <w:p w14:paraId="436A4C56" w14:textId="4FD108E1" w:rsidR="00913849" w:rsidRPr="0008254F" w:rsidRDefault="00567849" w:rsidP="002360A6">
      <w:r w:rsidRPr="0008254F">
        <w:t>2.3</w:t>
      </w:r>
      <w:r w:rsidRPr="0008254F">
        <w:tab/>
      </w:r>
      <w:r w:rsidR="00913849" w:rsidRPr="0008254F">
        <w:t>En réponse à des questions posées par plusieurs conseillers et un observateur demandant</w:t>
      </w:r>
      <w:r w:rsidR="00BC2FDF" w:rsidRPr="0008254F">
        <w:t>,</w:t>
      </w:r>
      <w:r w:rsidR="00346FB5" w:rsidRPr="0008254F">
        <w:t xml:space="preserve"> d'une part</w:t>
      </w:r>
      <w:r w:rsidR="00BC2FDF" w:rsidRPr="0008254F">
        <w:t>,</w:t>
      </w:r>
      <w:r w:rsidR="00913849" w:rsidRPr="0008254F">
        <w:t xml:space="preserve"> des précisions sur le Forum </w:t>
      </w:r>
      <w:r w:rsidR="00BC2FDF" w:rsidRPr="0008254F">
        <w:t xml:space="preserve">GYS-24 </w:t>
      </w:r>
      <w:r w:rsidR="00913849" w:rsidRPr="0008254F">
        <w:t>et la célébration du rôle des jeunes qui aur</w:t>
      </w:r>
      <w:r w:rsidR="00BC2FDF" w:rsidRPr="0008254F">
        <w:t>ont</w:t>
      </w:r>
      <w:r w:rsidR="00913849" w:rsidRPr="0008254F">
        <w:t xml:space="preserve"> lieu</w:t>
      </w:r>
      <w:r w:rsidR="00346FB5" w:rsidRPr="0008254F">
        <w:t xml:space="preserve"> parallèlement à la Conférence mondiale de développement des télécommunications (CMDT-25) s'agissant du contenu, du calendrier et du lieu, et d'autre part des informations sur les travaux et les résultats du groupe informel créé par le GCDT, le représentant du BDT explique qu'après la réunion du GCDT, le Directeur du BDT a informé les membres de la création du Groupe de coordination informel sur le Sommet mondial sur la jeunesse et la célébration du rôle des jeunes (ICG-GYS) et fourni des informations sur la </w:t>
      </w:r>
      <w:r w:rsidR="00BC2FDF" w:rsidRPr="0008254F">
        <w:t>manière de procéder</w:t>
      </w:r>
      <w:r w:rsidR="00346FB5" w:rsidRPr="0008254F">
        <w:t xml:space="preserve"> pour s'abonner à la liste de diffusion afin de faire part de leur souhait de participer et </w:t>
      </w:r>
      <w:r w:rsidR="00BC2FDF" w:rsidRPr="0008254F">
        <w:t>de</w:t>
      </w:r>
      <w:r w:rsidR="00346FB5" w:rsidRPr="0008254F">
        <w:t xml:space="preserve"> s'inscrire. Parallèlement, le secrétariat a créé une page web pour le Groupe </w:t>
      </w:r>
      <w:r w:rsidR="00BC2FDF" w:rsidRPr="0008254F">
        <w:t>ICG-GYS</w:t>
      </w:r>
      <w:r w:rsidR="00346FB5" w:rsidRPr="0008254F">
        <w:t>. L'idée avec la manifestation célébrant le rôle des jeunes</w:t>
      </w:r>
      <w:r w:rsidR="00BC2FDF" w:rsidRPr="0008254F">
        <w:t xml:space="preserve"> présentée</w:t>
      </w:r>
      <w:r w:rsidR="00346FB5" w:rsidRPr="0008254F">
        <w:t xml:space="preserve"> lors de la réunion du GCDT est </w:t>
      </w:r>
      <w:r w:rsidR="00447789" w:rsidRPr="0008254F">
        <w:t xml:space="preserve">d'avoir </w:t>
      </w:r>
      <w:r w:rsidR="00BC2FDF" w:rsidRPr="0008254F">
        <w:t>l'</w:t>
      </w:r>
      <w:r w:rsidR="00447789" w:rsidRPr="0008254F">
        <w:t>occasion, juste avant la CMDT-25 qui se tiendra à Baku, de réitérer l'engagement de l'UIT envers les jeunes et de faire en sorte que les résultats du Sommet mondial sur la jeunesse de 2024 soit pris en compte à la Conférence.</w:t>
      </w:r>
    </w:p>
    <w:p w14:paraId="1CF22317" w14:textId="6886300F" w:rsidR="00447789" w:rsidRPr="0008254F" w:rsidRDefault="00567849" w:rsidP="002360A6">
      <w:r w:rsidRPr="0008254F">
        <w:t>2.4</w:t>
      </w:r>
      <w:r w:rsidRPr="0008254F">
        <w:tab/>
      </w:r>
      <w:r w:rsidR="00447789" w:rsidRPr="0008254F">
        <w:t>Le Directeur du BDT donne des précisions sur les mesures prises par le GCDT et explique que, comme le Conseil l'a demandé à sa session de 2023, la contribution d'un État</w:t>
      </w:r>
      <w:r w:rsidR="002360A6" w:rsidRPr="0008254F">
        <w:t> </w:t>
      </w:r>
      <w:r w:rsidR="00447789" w:rsidRPr="0008254F">
        <w:t xml:space="preserve">Membre sur </w:t>
      </w:r>
      <w:r w:rsidR="00BC2FDF" w:rsidRPr="0008254F">
        <w:t>l</w:t>
      </w:r>
      <w:r w:rsidR="00447789" w:rsidRPr="0008254F">
        <w:t>e Sommet</w:t>
      </w:r>
      <w:r w:rsidR="00BC2FDF" w:rsidRPr="0008254F">
        <w:t xml:space="preserve"> mondial sur la jeunesse</w:t>
      </w:r>
      <w:r w:rsidR="00447789" w:rsidRPr="0008254F">
        <w:t xml:space="preserve"> (Document </w:t>
      </w:r>
      <w:hyperlink r:id="rId77" w:history="1">
        <w:r w:rsidR="00447789" w:rsidRPr="0008254F">
          <w:rPr>
            <w:rStyle w:val="Hyperlink"/>
          </w:rPr>
          <w:t>C23/67</w:t>
        </w:r>
      </w:hyperlink>
      <w:r w:rsidR="00447789" w:rsidRPr="0008254F">
        <w:t xml:space="preserve">), ainsi que les observations formulées lors de son examen ont été </w:t>
      </w:r>
      <w:r w:rsidR="00BC2FDF" w:rsidRPr="0008254F">
        <w:t>transmises</w:t>
      </w:r>
      <w:r w:rsidR="00447789" w:rsidRPr="0008254F">
        <w:t xml:space="preserve"> au GCDT, qui a décidé d'établir un groupe de coordination informel </w:t>
      </w:r>
      <w:r w:rsidR="00271381" w:rsidRPr="0008254F">
        <w:t xml:space="preserve">pour </w:t>
      </w:r>
      <w:r w:rsidR="00BC2FDF" w:rsidRPr="0008254F">
        <w:t>faire en sorte</w:t>
      </w:r>
      <w:r w:rsidR="00271381" w:rsidRPr="0008254F">
        <w:t xml:space="preserve"> que les États Membres soient associés au processus de préparation. </w:t>
      </w:r>
      <w:r w:rsidR="00BC2FDF" w:rsidRPr="0008254F">
        <w:t>Le Groupe ICG-GYS</w:t>
      </w:r>
      <w:r w:rsidR="00271381" w:rsidRPr="0008254F">
        <w:t xml:space="preserve"> fera rapport au GCDT</w:t>
      </w:r>
      <w:r w:rsidR="00BC2FDF" w:rsidRPr="0008254F">
        <w:t>,</w:t>
      </w:r>
      <w:r w:rsidR="00271381" w:rsidRPr="0008254F">
        <w:t xml:space="preserve"> mais les résultats de ses travaux seront</w:t>
      </w:r>
      <w:r w:rsidR="00BC2FDF" w:rsidRPr="0008254F">
        <w:t xml:space="preserve"> également</w:t>
      </w:r>
      <w:r w:rsidR="00271381" w:rsidRPr="0008254F">
        <w:t xml:space="preserve"> </w:t>
      </w:r>
      <w:r w:rsidR="003C3AC2" w:rsidRPr="0008254F">
        <w:t>dans le domaine</w:t>
      </w:r>
      <w:r w:rsidR="00BC2FDF" w:rsidRPr="0008254F">
        <w:t xml:space="preserve"> public</w:t>
      </w:r>
      <w:r w:rsidR="00271381" w:rsidRPr="0008254F">
        <w:t xml:space="preserve">. </w:t>
      </w:r>
      <w:r w:rsidR="00BC2FDF" w:rsidRPr="0008254F">
        <w:t xml:space="preserve">Les activités du groupe seront limitées dans le temps, puisqu'elles prendront fin </w:t>
      </w:r>
      <w:r w:rsidR="003C3AC2" w:rsidRPr="0008254F">
        <w:t xml:space="preserve">en même temps que </w:t>
      </w:r>
      <w:r w:rsidR="00BC2FDF" w:rsidRPr="0008254F">
        <w:t xml:space="preserve">le processus du Sommet. Le rôle des quatre Vice-Présidents du GCDT désignés pour </w:t>
      </w:r>
      <w:r w:rsidR="003C3AC2" w:rsidRPr="0008254F">
        <w:t>le</w:t>
      </w:r>
      <w:r w:rsidR="00BC2FDF" w:rsidRPr="0008254F">
        <w:t xml:space="preserve"> Groupe est de coordonner le processus et les travaux avec le Secrétariat, afin </w:t>
      </w:r>
      <w:r w:rsidR="003C3AC2" w:rsidRPr="0008254F">
        <w:t>d'y associer</w:t>
      </w:r>
      <w:r w:rsidR="00BC2FDF" w:rsidRPr="0008254F">
        <w:t xml:space="preserve"> tous les membres et d'organiser un Sommet sur la jeunesse de qualité et fructueux</w:t>
      </w:r>
      <w:r w:rsidR="003C3AC2" w:rsidRPr="0008254F">
        <w:t>. La célébration du rôle des jeunes a quant à elle été envisagée pour compenser le fait que le Sommet a été dissocié de la CMDT compte tenu de l'expérience acquise lors de la CMDT-22. L'idée est que les États</w:t>
      </w:r>
      <w:r w:rsidR="002360A6" w:rsidRPr="0008254F">
        <w:t> </w:t>
      </w:r>
      <w:r w:rsidR="003C3AC2" w:rsidRPr="0008254F">
        <w:t>Membres disposeront du document final élaboré par le Sommet bien à l'avance, avant même les réunions préparatoires régionales, afin de pouvoir décider de la manière d'utiliser tout ou partie de ce document final en vue de la CMDT.</w:t>
      </w:r>
    </w:p>
    <w:p w14:paraId="03D7DA29" w14:textId="04EAB528" w:rsidR="00567849" w:rsidRPr="0008254F" w:rsidRDefault="00567849" w:rsidP="002360A6">
      <w:pPr>
        <w:rPr>
          <w:rFonts w:ascii="Times New Roman" w:hAnsi="Times New Roman"/>
        </w:rPr>
      </w:pPr>
      <w:r w:rsidRPr="0008254F">
        <w:rPr>
          <w:rFonts w:eastAsia="SimSun"/>
          <w:lang w:eastAsia="zh-CN"/>
        </w:rPr>
        <w:t>2.5</w:t>
      </w:r>
      <w:r w:rsidRPr="0008254F">
        <w:rPr>
          <w:rFonts w:eastAsia="SimSun"/>
          <w:lang w:eastAsia="zh-CN"/>
        </w:rPr>
        <w:tab/>
      </w:r>
      <w:r w:rsidR="003C3AC2" w:rsidRPr="0008254F">
        <w:rPr>
          <w:rFonts w:eastAsia="SimSun"/>
          <w:lang w:eastAsia="zh-CN"/>
        </w:rPr>
        <w:t xml:space="preserve">Le Conseil </w:t>
      </w:r>
      <w:r w:rsidR="003C3AC2" w:rsidRPr="0008254F">
        <w:rPr>
          <w:rFonts w:eastAsia="SimSun"/>
          <w:b/>
          <w:bCs/>
          <w:lang w:eastAsia="zh-CN"/>
        </w:rPr>
        <w:t>prend</w:t>
      </w:r>
      <w:r w:rsidR="003C3AC2" w:rsidRPr="0008254F">
        <w:rPr>
          <w:rFonts w:eastAsia="SimSun"/>
          <w:lang w:eastAsia="zh-CN"/>
        </w:rPr>
        <w:t xml:space="preserve"> </w:t>
      </w:r>
      <w:r w:rsidR="003C3AC2" w:rsidRPr="0008254F">
        <w:rPr>
          <w:rFonts w:eastAsia="SimSun"/>
          <w:b/>
          <w:bCs/>
          <w:lang w:eastAsia="zh-CN"/>
        </w:rPr>
        <w:t>note</w:t>
      </w:r>
      <w:r w:rsidR="003C3AC2" w:rsidRPr="0008254F">
        <w:rPr>
          <w:rFonts w:eastAsia="SimSun"/>
          <w:lang w:eastAsia="zh-CN"/>
        </w:rPr>
        <w:t xml:space="preserve"> du rapport figurant dans le D</w:t>
      </w:r>
      <w:r w:rsidRPr="0008254F">
        <w:rPr>
          <w:rFonts w:eastAsia="SimSun"/>
          <w:lang w:eastAsia="zh-CN"/>
        </w:rPr>
        <w:t>ocument C24/32.</w:t>
      </w:r>
    </w:p>
    <w:p w14:paraId="0AD8FE63" w14:textId="7D8821C3" w:rsidR="00567849" w:rsidRPr="0008254F" w:rsidRDefault="00567849" w:rsidP="002360A6">
      <w:pPr>
        <w:pStyle w:val="Heading1"/>
      </w:pPr>
      <w:r w:rsidRPr="0008254F">
        <w:t>3</w:t>
      </w:r>
      <w:r w:rsidRPr="0008254F">
        <w:tab/>
      </w:r>
      <w:r w:rsidR="00CC1F5D" w:rsidRPr="0008254F">
        <w:rPr>
          <w:spacing w:val="6"/>
        </w:rPr>
        <w:t>Travaux préparatoires en vue du Forum mondial des politiques de télécommunication/TIC (FMPT-26)(suite</w:t>
      </w:r>
      <w:r w:rsidRPr="0008254F">
        <w:t>) (Documents </w:t>
      </w:r>
      <w:hyperlink r:id="rId78" w:history="1">
        <w:r w:rsidRPr="0008254F">
          <w:rPr>
            <w:rStyle w:val="Hyperlink"/>
            <w:szCs w:val="28"/>
          </w:rPr>
          <w:t>C24/5</w:t>
        </w:r>
      </w:hyperlink>
      <w:r w:rsidRPr="0008254F">
        <w:t xml:space="preserve">, </w:t>
      </w:r>
      <w:hyperlink r:id="rId79" w:history="1">
        <w:r w:rsidRPr="0008254F">
          <w:rPr>
            <w:rStyle w:val="Hyperlink"/>
            <w:szCs w:val="28"/>
          </w:rPr>
          <w:t>C24/75</w:t>
        </w:r>
      </w:hyperlink>
      <w:r w:rsidRPr="0008254F">
        <w:t xml:space="preserve">, </w:t>
      </w:r>
      <w:hyperlink r:id="rId80" w:history="1">
        <w:r w:rsidRPr="0008254F">
          <w:rPr>
            <w:rStyle w:val="Hyperlink"/>
            <w:szCs w:val="28"/>
          </w:rPr>
          <w:t>C24/76</w:t>
        </w:r>
      </w:hyperlink>
      <w:r w:rsidRPr="0008254F">
        <w:t xml:space="preserve">, </w:t>
      </w:r>
      <w:hyperlink r:id="rId81" w:history="1">
        <w:r w:rsidRPr="0008254F">
          <w:rPr>
            <w:rStyle w:val="Hyperlink"/>
            <w:szCs w:val="28"/>
          </w:rPr>
          <w:t>C24/93</w:t>
        </w:r>
      </w:hyperlink>
      <w:r w:rsidRPr="0008254F">
        <w:t xml:space="preserve">, </w:t>
      </w:r>
      <w:hyperlink r:id="rId82" w:history="1">
        <w:r w:rsidRPr="0008254F">
          <w:rPr>
            <w:rStyle w:val="Hyperlink"/>
            <w:szCs w:val="28"/>
          </w:rPr>
          <w:t>C24/95</w:t>
        </w:r>
      </w:hyperlink>
      <w:r w:rsidRPr="0008254F">
        <w:t xml:space="preserve">, </w:t>
      </w:r>
      <w:hyperlink r:id="rId83" w:history="1">
        <w:r w:rsidRPr="0008254F">
          <w:rPr>
            <w:rStyle w:val="Hyperlink"/>
            <w:szCs w:val="28"/>
          </w:rPr>
          <w:t>C24/96</w:t>
        </w:r>
      </w:hyperlink>
      <w:r w:rsidRPr="0008254F">
        <w:t xml:space="preserve"> </w:t>
      </w:r>
      <w:r w:rsidR="00CC1F5D" w:rsidRPr="0008254F">
        <w:t>et</w:t>
      </w:r>
      <w:r w:rsidRPr="0008254F">
        <w:t xml:space="preserve"> </w:t>
      </w:r>
      <w:hyperlink r:id="rId84" w:history="1">
        <w:r w:rsidRPr="0008254F">
          <w:rPr>
            <w:rStyle w:val="Hyperlink"/>
            <w:szCs w:val="28"/>
          </w:rPr>
          <w:t>C24/DT/7</w:t>
        </w:r>
      </w:hyperlink>
      <w:r w:rsidRPr="0008254F">
        <w:t>)</w:t>
      </w:r>
    </w:p>
    <w:p w14:paraId="6E849183" w14:textId="6B27227D" w:rsidR="002921DB" w:rsidRPr="0008254F" w:rsidRDefault="00567849" w:rsidP="002360A6">
      <w:pPr>
        <w:rPr>
          <w:rFonts w:eastAsia="SimSun"/>
          <w:lang w:eastAsia="zh-CN"/>
        </w:rPr>
      </w:pPr>
      <w:r w:rsidRPr="0008254F">
        <w:rPr>
          <w:rFonts w:eastAsia="SimSun"/>
          <w:lang w:eastAsia="zh-CN"/>
        </w:rPr>
        <w:t>3.1</w:t>
      </w:r>
      <w:r w:rsidRPr="0008254F">
        <w:rPr>
          <w:rFonts w:eastAsia="SimSun"/>
          <w:lang w:eastAsia="zh-CN"/>
        </w:rPr>
        <w:tab/>
      </w:r>
      <w:r w:rsidR="0007425B" w:rsidRPr="0008254F">
        <w:rPr>
          <w:rFonts w:eastAsia="SimSun"/>
          <w:lang w:eastAsia="zh-CN"/>
        </w:rPr>
        <w:t xml:space="preserve">Le conseiller du Brésil, en sa qualité de coordonnateur des consultations informelles sur la préparation du FMPT-26, présente le projet de nouvelle Décision relative au FMPT-26 figurant dans le Document C24/DT/7. Le thème proposé pour le Forum est "Accélérer la marche vers un avenir numérique inclusif, durable, résilient et propice à l'innovation". L'objectif est d'examiner </w:t>
      </w:r>
      <w:r w:rsidR="002921DB" w:rsidRPr="0008254F">
        <w:rPr>
          <w:rFonts w:eastAsia="SimSun"/>
          <w:lang w:eastAsia="zh-CN"/>
        </w:rPr>
        <w:t>l</w:t>
      </w:r>
      <w:r w:rsidR="0007425B" w:rsidRPr="0008254F">
        <w:rPr>
          <w:rFonts w:eastAsia="SimSun"/>
          <w:lang w:eastAsia="zh-CN"/>
        </w:rPr>
        <w:t>es perspectives, les difficultés et les politiques</w:t>
      </w:r>
      <w:r w:rsidR="002921DB" w:rsidRPr="0008254F">
        <w:t xml:space="preserve"> </w:t>
      </w:r>
      <w:r w:rsidR="002921DB" w:rsidRPr="0008254F">
        <w:rPr>
          <w:rFonts w:eastAsia="SimSun"/>
          <w:lang w:eastAsia="zh-CN"/>
        </w:rPr>
        <w:t xml:space="preserve">dans les domaines suivants: réduction des fractures numériques, notamment entre les hommes et les femmes et entre les générations, ainsi qu'en matière de compétences et de connectivité; </w:t>
      </w:r>
      <w:r w:rsidR="002921DB" w:rsidRPr="0008254F">
        <w:rPr>
          <w:rFonts w:eastAsia="SimSun"/>
          <w:lang w:eastAsia="zh-CN"/>
        </w:rPr>
        <w:lastRenderedPageBreak/>
        <w:t xml:space="preserve">transformation numérique écologique: changements climatiques et durabilité environnementale; résilience des télécommunications/TIC; connectivité spatiale; </w:t>
      </w:r>
      <w:r w:rsidR="008461FE" w:rsidRPr="0008254F">
        <w:rPr>
          <w:rFonts w:eastAsia="SimSun"/>
          <w:lang w:eastAsia="zh-CN"/>
        </w:rPr>
        <w:t xml:space="preserve">et </w:t>
      </w:r>
      <w:r w:rsidR="002921DB" w:rsidRPr="0008254F">
        <w:rPr>
          <w:rFonts w:eastAsia="SimSun"/>
          <w:lang w:eastAsia="zh-CN"/>
        </w:rPr>
        <w:t xml:space="preserve">renforcement des écosystèmes de l'innovation et de l'entrepreneuriat centrés sur les TIC. Les conseillers auront la possibilité de discuter des différentes visions du thème, sur la base des </w:t>
      </w:r>
      <w:r w:rsidR="008461FE" w:rsidRPr="0008254F">
        <w:rPr>
          <w:rFonts w:eastAsia="SimSun"/>
          <w:lang w:eastAsia="zh-CN"/>
        </w:rPr>
        <w:t>diverses</w:t>
      </w:r>
      <w:r w:rsidR="002921DB" w:rsidRPr="0008254F">
        <w:rPr>
          <w:rFonts w:eastAsia="SimSun"/>
          <w:lang w:eastAsia="zh-CN"/>
        </w:rPr>
        <w:t xml:space="preserve"> contributions reçues. Les travaux sur le FMPT-26 débuteront sur la base de la décision et feront l'objet d'un rapport</w:t>
      </w:r>
      <w:r w:rsidR="007C5645" w:rsidRPr="0008254F">
        <w:rPr>
          <w:rFonts w:eastAsia="SimSun"/>
          <w:lang w:eastAsia="zh-CN"/>
        </w:rPr>
        <w:t xml:space="preserve"> qui sera présenté au Conseil à sa session de 2025.</w:t>
      </w:r>
    </w:p>
    <w:p w14:paraId="42C4A5F5" w14:textId="1FD30745" w:rsidR="00567849" w:rsidRPr="0008254F" w:rsidRDefault="00567849" w:rsidP="002360A6">
      <w:pPr>
        <w:rPr>
          <w:rFonts w:eastAsia="SimSun"/>
          <w:lang w:eastAsia="zh-CN"/>
        </w:rPr>
      </w:pPr>
      <w:r w:rsidRPr="0008254F">
        <w:rPr>
          <w:rFonts w:eastAsia="SimSun"/>
          <w:lang w:eastAsia="zh-CN"/>
        </w:rPr>
        <w:t>3.2</w:t>
      </w:r>
      <w:r w:rsidRPr="0008254F">
        <w:rPr>
          <w:rFonts w:eastAsia="SimSun"/>
          <w:lang w:eastAsia="zh-CN"/>
        </w:rPr>
        <w:tab/>
      </w:r>
      <w:r w:rsidR="007C5645" w:rsidRPr="0008254F">
        <w:rPr>
          <w:rFonts w:eastAsia="SimSun"/>
          <w:lang w:eastAsia="zh-CN"/>
        </w:rPr>
        <w:t>Un conseiller souligne que la résilience des télécommunications/TIC, l'utilisation des</w:t>
      </w:r>
      <w:r w:rsidR="002360A6" w:rsidRPr="0008254F">
        <w:rPr>
          <w:rFonts w:eastAsia="SimSun"/>
          <w:lang w:eastAsia="zh-CN"/>
        </w:rPr>
        <w:t> </w:t>
      </w:r>
      <w:r w:rsidR="007C5645" w:rsidRPr="0008254F">
        <w:rPr>
          <w:rFonts w:eastAsia="SimSun"/>
          <w:lang w:eastAsia="zh-CN"/>
        </w:rPr>
        <w:t>TIC au service de la durabilité environnementale, les solutions innovante</w:t>
      </w:r>
      <w:r w:rsidR="008461FE" w:rsidRPr="0008254F">
        <w:rPr>
          <w:rFonts w:eastAsia="SimSun"/>
          <w:lang w:eastAsia="zh-CN"/>
        </w:rPr>
        <w:t>s</w:t>
      </w:r>
      <w:r w:rsidR="007C5645" w:rsidRPr="0008254F">
        <w:rPr>
          <w:rFonts w:eastAsia="SimSun"/>
          <w:lang w:eastAsia="zh-CN"/>
        </w:rPr>
        <w:t xml:space="preserve"> pour réduire les fractures numériques et la création de possibilités en matière d'entrepreneuriat sont </w:t>
      </w:r>
      <w:r w:rsidR="008461FE" w:rsidRPr="0008254F">
        <w:rPr>
          <w:rFonts w:eastAsia="SimSun"/>
          <w:lang w:eastAsia="zh-CN"/>
        </w:rPr>
        <w:t xml:space="preserve">autant d'éléments qui constituent </w:t>
      </w:r>
      <w:r w:rsidR="007C5645" w:rsidRPr="0008254F">
        <w:rPr>
          <w:rFonts w:eastAsia="SimSun"/>
          <w:lang w:eastAsia="zh-CN"/>
        </w:rPr>
        <w:t>des moteurs essentiels pour transformer les économies des petits États insulaires en développement (PIED)</w:t>
      </w:r>
      <w:r w:rsidR="008461FE" w:rsidRPr="0008254F">
        <w:rPr>
          <w:rFonts w:eastAsia="SimSun"/>
          <w:lang w:eastAsia="zh-CN"/>
        </w:rPr>
        <w:t>,</w:t>
      </w:r>
      <w:r w:rsidR="007C5645" w:rsidRPr="0008254F">
        <w:rPr>
          <w:rFonts w:eastAsia="SimSun"/>
          <w:lang w:eastAsia="zh-CN"/>
        </w:rPr>
        <w:t xml:space="preserve"> et indique que, </w:t>
      </w:r>
      <w:r w:rsidR="008461FE" w:rsidRPr="0008254F">
        <w:rPr>
          <w:rFonts w:eastAsia="SimSun"/>
          <w:lang w:eastAsia="zh-CN"/>
        </w:rPr>
        <w:t>si sa délégation</w:t>
      </w:r>
      <w:r w:rsidR="007C5645" w:rsidRPr="0008254F">
        <w:rPr>
          <w:rFonts w:eastAsia="SimSun"/>
          <w:lang w:eastAsia="zh-CN"/>
        </w:rPr>
        <w:t xml:space="preserve"> peut accepter le libellé actuel de la décision concernant l'appui à apporter pour faciliter la participation des pays les moins avancés au FMPT, </w:t>
      </w:r>
      <w:r w:rsidR="008461FE" w:rsidRPr="0008254F">
        <w:rPr>
          <w:rFonts w:eastAsia="SimSun"/>
          <w:lang w:eastAsia="zh-CN"/>
        </w:rPr>
        <w:t>elle</w:t>
      </w:r>
      <w:r w:rsidR="007C5645" w:rsidRPr="0008254F">
        <w:rPr>
          <w:rFonts w:eastAsia="SimSun"/>
          <w:lang w:eastAsia="zh-CN"/>
        </w:rPr>
        <w:t xml:space="preserve"> demande </w:t>
      </w:r>
      <w:r w:rsidR="008461FE" w:rsidRPr="0008254F">
        <w:rPr>
          <w:rFonts w:eastAsia="SimSun"/>
          <w:lang w:eastAsia="zh-CN"/>
        </w:rPr>
        <w:t xml:space="preserve">toutefois </w:t>
      </w:r>
      <w:r w:rsidR="007C5645" w:rsidRPr="0008254F">
        <w:rPr>
          <w:rFonts w:eastAsia="SimSun"/>
          <w:lang w:eastAsia="zh-CN"/>
        </w:rPr>
        <w:t>que les États</w:t>
      </w:r>
      <w:r w:rsidR="002360A6" w:rsidRPr="0008254F">
        <w:rPr>
          <w:rFonts w:eastAsia="SimSun"/>
          <w:lang w:eastAsia="zh-CN"/>
        </w:rPr>
        <w:t> </w:t>
      </w:r>
      <w:r w:rsidR="007C5645" w:rsidRPr="0008254F">
        <w:rPr>
          <w:rFonts w:eastAsia="SimSun"/>
          <w:lang w:eastAsia="zh-CN"/>
        </w:rPr>
        <w:t>Membres envisagent</w:t>
      </w:r>
      <w:r w:rsidR="002F541D" w:rsidRPr="0008254F">
        <w:rPr>
          <w:rFonts w:eastAsia="SimSun"/>
          <w:lang w:eastAsia="zh-CN"/>
        </w:rPr>
        <w:t xml:space="preserve"> d'apporter un appui analogue aux PIED. L'orateur demande en outre que le Secrétariat, lorsqu'il convoquera le groupe d'experts informel, encourage les membres à faire </w:t>
      </w:r>
      <w:r w:rsidR="00E24383" w:rsidRPr="0008254F">
        <w:rPr>
          <w:rFonts w:eastAsia="SimSun"/>
          <w:lang w:eastAsia="zh-CN"/>
        </w:rPr>
        <w:t>participer</w:t>
      </w:r>
      <w:r w:rsidR="002F541D" w:rsidRPr="0008254F">
        <w:rPr>
          <w:rFonts w:eastAsia="SimSun"/>
          <w:lang w:eastAsia="zh-CN"/>
        </w:rPr>
        <w:t xml:space="preserve"> des parties prenantes de la société civile, qui sont les mieux placées pour représenter et faire remonter les besoins et les opinions de leurs communautés respectives.</w:t>
      </w:r>
    </w:p>
    <w:p w14:paraId="0D1F8704" w14:textId="100047CD" w:rsidR="00567849" w:rsidRPr="0008254F" w:rsidRDefault="00567849" w:rsidP="002360A6">
      <w:pPr>
        <w:rPr>
          <w:rFonts w:eastAsia="SimSun"/>
          <w:lang w:eastAsia="zh-CN"/>
        </w:rPr>
      </w:pPr>
      <w:r w:rsidRPr="0008254F">
        <w:rPr>
          <w:rFonts w:eastAsia="SimSun"/>
          <w:lang w:eastAsia="zh-CN"/>
        </w:rPr>
        <w:t>3.3</w:t>
      </w:r>
      <w:r w:rsidRPr="0008254F">
        <w:rPr>
          <w:rFonts w:eastAsia="SimSun"/>
          <w:lang w:eastAsia="zh-CN"/>
        </w:rPr>
        <w:tab/>
      </w:r>
      <w:r w:rsidR="002F541D" w:rsidRPr="0008254F">
        <w:rPr>
          <w:rFonts w:eastAsia="SimSun"/>
          <w:lang w:eastAsia="zh-CN"/>
        </w:rPr>
        <w:t xml:space="preserve">Le Conseil </w:t>
      </w:r>
      <w:r w:rsidR="002F541D" w:rsidRPr="0008254F">
        <w:rPr>
          <w:rFonts w:eastAsia="SimSun"/>
          <w:b/>
          <w:bCs/>
          <w:lang w:eastAsia="zh-CN"/>
        </w:rPr>
        <w:t>adopte</w:t>
      </w:r>
      <w:r w:rsidR="002F541D" w:rsidRPr="0008254F">
        <w:rPr>
          <w:rFonts w:eastAsia="SimSun"/>
          <w:lang w:eastAsia="zh-CN"/>
        </w:rPr>
        <w:t xml:space="preserve"> la Décision reproduite dans le Document C24/DT/7 et </w:t>
      </w:r>
      <w:r w:rsidR="002F541D" w:rsidRPr="0008254F">
        <w:rPr>
          <w:rFonts w:eastAsia="SimSun"/>
          <w:b/>
          <w:bCs/>
          <w:lang w:eastAsia="zh-CN"/>
        </w:rPr>
        <w:t>prend note</w:t>
      </w:r>
      <w:r w:rsidR="002F541D" w:rsidRPr="0008254F">
        <w:rPr>
          <w:rFonts w:eastAsia="SimSun"/>
          <w:lang w:eastAsia="zh-CN"/>
        </w:rPr>
        <w:t xml:space="preserve"> des observations relatives à l'appui à apporter aux PEID.</w:t>
      </w:r>
    </w:p>
    <w:p w14:paraId="0D8B6438" w14:textId="1B9C4344" w:rsidR="00567849" w:rsidRPr="0008254F" w:rsidRDefault="00567849" w:rsidP="002360A6">
      <w:pPr>
        <w:pStyle w:val="Heading1"/>
      </w:pPr>
      <w:r w:rsidRPr="0008254F">
        <w:t>4</w:t>
      </w:r>
      <w:r w:rsidRPr="0008254F">
        <w:tab/>
      </w:r>
      <w:r w:rsidR="00CC1F5D" w:rsidRPr="0008254F">
        <w:t>Activités de l'UIT relatives à l'Internet: Résolution 101, 102, 133, 180 et</w:t>
      </w:r>
      <w:r w:rsidR="002360A6" w:rsidRPr="0008254F">
        <w:t> </w:t>
      </w:r>
      <w:r w:rsidR="00CC1F5D" w:rsidRPr="0008254F">
        <w:t>206 de la Conférence de plénipotent</w:t>
      </w:r>
      <w:r w:rsidR="00B60CCD" w:rsidRPr="0008254F">
        <w:t>i</w:t>
      </w:r>
      <w:r w:rsidR="00CC1F5D" w:rsidRPr="0008254F">
        <w:t>aires (suite</w:t>
      </w:r>
      <w:r w:rsidRPr="0008254F">
        <w:rPr>
          <w:spacing w:val="-6"/>
        </w:rPr>
        <w:t>) (Documents </w:t>
      </w:r>
      <w:hyperlink r:id="rId85" w:history="1">
        <w:r w:rsidRPr="0008254F">
          <w:rPr>
            <w:rStyle w:val="Hyperlink"/>
            <w:bCs/>
            <w:spacing w:val="-6"/>
            <w:szCs w:val="28"/>
          </w:rPr>
          <w:t>C24/33</w:t>
        </w:r>
      </w:hyperlink>
      <w:r w:rsidR="0025286A" w:rsidRPr="0008254F">
        <w:rPr>
          <w:spacing w:val="-6"/>
        </w:rPr>
        <w:t> </w:t>
      </w:r>
      <w:r w:rsidR="00CC1F5D" w:rsidRPr="0008254F">
        <w:rPr>
          <w:spacing w:val="-6"/>
        </w:rPr>
        <w:t>et</w:t>
      </w:r>
      <w:r w:rsidR="002360A6" w:rsidRPr="0008254F">
        <w:rPr>
          <w:spacing w:val="-6"/>
        </w:rPr>
        <w:t> </w:t>
      </w:r>
      <w:hyperlink r:id="rId86" w:history="1">
        <w:r w:rsidRPr="0008254F">
          <w:rPr>
            <w:rStyle w:val="Hyperlink"/>
            <w:bCs/>
            <w:spacing w:val="-6"/>
            <w:szCs w:val="28"/>
          </w:rPr>
          <w:t>C24/DT/8</w:t>
        </w:r>
      </w:hyperlink>
      <w:r w:rsidRPr="0008254F">
        <w:rPr>
          <w:spacing w:val="-6"/>
        </w:rPr>
        <w:t>)</w:t>
      </w:r>
    </w:p>
    <w:p w14:paraId="379081ED" w14:textId="0F93793A" w:rsidR="00567849" w:rsidRPr="0008254F" w:rsidRDefault="00567849" w:rsidP="002360A6">
      <w:r w:rsidRPr="0008254F">
        <w:t>4.1</w:t>
      </w:r>
      <w:r w:rsidRPr="0008254F">
        <w:tab/>
      </w:r>
      <w:r w:rsidR="00E24383" w:rsidRPr="0008254F">
        <w:t>Le Président explique que le Document C24/DT/8 contient l'ensemble de documents concernant les activités de l'UIT relatives à l'Internet au titre des Résolutions 101, 102, 133, 180 et 206 devant être transmis au Secrétaire général de l'Organisation des Nations Unies. Aucune vue n'ayant été soumise par écrit dans le délai fixé à la cinquième séance plénière, l'ensemble de document comprend le rapport de la Secrétaire générale de l'UIT à la session de 2024 du Conseil de l'UIT, qui est une synthèse des activités de l'Union relatives aux Résolutions concernant l'Internet</w:t>
      </w:r>
      <w:r w:rsidR="003142C5" w:rsidRPr="0008254F">
        <w:t>, figurant dans le Document C24/33, et un extrait du compte rendu officiel de la cinquième séance plénière du Conseil rendant compte des discussions sur ce point.</w:t>
      </w:r>
    </w:p>
    <w:p w14:paraId="3DD522CF" w14:textId="3DF16B44" w:rsidR="00567849" w:rsidRPr="0008254F" w:rsidRDefault="00567849" w:rsidP="002360A6">
      <w:r w:rsidRPr="0008254F">
        <w:t>4.2</w:t>
      </w:r>
      <w:r w:rsidRPr="0008254F">
        <w:tab/>
      </w:r>
      <w:bookmarkStart w:id="7" w:name="_Hlk169691858"/>
      <w:r w:rsidR="003142C5" w:rsidRPr="0008254F">
        <w:t xml:space="preserve">Le Conseil </w:t>
      </w:r>
      <w:r w:rsidR="003142C5" w:rsidRPr="0008254F">
        <w:rPr>
          <w:b/>
          <w:bCs/>
        </w:rPr>
        <w:t>prend note</w:t>
      </w:r>
      <w:r w:rsidR="003142C5" w:rsidRPr="0008254F">
        <w:t xml:space="preserve"> du Document C24/DT/8 et </w:t>
      </w:r>
      <w:r w:rsidR="003142C5" w:rsidRPr="0008254F">
        <w:rPr>
          <w:b/>
          <w:bCs/>
        </w:rPr>
        <w:t>approuve</w:t>
      </w:r>
      <w:r w:rsidR="003142C5" w:rsidRPr="0008254F">
        <w:t xml:space="preserve"> la transmission de l'ensemble de documents au Secrétaire général de l'Organisation des Nations Unies.</w:t>
      </w:r>
    </w:p>
    <w:bookmarkEnd w:id="7"/>
    <w:p w14:paraId="34A54481" w14:textId="6FFFC45F" w:rsidR="00567849" w:rsidRPr="0008254F" w:rsidRDefault="00567849" w:rsidP="002360A6">
      <w:pPr>
        <w:pStyle w:val="Heading1"/>
      </w:pPr>
      <w:r w:rsidRPr="0008254F">
        <w:t>5</w:t>
      </w:r>
      <w:r w:rsidRPr="0008254F">
        <w:tab/>
      </w:r>
      <w:r w:rsidR="00CC1F5D" w:rsidRPr="0008254F">
        <w:t xml:space="preserve">Rapport d'activité de la Présidente du Groupe d'experts sur le Règlement des télécommunications internationales </w:t>
      </w:r>
      <w:r w:rsidRPr="0008254F">
        <w:t xml:space="preserve">(Documents </w:t>
      </w:r>
      <w:hyperlink r:id="rId87" w:history="1">
        <w:r w:rsidRPr="0008254F">
          <w:rPr>
            <w:rStyle w:val="Hyperlink"/>
            <w:bCs/>
            <w:szCs w:val="28"/>
          </w:rPr>
          <w:t>C24/26</w:t>
        </w:r>
      </w:hyperlink>
      <w:r w:rsidRPr="0008254F">
        <w:t xml:space="preserve"> </w:t>
      </w:r>
      <w:r w:rsidR="00CC1F5D" w:rsidRPr="0008254F">
        <w:t>et</w:t>
      </w:r>
      <w:r w:rsidRPr="0008254F">
        <w:t xml:space="preserve"> </w:t>
      </w:r>
      <w:hyperlink r:id="rId88" w:history="1">
        <w:r w:rsidRPr="0008254F">
          <w:rPr>
            <w:rStyle w:val="Hyperlink"/>
            <w:bCs/>
            <w:szCs w:val="28"/>
          </w:rPr>
          <w:t>C24/87</w:t>
        </w:r>
      </w:hyperlink>
      <w:r w:rsidRPr="0008254F">
        <w:t>)</w:t>
      </w:r>
    </w:p>
    <w:p w14:paraId="4341D285" w14:textId="194D55D8" w:rsidR="00567849" w:rsidRPr="0008254F" w:rsidRDefault="00567849" w:rsidP="002360A6">
      <w:r w:rsidRPr="0008254F">
        <w:t>5.1</w:t>
      </w:r>
      <w:r w:rsidRPr="0008254F">
        <w:tab/>
      </w:r>
      <w:r w:rsidR="00843305" w:rsidRPr="0008254F">
        <w:t>La Présidente du Groupe d'experts sur le Règlement des télécommunications internationales (EG-RTI) présente le Document C24/26, qui contient un rapport d'activité résumant les principaux résultats des première et deuxième réunions EG RTI, conformément à la Résolution 146 (Rév. Bucarest, 2022) de la Conférence de plénipotentiaires et à la Résolution 1379 (C16, dernière mod. C23) du Conseil.</w:t>
      </w:r>
    </w:p>
    <w:p w14:paraId="4F3600FF" w14:textId="0ECFFF0C" w:rsidR="00567849" w:rsidRPr="0008254F" w:rsidRDefault="00567849" w:rsidP="002360A6">
      <w:pPr>
        <w:rPr>
          <w:szCs w:val="24"/>
        </w:rPr>
      </w:pPr>
      <w:r w:rsidRPr="0008254F">
        <w:lastRenderedPageBreak/>
        <w:t>5.2</w:t>
      </w:r>
      <w:r w:rsidRPr="0008254F">
        <w:tab/>
      </w:r>
      <w:r w:rsidR="00843305" w:rsidRPr="0008254F">
        <w:t>La conseillère de la Chine présente une contribution soumise conjointement par cinq</w:t>
      </w:r>
      <w:r w:rsidR="002360A6" w:rsidRPr="0008254F">
        <w:t> </w:t>
      </w:r>
      <w:r w:rsidR="00843305" w:rsidRPr="0008254F">
        <w:t>pays, figurant dans le Document C24/78, qui porte sur les nouvelles tendances relatives au développement des télécommunications/TIC internationales présentant un intérêt pour le</w:t>
      </w:r>
      <w:r w:rsidR="002360A6" w:rsidRPr="0008254F">
        <w:t> </w:t>
      </w:r>
      <w:r w:rsidR="00843305" w:rsidRPr="0008254F">
        <w:t>RTI et les problèmes qui se font jour dans l'environnement des télécommunications/TIC internationales</w:t>
      </w:r>
      <w:r w:rsidR="0067301B" w:rsidRPr="0008254F">
        <w:t xml:space="preserve"> et susceptibles d'avoir des incidences sur le RTI, notamment en ce qui concerne la fracture numérique, la protection de la vie privée et des données et la cybersécurité.</w:t>
      </w:r>
    </w:p>
    <w:p w14:paraId="65D117D1" w14:textId="5C7821A3" w:rsidR="00567849" w:rsidRPr="0008254F" w:rsidRDefault="00567849" w:rsidP="002360A6">
      <w:r w:rsidRPr="0008254F">
        <w:t>5.3</w:t>
      </w:r>
      <w:r w:rsidRPr="0008254F">
        <w:tab/>
      </w:r>
      <w:r w:rsidR="0067301B" w:rsidRPr="0008254F">
        <w:t>Les conseillers de trois pays co</w:t>
      </w:r>
      <w:r w:rsidR="00B5380E" w:rsidRPr="0008254F">
        <w:t>auteurs</w:t>
      </w:r>
      <w:r w:rsidR="0067301B" w:rsidRPr="0008254F">
        <w:t xml:space="preserve"> de la contribution soulignent la nécessité de réglementer les nouveautés et les innovations actuelles </w:t>
      </w:r>
      <w:r w:rsidR="004D3D6D" w:rsidRPr="0008254F">
        <w:t xml:space="preserve">fréquentes </w:t>
      </w:r>
      <w:r w:rsidR="0067301B" w:rsidRPr="0008254F">
        <w:t>dans le secteur des TIC, en particulier dans le domaine de l'intelligence artificielle, afin de faire en sorte qu'elles soient utilisées efficacement et produisent des retombées positives. Le RTI est l'instrument juridique adéquat pour ce faire, mais il doit de toute urgence être mis à jour, étant donné que sa version actuelle est obsolète et insuffisante. L'un des pays co</w:t>
      </w:r>
      <w:r w:rsidR="004D3D6D" w:rsidRPr="0008254F">
        <w:t>auteurs</w:t>
      </w:r>
      <w:r w:rsidR="0067301B" w:rsidRPr="0008254F">
        <w:t xml:space="preserve"> propose </w:t>
      </w:r>
      <w:r w:rsidR="004D3D6D" w:rsidRPr="0008254F">
        <w:t>ainsi</w:t>
      </w:r>
      <w:r w:rsidR="0067301B" w:rsidRPr="0008254F">
        <w:t xml:space="preserve"> que le Conseil approuve le Document C24/87 et le soumette au Groupe EG-RTI pour suite à donner</w:t>
      </w:r>
      <w:r w:rsidRPr="0008254F">
        <w:t>.</w:t>
      </w:r>
    </w:p>
    <w:p w14:paraId="218B9D52" w14:textId="601F6381" w:rsidR="00567849" w:rsidRPr="0008254F" w:rsidRDefault="00567849" w:rsidP="002360A6">
      <w:r w:rsidRPr="0008254F">
        <w:t>5.4</w:t>
      </w:r>
      <w:r w:rsidRPr="0008254F">
        <w:tab/>
      </w:r>
      <w:r w:rsidR="00D15AB0" w:rsidRPr="0008254F">
        <w:t>L</w:t>
      </w:r>
      <w:r w:rsidR="004D3D6D" w:rsidRPr="0008254F">
        <w:t xml:space="preserve">a Vice-Présidente du Groupe EG-RTI pour la région Amériques </w:t>
      </w:r>
      <w:r w:rsidR="00D15AB0" w:rsidRPr="0008254F">
        <w:t xml:space="preserve">remercie les auteurs du Document C24/87 mais </w:t>
      </w:r>
      <w:r w:rsidR="004D3D6D" w:rsidRPr="0008254F">
        <w:t xml:space="preserve">explique que, conformément aux Résolutions pertinentes de la Conférence de plénipotentiaires et du Conseil, le Groupe </w:t>
      </w:r>
      <w:r w:rsidR="00D15AB0" w:rsidRPr="0008254F">
        <w:t>d'</w:t>
      </w:r>
      <w:r w:rsidR="004D3D6D" w:rsidRPr="0008254F">
        <w:t xml:space="preserve">experts constituera le cadre adéquat pour examiner la contribution, et elle </w:t>
      </w:r>
      <w:r w:rsidR="00D15AB0" w:rsidRPr="0008254F">
        <w:t>propose</w:t>
      </w:r>
      <w:r w:rsidR="004D3D6D" w:rsidRPr="0008254F">
        <w:t xml:space="preserve"> que le Conseil prenne note du document et invite les auteurs à le soumettre à nouveau à la prochaine réunion du Groupe</w:t>
      </w:r>
      <w:r w:rsidR="002360A6" w:rsidRPr="0008254F">
        <w:t> </w:t>
      </w:r>
      <w:r w:rsidR="004D3D6D" w:rsidRPr="0008254F">
        <w:t xml:space="preserve">EG-RTI. Plusieurs conseillers souscrivent à cette </w:t>
      </w:r>
      <w:r w:rsidR="00D15AB0" w:rsidRPr="0008254F">
        <w:t>proposition</w:t>
      </w:r>
      <w:r w:rsidR="004D3D6D" w:rsidRPr="0008254F">
        <w:t>, de même que le Vice</w:t>
      </w:r>
      <w:r w:rsidR="002360A6" w:rsidRPr="0008254F">
        <w:noBreakHyphen/>
      </w:r>
      <w:r w:rsidR="004D3D6D" w:rsidRPr="0008254F">
        <w:t xml:space="preserve">Président du Groupe EG-RTI pour la région Europe, qui indique qu'il n'appuie pas le principe de cette contribution: l'expérience en Europe </w:t>
      </w:r>
      <w:r w:rsidR="00D15AB0" w:rsidRPr="0008254F">
        <w:t>montre</w:t>
      </w:r>
      <w:r w:rsidR="004D3D6D" w:rsidRPr="0008254F">
        <w:t xml:space="preserve"> qu'il convient de mettre en place une règlementation </w:t>
      </w:r>
      <w:r w:rsidR="00D15AB0" w:rsidRPr="0008254F">
        <w:t xml:space="preserve">uniquement </w:t>
      </w:r>
      <w:r w:rsidR="00553A08" w:rsidRPr="0008254F">
        <w:t xml:space="preserve">après </w:t>
      </w:r>
      <w:r w:rsidR="00D15AB0" w:rsidRPr="0008254F">
        <w:t>avoir laissé à</w:t>
      </w:r>
      <w:r w:rsidR="00553A08" w:rsidRPr="0008254F">
        <w:t xml:space="preserve"> l'écosystème des TIC </w:t>
      </w:r>
      <w:r w:rsidR="00D15AB0" w:rsidRPr="0008254F">
        <w:t>le temps d'évoluer</w:t>
      </w:r>
      <w:r w:rsidR="00553A08" w:rsidRPr="0008254F">
        <w:t>, et les discussions relatives à la sécurité et à la protection de la vie privée sont très complexes et n'aboutissent pas à des résultats uniques.</w:t>
      </w:r>
    </w:p>
    <w:p w14:paraId="041F17F4" w14:textId="7394E03E" w:rsidR="00567849" w:rsidRPr="0008254F" w:rsidRDefault="00567849" w:rsidP="002360A6">
      <w:r w:rsidRPr="0008254F">
        <w:t>5.5</w:t>
      </w:r>
      <w:r w:rsidRPr="0008254F">
        <w:tab/>
      </w:r>
      <w:r w:rsidR="00553A08" w:rsidRPr="0008254F">
        <w:t>Compte tenu de la discussion, le Président suggère que le Conseil prenne note du rapport figurant dans le Document C24/26 et invite les États Membres coauteurs du Document C24/87 à soumettre de leur contribution à la prochaine réunion du Groupe</w:t>
      </w:r>
      <w:r w:rsidR="002360A6" w:rsidRPr="0008254F">
        <w:t> </w:t>
      </w:r>
      <w:r w:rsidR="00553A08" w:rsidRPr="0008254F">
        <w:t>EG</w:t>
      </w:r>
      <w:r w:rsidR="002360A6" w:rsidRPr="0008254F">
        <w:noBreakHyphen/>
      </w:r>
      <w:r w:rsidR="00553A08" w:rsidRPr="0008254F">
        <w:t>RTI pour examen.</w:t>
      </w:r>
    </w:p>
    <w:p w14:paraId="37E691DB" w14:textId="1A4D2C81" w:rsidR="00567849" w:rsidRPr="0008254F" w:rsidRDefault="00567849" w:rsidP="00567849">
      <w:pPr>
        <w:tabs>
          <w:tab w:val="clear" w:pos="567"/>
          <w:tab w:val="clear" w:pos="1134"/>
          <w:tab w:val="clear" w:pos="1701"/>
          <w:tab w:val="clear" w:pos="2268"/>
          <w:tab w:val="clear" w:pos="2835"/>
        </w:tabs>
        <w:spacing w:after="120"/>
        <w:jc w:val="both"/>
      </w:pPr>
      <w:r w:rsidRPr="0008254F">
        <w:t>5.6</w:t>
      </w:r>
      <w:r w:rsidRPr="0008254F">
        <w:tab/>
      </w:r>
      <w:r w:rsidR="00553A08" w:rsidRPr="0008254F">
        <w:t xml:space="preserve">Il en est ainsi </w:t>
      </w:r>
      <w:r w:rsidR="00553A08" w:rsidRPr="0008254F">
        <w:rPr>
          <w:b/>
          <w:bCs/>
        </w:rPr>
        <w:t>décidé</w:t>
      </w:r>
      <w:r w:rsidRPr="0008254F">
        <w:t>.</w:t>
      </w:r>
    </w:p>
    <w:p w14:paraId="23764A77" w14:textId="4C3CA328" w:rsidR="00567849" w:rsidRPr="0008254F" w:rsidRDefault="00567849" w:rsidP="002360A6">
      <w:pPr>
        <w:pStyle w:val="Heading1"/>
      </w:pPr>
      <w:r w:rsidRPr="0008254F">
        <w:t>6</w:t>
      </w:r>
      <w:r w:rsidRPr="0008254F">
        <w:tab/>
      </w:r>
      <w:r w:rsidR="002F3B86" w:rsidRPr="0008254F">
        <w:t xml:space="preserve">Rapport </w:t>
      </w:r>
      <w:r w:rsidR="000C094E" w:rsidRPr="0008254F">
        <w:t>de la Présidente</w:t>
      </w:r>
      <w:r w:rsidR="002F3B86" w:rsidRPr="0008254F">
        <w:t xml:space="preserve"> du Groupe de travail du Conseil sur l'utilisation des six langues officielles de l'Union </w:t>
      </w:r>
      <w:r w:rsidRPr="0008254F">
        <w:t xml:space="preserve">(Documents </w:t>
      </w:r>
      <w:hyperlink r:id="rId89" w:history="1">
        <w:r w:rsidRPr="0008254F">
          <w:rPr>
            <w:rStyle w:val="Hyperlink"/>
            <w:bCs/>
            <w:szCs w:val="28"/>
          </w:rPr>
          <w:t>C24/12</w:t>
        </w:r>
      </w:hyperlink>
      <w:r w:rsidRPr="0008254F">
        <w:t xml:space="preserve">, </w:t>
      </w:r>
      <w:hyperlink r:id="rId90" w:history="1">
        <w:r w:rsidRPr="0008254F">
          <w:rPr>
            <w:rStyle w:val="Hyperlink"/>
            <w:bCs/>
            <w:szCs w:val="28"/>
          </w:rPr>
          <w:t>C24/80</w:t>
        </w:r>
      </w:hyperlink>
      <w:r w:rsidRPr="0008254F">
        <w:t xml:space="preserve"> </w:t>
      </w:r>
      <w:r w:rsidR="002F3B86" w:rsidRPr="0008254F">
        <w:t>et</w:t>
      </w:r>
      <w:r w:rsidR="002360A6" w:rsidRPr="0008254F">
        <w:t> </w:t>
      </w:r>
      <w:hyperlink r:id="rId91" w:history="1">
        <w:r w:rsidRPr="0008254F">
          <w:rPr>
            <w:rStyle w:val="Hyperlink"/>
            <w:bCs/>
            <w:szCs w:val="28"/>
          </w:rPr>
          <w:t>C24/81</w:t>
        </w:r>
      </w:hyperlink>
      <w:r w:rsidRPr="0008254F">
        <w:t>)</w:t>
      </w:r>
    </w:p>
    <w:p w14:paraId="0F790B14" w14:textId="63C01D04" w:rsidR="002360A6" w:rsidRPr="0008254F" w:rsidRDefault="00567849" w:rsidP="002360A6">
      <w:r w:rsidRPr="0008254F">
        <w:t>6.1</w:t>
      </w:r>
      <w:r w:rsidRPr="0008254F">
        <w:tab/>
      </w:r>
      <w:r w:rsidR="00D15AB0" w:rsidRPr="0008254F">
        <w:t>L</w:t>
      </w:r>
      <w:r w:rsidR="000C094E" w:rsidRPr="0008254F">
        <w:t>a</w:t>
      </w:r>
      <w:r w:rsidR="00D15AB0" w:rsidRPr="0008254F">
        <w:t xml:space="preserve"> Président</w:t>
      </w:r>
      <w:r w:rsidR="000C094E" w:rsidRPr="0008254F">
        <w:t>e</w:t>
      </w:r>
      <w:r w:rsidR="00D15AB0" w:rsidRPr="0008254F">
        <w:t xml:space="preserve"> du Groupe de travail du Conseil sur l'utilisation des six langues officielles (GTC-LANG) présente le Document C24/12, qui contient un rapport récapitulant les activités et les résultats des deux réunions tenues par le GTC-LANG depuis la session de 2023 du Conseil, conformément à la Résolution 154 (Rév. Bucarest, 2022) de la Conférence de plénipotentiaires et à la Résolution 1372 (C15, dernière mod. C19) du Conseil</w:t>
      </w:r>
      <w:r w:rsidR="0060425A" w:rsidRPr="0008254F">
        <w:t>. Les projets de révision de deux Résolution</w:t>
      </w:r>
      <w:r w:rsidR="00691800" w:rsidRPr="0008254F">
        <w:t>s</w:t>
      </w:r>
      <w:r w:rsidR="0060425A" w:rsidRPr="0008254F">
        <w:t xml:space="preserve"> du Conseil, à savoir la Résolution 1386 (C17) et la Résolution</w:t>
      </w:r>
      <w:r w:rsidR="002360A6" w:rsidRPr="0008254F">
        <w:t> </w:t>
      </w:r>
      <w:r w:rsidR="0060425A" w:rsidRPr="0008254F">
        <w:t>1372 (C15, dernière mod. C19)</w:t>
      </w:r>
      <w:r w:rsidR="00691800" w:rsidRPr="0008254F">
        <w:t>,</w:t>
      </w:r>
      <w:r w:rsidR="0060425A" w:rsidRPr="0008254F">
        <w:t xml:space="preserve"> ont été examinés et font l'objet </w:t>
      </w:r>
      <w:r w:rsidR="002360A6" w:rsidRPr="0008254F">
        <w:br w:type="page"/>
      </w:r>
    </w:p>
    <w:p w14:paraId="0C136AC9" w14:textId="3BCD7292" w:rsidR="00567849" w:rsidRPr="0008254F" w:rsidRDefault="002360A6" w:rsidP="002360A6">
      <w:r w:rsidRPr="0008254F">
        <w:lastRenderedPageBreak/>
        <w:t xml:space="preserve">des Annexes A et B du </w:t>
      </w:r>
      <w:r w:rsidR="0060425A" w:rsidRPr="0008254F">
        <w:t>Document, respectivement.</w:t>
      </w:r>
      <w:r w:rsidR="00691800" w:rsidRPr="0008254F">
        <w:t xml:space="preserve"> Un guide relatif aux pratiques actuelles et futures de l'UIT en matière de multilinguisme et des lignes directrices connexes à l'intention du personnel concernant l'utilisation de la traduction automatique ont été élaborés et font l'objet de l'Annexe C.</w:t>
      </w:r>
    </w:p>
    <w:p w14:paraId="5FF4534B" w14:textId="4FE8CBFE" w:rsidR="00567849" w:rsidRPr="0008254F" w:rsidRDefault="00567849" w:rsidP="002360A6">
      <w:r w:rsidRPr="0008254F">
        <w:t>6.2</w:t>
      </w:r>
      <w:r w:rsidRPr="0008254F">
        <w:tab/>
      </w:r>
      <w:r w:rsidR="00691800" w:rsidRPr="0008254F">
        <w:t>L'observateur de la Fédération de Russie présente, au nom de trois États Membres, deux contributions soumises par plusieurs pays. La première, à savoir le Document C24/80, contient une proposition de révision de la Résolution 1386 (C17) du Conseil relative au Comité de coordination de l'UIT pour le vocabulaire; la seconde contribution, à savoir le Document C24/81, contient une proposition de révision de la Résolution 1372 (C15,</w:t>
      </w:r>
      <w:r w:rsidR="002360A6" w:rsidRPr="0008254F">
        <w:t> </w:t>
      </w:r>
      <w:r w:rsidR="00691800" w:rsidRPr="0008254F">
        <w:t>dernière</w:t>
      </w:r>
      <w:r w:rsidR="002360A6" w:rsidRPr="0008254F">
        <w:t> </w:t>
      </w:r>
      <w:r w:rsidR="00691800" w:rsidRPr="0008254F">
        <w:t>mod.C19) du Conseil relative au GTC-LANG. L'objectif de ces révisions est de rationaliser le texte de ces Résolutions compte tenu des modifications apportées à la Résolution 154 (Rév.</w:t>
      </w:r>
      <w:r w:rsidR="002360A6" w:rsidRPr="0008254F">
        <w:t> </w:t>
      </w:r>
      <w:r w:rsidR="00691800" w:rsidRPr="0008254F">
        <w:t>Bucarest, 2022) de la Conférence de plénipotentiaires. Ces</w:t>
      </w:r>
      <w:r w:rsidR="002360A6" w:rsidRPr="0008254F">
        <w:t> </w:t>
      </w:r>
      <w:r w:rsidR="00691800" w:rsidRPr="0008254F">
        <w:t>deux</w:t>
      </w:r>
      <w:r w:rsidR="002360A6" w:rsidRPr="0008254F">
        <w:t> </w:t>
      </w:r>
      <w:r w:rsidR="00691800" w:rsidRPr="0008254F">
        <w:t>propositions ont été prises en compte par le GTC-LANG.</w:t>
      </w:r>
    </w:p>
    <w:p w14:paraId="3B2C5FE1" w14:textId="7D8D488D" w:rsidR="00567849" w:rsidRPr="0008254F" w:rsidRDefault="00567849" w:rsidP="002360A6">
      <w:r w:rsidRPr="0008254F">
        <w:t>6.3</w:t>
      </w:r>
      <w:r w:rsidRPr="0008254F">
        <w:tab/>
      </w:r>
      <w:r w:rsidR="00691800" w:rsidRPr="0008254F">
        <w:t>En réponse aux conseillers qui signalent des problèmes apparents lors de l'utilisation de l'outil de traduction automatique pour traduire des documents du Conseil,</w:t>
      </w:r>
      <w:r w:rsidR="000C094E" w:rsidRPr="0008254F">
        <w:t xml:space="preserve"> un représentant du Secrétariat général explique que cet outil est actuellement à l'essai en vue d'aider à mettre des versions traduites provisoires des documents rapidement à la disposition des délégués, dans l'attente de la publication des versions traduites officielles. Tous les commentaires formulés lors de cet essai sont les bienvenus pour contribuer à améliorer le système.</w:t>
      </w:r>
    </w:p>
    <w:p w14:paraId="30670957" w14:textId="1A6BA0CC" w:rsidR="00567849" w:rsidRPr="0008254F" w:rsidRDefault="00567849" w:rsidP="002360A6">
      <w:r w:rsidRPr="0008254F">
        <w:t>6.4</w:t>
      </w:r>
      <w:r w:rsidRPr="0008254F">
        <w:tab/>
      </w:r>
      <w:r w:rsidR="000C094E" w:rsidRPr="0008254F">
        <w:t>Une conseillère souligne l'importance et l'intérêt que revêtent les trois documents du</w:t>
      </w:r>
      <w:r w:rsidR="002360A6" w:rsidRPr="0008254F">
        <w:t> </w:t>
      </w:r>
      <w:r w:rsidR="000C094E" w:rsidRPr="0008254F">
        <w:t>GTC-LANG pour les pays de sa région, ainsi que la nécessité de s'améliorer constamment en ce qui concerne les langues, afin que l'UIT puisse permettre des interactions inclusives et accessibles sur un pied d'égalité.</w:t>
      </w:r>
    </w:p>
    <w:p w14:paraId="7BDE16D5" w14:textId="36C74B7B" w:rsidR="00567849" w:rsidRPr="0008254F" w:rsidRDefault="00567849" w:rsidP="002360A6">
      <w:r w:rsidRPr="0008254F">
        <w:t>6.5</w:t>
      </w:r>
      <w:r w:rsidRPr="0008254F">
        <w:tab/>
      </w:r>
      <w:r w:rsidR="000C094E" w:rsidRPr="0008254F">
        <w:t>Un autre conseiller, accueillant avec satisfaction les nouveaux outils de traduction, lesquels permettront d'harmoniser le contenu multilingue et aideront l'UIT à toucher un public plus divers, recommande que les bureaux régionaux et les bureaux de zone soient dotés de moyens leur permettant de fournir des contenus dans des langues locales pertinentes sur des projets et des initiatives de premier plan, comme la protection en ligne des enfants.</w:t>
      </w:r>
    </w:p>
    <w:p w14:paraId="121EED7B" w14:textId="082AEF7E" w:rsidR="00567849" w:rsidRPr="0008254F" w:rsidRDefault="00567849" w:rsidP="002360A6">
      <w:r w:rsidRPr="0008254F">
        <w:t>6.6</w:t>
      </w:r>
      <w:r w:rsidRPr="0008254F">
        <w:tab/>
      </w:r>
      <w:r w:rsidR="00263E05" w:rsidRPr="0008254F">
        <w:t xml:space="preserve">Le Conseil </w:t>
      </w:r>
      <w:r w:rsidR="00263E05" w:rsidRPr="0008254F">
        <w:rPr>
          <w:b/>
          <w:bCs/>
        </w:rPr>
        <w:t>prend note</w:t>
      </w:r>
      <w:r w:rsidR="00263E05" w:rsidRPr="0008254F">
        <w:t xml:space="preserve"> du rapport figurant dans le Document C24/12, </w:t>
      </w:r>
      <w:r w:rsidR="00263E05" w:rsidRPr="0008254F">
        <w:rPr>
          <w:b/>
          <w:bCs/>
        </w:rPr>
        <w:t>adopte</w:t>
      </w:r>
      <w:r w:rsidR="00263E05" w:rsidRPr="0008254F">
        <w:t xml:space="preserve"> la version révisée de la Résolution 1386 (C17) reproduite dans son Annexe A ainsi que la version révisée de la Résolution 1372 (C15,dernière mod. C19) du Conseil faisant l'objet de son Annexe B, et </w:t>
      </w:r>
      <w:r w:rsidR="00263E05" w:rsidRPr="0008254F">
        <w:rPr>
          <w:b/>
          <w:bCs/>
        </w:rPr>
        <w:t>approuve</w:t>
      </w:r>
      <w:r w:rsidR="00263E05" w:rsidRPr="0008254F">
        <w:t xml:space="preserve"> la version mise à jour du Guide relatif aux pratiques actuelles et futures de l'UIT en matière de multilinguisme figurant dans son Annexe C.</w:t>
      </w:r>
    </w:p>
    <w:p w14:paraId="47894427" w14:textId="6C8B5B10" w:rsidR="00567849" w:rsidRPr="0008254F" w:rsidRDefault="00567849" w:rsidP="002360A6">
      <w:pPr>
        <w:pStyle w:val="Heading1"/>
      </w:pPr>
      <w:r w:rsidRPr="0008254F">
        <w:t>7</w:t>
      </w:r>
      <w:r w:rsidRPr="0008254F">
        <w:tab/>
      </w:r>
      <w:r w:rsidR="002F3B86" w:rsidRPr="0008254F">
        <w:t>Élaboration du plan stratégique et du plan financier de l'UIT pour la période 2028 2031 (suite</w:t>
      </w:r>
      <w:r w:rsidRPr="0008254F">
        <w:t>) (Document </w:t>
      </w:r>
      <w:hyperlink r:id="rId92" w:history="1">
        <w:r w:rsidRPr="0008254F">
          <w:rPr>
            <w:rStyle w:val="Hyperlink"/>
            <w:bCs/>
            <w:szCs w:val="28"/>
          </w:rPr>
          <w:t>C24/59(R</w:t>
        </w:r>
        <w:r w:rsidR="002F3B86" w:rsidRPr="0008254F">
          <w:rPr>
            <w:rStyle w:val="Hyperlink"/>
            <w:bCs/>
            <w:szCs w:val="28"/>
          </w:rPr>
          <w:t>é</w:t>
        </w:r>
        <w:r w:rsidRPr="0008254F">
          <w:rPr>
            <w:rStyle w:val="Hyperlink"/>
            <w:bCs/>
            <w:szCs w:val="28"/>
          </w:rPr>
          <w:t>v.1)</w:t>
        </w:r>
      </w:hyperlink>
      <w:r w:rsidRPr="0008254F">
        <w:t>)</w:t>
      </w:r>
    </w:p>
    <w:p w14:paraId="008A52D5" w14:textId="078F9B58" w:rsidR="002360A6" w:rsidRPr="0008254F" w:rsidRDefault="00567849" w:rsidP="002360A6">
      <w:bookmarkStart w:id="8" w:name="_Hlk169704182"/>
      <w:r w:rsidRPr="0008254F">
        <w:t>7.1</w:t>
      </w:r>
      <w:r w:rsidRPr="0008254F">
        <w:tab/>
      </w:r>
      <w:r w:rsidR="00753ED7" w:rsidRPr="0008254F">
        <w:t>Un représentant du Secrétariat général indique que le Document C24/59(Rév.1) contient une version révisée du projet de nouvelle Résolution sur l'établissement du Groupe de travail du Conseil chargé d'élaborer le Plan stratégique et le Plan financier pour la période</w:t>
      </w:r>
      <w:r w:rsidR="002360A6" w:rsidRPr="0008254F">
        <w:t> </w:t>
      </w:r>
      <w:r w:rsidR="00753ED7" w:rsidRPr="0008254F">
        <w:t xml:space="preserve">2028-2031 (GTC-SFP). Comme convenu à la cinquième séance plénière, deux points </w:t>
      </w:r>
      <w:r w:rsidR="002360A6" w:rsidRPr="0008254F">
        <w:br w:type="page"/>
      </w:r>
    </w:p>
    <w:p w14:paraId="7808560B" w14:textId="2B472170" w:rsidR="00567849" w:rsidRPr="0008254F" w:rsidRDefault="002360A6" w:rsidP="002360A6">
      <w:r w:rsidRPr="0008254F">
        <w:lastRenderedPageBreak/>
        <w:t xml:space="preserve">ont été </w:t>
      </w:r>
      <w:r w:rsidR="00753ED7" w:rsidRPr="0008254F">
        <w:t xml:space="preserve">ajoutés au mandat du GTC-SFP, concernant la mise en œuvre du concept "Une UIT unie dans l'action" (point </w:t>
      </w:r>
      <w:r w:rsidR="00753ED7" w:rsidRPr="0008254F">
        <w:rPr>
          <w:i/>
          <w:iCs/>
        </w:rPr>
        <w:t>b)</w:t>
      </w:r>
      <w:r w:rsidR="00753ED7" w:rsidRPr="0008254F">
        <w:t xml:space="preserve"> du </w:t>
      </w:r>
      <w:r w:rsidR="00753ED7" w:rsidRPr="0008254F">
        <w:rPr>
          <w:i/>
          <w:iCs/>
        </w:rPr>
        <w:t>décide</w:t>
      </w:r>
      <w:r w:rsidR="00753ED7" w:rsidRPr="0008254F">
        <w:t xml:space="preserve">) et le travail de mise en correspondance des Résolutions et des Décisions en vue d'harmoniser les résultats de la Conférence de plénipotentiaires (point </w:t>
      </w:r>
      <w:r w:rsidR="00753ED7" w:rsidRPr="0008254F">
        <w:rPr>
          <w:i/>
          <w:iCs/>
        </w:rPr>
        <w:t>e)</w:t>
      </w:r>
      <w:r w:rsidR="00753ED7" w:rsidRPr="0008254F">
        <w:t xml:space="preserve"> du </w:t>
      </w:r>
      <w:r w:rsidR="00753ED7" w:rsidRPr="0008254F">
        <w:rPr>
          <w:i/>
          <w:iCs/>
        </w:rPr>
        <w:t>décide</w:t>
      </w:r>
      <w:r w:rsidR="00753ED7" w:rsidRPr="0008254F">
        <w:t xml:space="preserve">). Une date a en outre été corrigée dans le point </w:t>
      </w:r>
      <w:r w:rsidR="00753ED7" w:rsidRPr="0008254F">
        <w:rPr>
          <w:i/>
          <w:iCs/>
        </w:rPr>
        <w:t>d)</w:t>
      </w:r>
      <w:r w:rsidR="00753ED7" w:rsidRPr="0008254F">
        <w:t xml:space="preserve"> du </w:t>
      </w:r>
      <w:r w:rsidR="00753ED7" w:rsidRPr="0008254F">
        <w:rPr>
          <w:i/>
          <w:iCs/>
        </w:rPr>
        <w:t>décide</w:t>
      </w:r>
      <w:r w:rsidR="00753ED7" w:rsidRPr="0008254F">
        <w:t>.</w:t>
      </w:r>
      <w:bookmarkEnd w:id="8"/>
    </w:p>
    <w:p w14:paraId="72D9E7F1" w14:textId="2D80FF5C" w:rsidR="00567849" w:rsidRPr="0008254F" w:rsidRDefault="00567849" w:rsidP="002360A6">
      <w:r w:rsidRPr="0008254F">
        <w:t>7.2</w:t>
      </w:r>
      <w:r w:rsidRPr="0008254F">
        <w:tab/>
      </w:r>
      <w:r w:rsidR="00753ED7" w:rsidRPr="0008254F">
        <w:t xml:space="preserve">Répondant à une observation d'un conseiller, le représentant du Secrétariat général confirme </w:t>
      </w:r>
      <w:r w:rsidR="00D211A3" w:rsidRPr="0008254F">
        <w:t>qu'une</w:t>
      </w:r>
      <w:r w:rsidR="00DF20D5" w:rsidRPr="0008254F">
        <w:t xml:space="preserve"> erreur de rédaction s'est glissée</w:t>
      </w:r>
      <w:r w:rsidR="00753ED7" w:rsidRPr="0008254F">
        <w:t xml:space="preserve"> dans l</w:t>
      </w:r>
      <w:r w:rsidR="00D211A3" w:rsidRPr="0008254F">
        <w:t xml:space="preserve">a partie principale du </w:t>
      </w:r>
      <w:r w:rsidR="00D211A3" w:rsidRPr="0008254F">
        <w:rPr>
          <w:i/>
          <w:iCs/>
        </w:rPr>
        <w:t>décide</w:t>
      </w:r>
      <w:r w:rsidR="00D211A3" w:rsidRPr="0008254F">
        <w:t xml:space="preserve">, </w:t>
      </w:r>
      <w:r w:rsidR="00DF20D5" w:rsidRPr="0008254F">
        <w:t>où un membre de phrase doit être supprimé pour qu'il soit clair que le GTC-SFP est ouvert aux États Membres et aux Membres de Secteur, comme cela a été confirmé à la cinquième séance plénière.</w:t>
      </w:r>
    </w:p>
    <w:p w14:paraId="2CA403CF" w14:textId="6A8AFCC2" w:rsidR="00567849" w:rsidRPr="0008254F" w:rsidRDefault="00567849" w:rsidP="002360A6">
      <w:r w:rsidRPr="0008254F">
        <w:t>7.3</w:t>
      </w:r>
      <w:r w:rsidRPr="0008254F">
        <w:tab/>
      </w:r>
      <w:r w:rsidR="00DF20D5" w:rsidRPr="0008254F">
        <w:t xml:space="preserve">Le Conseil </w:t>
      </w:r>
      <w:r w:rsidR="00DF20D5" w:rsidRPr="0008254F">
        <w:rPr>
          <w:b/>
          <w:bCs/>
        </w:rPr>
        <w:t>adopte</w:t>
      </w:r>
      <w:r w:rsidR="00DF20D5" w:rsidRPr="0008254F">
        <w:t xml:space="preserve"> la nouvelle Résolution figurant dans le Document C24/59(Rév.1), sous réserve de la suppression du membre de phrase</w:t>
      </w:r>
      <w:r w:rsidR="007B1C77" w:rsidRPr="0008254F">
        <w:t xml:space="preserve"> </w:t>
      </w:r>
      <w:r w:rsidR="00DF20D5" w:rsidRPr="0008254F">
        <w:t>"…</w:t>
      </w:r>
      <w:r w:rsidR="007B1C77" w:rsidRPr="0008254F">
        <w:t xml:space="preserve">, lorsqu'il sera question du projet de Plan stratégique, ouvert également à la participation" dans le </w:t>
      </w:r>
      <w:r w:rsidR="007B1C77" w:rsidRPr="0008254F">
        <w:rPr>
          <w:i/>
          <w:iCs/>
        </w:rPr>
        <w:t>décide</w:t>
      </w:r>
      <w:r w:rsidR="007B1C77" w:rsidRPr="0008254F">
        <w:t>.</w:t>
      </w:r>
    </w:p>
    <w:p w14:paraId="2B32EE66" w14:textId="31E87900" w:rsidR="00567849" w:rsidRPr="0008254F" w:rsidRDefault="00567849" w:rsidP="002360A6">
      <w:pPr>
        <w:pStyle w:val="Heading1"/>
      </w:pPr>
      <w:r w:rsidRPr="0008254F">
        <w:t>8</w:t>
      </w:r>
      <w:r w:rsidRPr="0008254F">
        <w:tab/>
      </w:r>
      <w:r w:rsidR="002F3B86" w:rsidRPr="0008254F">
        <w:t>Rapport du Président du Groupe de travail du Conseil sur la protection en ligne des enfants (suite</w:t>
      </w:r>
      <w:r w:rsidRPr="0008254F">
        <w:t xml:space="preserve">) (Documents </w:t>
      </w:r>
      <w:hyperlink r:id="rId93" w:history="1">
        <w:r w:rsidRPr="0008254F">
          <w:rPr>
            <w:rStyle w:val="Hyperlink"/>
            <w:bCs/>
            <w:szCs w:val="28"/>
          </w:rPr>
          <w:t>C24/15</w:t>
        </w:r>
      </w:hyperlink>
      <w:r w:rsidRPr="0008254F">
        <w:t xml:space="preserve"> </w:t>
      </w:r>
      <w:r w:rsidR="002F3B86" w:rsidRPr="0008254F">
        <w:t>et</w:t>
      </w:r>
      <w:r w:rsidRPr="0008254F">
        <w:t xml:space="preserve"> </w:t>
      </w:r>
      <w:hyperlink r:id="rId94" w:history="1">
        <w:r w:rsidRPr="0008254F">
          <w:rPr>
            <w:rStyle w:val="Hyperlink"/>
            <w:bCs/>
            <w:szCs w:val="28"/>
          </w:rPr>
          <w:t>C24/102(R</w:t>
        </w:r>
        <w:r w:rsidR="002F3B86" w:rsidRPr="0008254F">
          <w:rPr>
            <w:rStyle w:val="Hyperlink"/>
            <w:bCs/>
            <w:szCs w:val="28"/>
          </w:rPr>
          <w:t>é</w:t>
        </w:r>
        <w:r w:rsidRPr="0008254F">
          <w:rPr>
            <w:rStyle w:val="Hyperlink"/>
            <w:bCs/>
            <w:szCs w:val="28"/>
          </w:rPr>
          <w:t>v.1)</w:t>
        </w:r>
      </w:hyperlink>
      <w:r w:rsidRPr="0008254F">
        <w:t>)</w:t>
      </w:r>
    </w:p>
    <w:p w14:paraId="5BF07C7F" w14:textId="107DD227" w:rsidR="00567849" w:rsidRPr="0008254F" w:rsidRDefault="00567849" w:rsidP="002360A6">
      <w:r w:rsidRPr="0008254F">
        <w:t>8.1</w:t>
      </w:r>
      <w:r w:rsidRPr="0008254F">
        <w:tab/>
      </w:r>
      <w:r w:rsidR="007B1C77" w:rsidRPr="0008254F">
        <w:t>Le Président du Groupe de travail du Conseil sur la protection en ligne des enfants (GTC-COP) fait savoir que le Document C24/102(Rév.1) contient un texte issu d'un consensus concernant la révision de la Résolution 1306 (C09, dernière mod. C15) relative au GTC-COP, élaboré à la suite des consultations informelles lancées à la sixième séance plénière.</w:t>
      </w:r>
    </w:p>
    <w:p w14:paraId="31AB3AD2" w14:textId="5032FC00" w:rsidR="007B1C77" w:rsidRPr="0008254F" w:rsidRDefault="00567849" w:rsidP="002360A6">
      <w:r w:rsidRPr="0008254F">
        <w:t>8.2</w:t>
      </w:r>
      <w:r w:rsidRPr="0008254F">
        <w:tab/>
      </w:r>
      <w:r w:rsidR="007B1C77" w:rsidRPr="0008254F">
        <w:t xml:space="preserve">Le Conseil </w:t>
      </w:r>
      <w:r w:rsidR="007B1C77" w:rsidRPr="0008254F">
        <w:rPr>
          <w:b/>
          <w:bCs/>
        </w:rPr>
        <w:t>adopte</w:t>
      </w:r>
      <w:r w:rsidR="007B1C77" w:rsidRPr="0008254F">
        <w:t xml:space="preserve"> la version révisée de la Résolution 1306 (C09, dernière mod. C15) figurant dans le Document C24/102(Rév.1).</w:t>
      </w:r>
    </w:p>
    <w:p w14:paraId="05309BCC" w14:textId="532A44D5" w:rsidR="00897553" w:rsidRDefault="007B1C77" w:rsidP="002360A6">
      <w:pPr>
        <w:tabs>
          <w:tab w:val="clear" w:pos="567"/>
          <w:tab w:val="clear" w:pos="1134"/>
          <w:tab w:val="clear" w:pos="1701"/>
          <w:tab w:val="clear" w:pos="2268"/>
          <w:tab w:val="clear" w:pos="2835"/>
          <w:tab w:val="left" w:pos="7088"/>
        </w:tabs>
        <w:spacing w:before="840"/>
        <w:jc w:val="both"/>
      </w:pPr>
      <w:r w:rsidRPr="0008254F">
        <w:t xml:space="preserve">La Secrétaire </w:t>
      </w:r>
      <w:proofErr w:type="gramStart"/>
      <w:r w:rsidRPr="0008254F">
        <w:t>générale</w:t>
      </w:r>
      <w:r w:rsidR="00B13494" w:rsidRPr="0008254F">
        <w:t>:</w:t>
      </w:r>
      <w:proofErr w:type="gramEnd"/>
      <w:r w:rsidR="00567849" w:rsidRPr="0008254F">
        <w:tab/>
      </w:r>
      <w:r w:rsidRPr="0008254F">
        <w:t>Le Président</w:t>
      </w:r>
      <w:r w:rsidR="00567849" w:rsidRPr="0008254F">
        <w:t>:</w:t>
      </w:r>
      <w:r w:rsidR="002360A6" w:rsidRPr="0008254F">
        <w:br/>
      </w:r>
      <w:r w:rsidR="00567849" w:rsidRPr="0008254F">
        <w:t>D. BOGDAN-MARTIN</w:t>
      </w:r>
      <w:r w:rsidR="00567849" w:rsidRPr="0008254F">
        <w:tab/>
        <w:t>F. SAUVAGE</w:t>
      </w:r>
    </w:p>
    <w:p w14:paraId="500A153E" w14:textId="4E4D2178" w:rsidR="00741459" w:rsidRPr="0008254F" w:rsidRDefault="00741459" w:rsidP="00741459">
      <w:pPr>
        <w:tabs>
          <w:tab w:val="clear" w:pos="567"/>
          <w:tab w:val="clear" w:pos="1134"/>
          <w:tab w:val="clear" w:pos="1701"/>
          <w:tab w:val="clear" w:pos="2268"/>
          <w:tab w:val="clear" w:pos="2835"/>
          <w:tab w:val="left" w:pos="7088"/>
        </w:tabs>
        <w:spacing w:before="840"/>
        <w:jc w:val="center"/>
      </w:pPr>
      <w:r>
        <w:t>__________________</w:t>
      </w:r>
    </w:p>
    <w:sectPr w:rsidR="00741459" w:rsidRPr="0008254F" w:rsidSect="00D72F49">
      <w:headerReference w:type="even" r:id="rId95"/>
      <w:headerReference w:type="default" r:id="rId96"/>
      <w:footerReference w:type="even" r:id="rId97"/>
      <w:footerReference w:type="default" r:id="rId98"/>
      <w:headerReference w:type="first" r:id="rId99"/>
      <w:footerReference w:type="first" r:id="rId100"/>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B8E9E6" w14:textId="77777777" w:rsidR="00566679" w:rsidRDefault="00566679">
      <w:r>
        <w:separator/>
      </w:r>
    </w:p>
  </w:endnote>
  <w:endnote w:type="continuationSeparator" w:id="0">
    <w:p w14:paraId="3D4797BD" w14:textId="77777777" w:rsidR="00566679" w:rsidRDefault="00566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F0A98" w14:textId="79F00F60" w:rsidR="00732045" w:rsidRPr="0008254F" w:rsidRDefault="0008254F">
    <w:pPr>
      <w:pStyle w:val="Footer"/>
      <w:rPr>
        <w:lang w:val="en-US"/>
      </w:rPr>
    </w:pPr>
    <w:r>
      <w:fldChar w:fldCharType="begin"/>
    </w:r>
    <w:r w:rsidRPr="0008254F">
      <w:rPr>
        <w:lang w:val="en-US"/>
      </w:rPr>
      <w:instrText xml:space="preserve"> FILENAME \p \* MERGEFORMAT </w:instrText>
    </w:r>
    <w:r>
      <w:fldChar w:fldCharType="separate"/>
    </w:r>
    <w:r w:rsidRPr="0008254F">
      <w:rPr>
        <w:lang w:val="en-US"/>
      </w:rPr>
      <w:t>P:\FRA\gDoc\SG\C24\24-01207F.docx</w:t>
    </w:r>
    <w:r>
      <w:fldChar w:fldCharType="end"/>
    </w:r>
    <w:r w:rsidR="00732045" w:rsidRPr="0008254F">
      <w:rPr>
        <w:lang w:val="en-US"/>
      </w:rPr>
      <w:tab/>
    </w:r>
    <w:r w:rsidR="002F1B76">
      <w:fldChar w:fldCharType="begin"/>
    </w:r>
    <w:r w:rsidR="00732045">
      <w:instrText xml:space="preserve"> savedate \@ dd.MM.yy </w:instrText>
    </w:r>
    <w:r w:rsidR="002F1B76">
      <w:fldChar w:fldCharType="separate"/>
    </w:r>
    <w:r w:rsidR="00741459">
      <w:t>04.09.24</w:t>
    </w:r>
    <w:r w:rsidR="002F1B76">
      <w:fldChar w:fldCharType="end"/>
    </w:r>
    <w:r w:rsidR="00732045" w:rsidRPr="0008254F">
      <w:rPr>
        <w:lang w:val="en-US"/>
      </w:rPr>
      <w:tab/>
    </w:r>
    <w:r w:rsidR="002F1B76">
      <w:fldChar w:fldCharType="begin"/>
    </w:r>
    <w:r w:rsidR="00732045">
      <w:instrText xml:space="preserve"> printdate \@ dd.MM.yy </w:instrText>
    </w:r>
    <w:r w:rsidR="002F1B76">
      <w:fldChar w:fldCharType="separate"/>
    </w:r>
    <w:r>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4C87AA90" w14:textId="77777777" w:rsidTr="00E31DCE">
      <w:trPr>
        <w:jc w:val="center"/>
      </w:trPr>
      <w:tc>
        <w:tcPr>
          <w:tcW w:w="1803" w:type="dxa"/>
          <w:vAlign w:val="center"/>
        </w:tcPr>
        <w:p w14:paraId="2C2E77A4" w14:textId="127BBEC8" w:rsidR="00A51849" w:rsidRDefault="00B045E5" w:rsidP="00A51849">
          <w:pPr>
            <w:pStyle w:val="Header"/>
            <w:jc w:val="left"/>
            <w:rPr>
              <w:noProof/>
            </w:rPr>
          </w:pPr>
          <w:r>
            <w:rPr>
              <w:noProof/>
            </w:rPr>
            <w:t>24-01207</w:t>
          </w:r>
        </w:p>
      </w:tc>
      <w:tc>
        <w:tcPr>
          <w:tcW w:w="8261" w:type="dxa"/>
        </w:tcPr>
        <w:p w14:paraId="0DB0A3C6" w14:textId="2B82BCFC"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B045E5">
            <w:rPr>
              <w:bCs/>
            </w:rPr>
            <w:t>120</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0BA722AB" w14:textId="18FAD15F" w:rsidR="00732045" w:rsidRPr="00A51849" w:rsidRDefault="00732045" w:rsidP="006A11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5C9C0095" w14:textId="77777777" w:rsidTr="00E31DCE">
      <w:trPr>
        <w:jc w:val="center"/>
      </w:trPr>
      <w:tc>
        <w:tcPr>
          <w:tcW w:w="1803" w:type="dxa"/>
          <w:vAlign w:val="center"/>
        </w:tcPr>
        <w:p w14:paraId="5151DAA0" w14:textId="77777777" w:rsidR="00A51849" w:rsidRPr="0082299A" w:rsidRDefault="00741459" w:rsidP="00A51849">
          <w:pPr>
            <w:pStyle w:val="Header"/>
            <w:jc w:val="left"/>
            <w:rPr>
              <w:noProof/>
              <w:color w:val="0563C1"/>
            </w:rPr>
          </w:pPr>
          <w:hyperlink r:id="rId1" w:history="1">
            <w:r w:rsidR="00A51849" w:rsidRPr="0082299A">
              <w:rPr>
                <w:rStyle w:val="Hyperlink"/>
                <w:color w:val="0563C1"/>
                <w:szCs w:val="14"/>
              </w:rPr>
              <w:t>www.itu.int/council</w:t>
            </w:r>
          </w:hyperlink>
        </w:p>
      </w:tc>
      <w:tc>
        <w:tcPr>
          <w:tcW w:w="8261" w:type="dxa"/>
        </w:tcPr>
        <w:p w14:paraId="4C3D0956" w14:textId="01B9DD60"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B045E5">
            <w:rPr>
              <w:bCs/>
            </w:rPr>
            <w:t>120</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67CF33E3" w14:textId="2CC2E310" w:rsidR="00732045" w:rsidRPr="00A51849" w:rsidRDefault="00732045" w:rsidP="006A1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C12B46" w14:textId="77777777" w:rsidR="00566679" w:rsidRDefault="00566679">
      <w:r>
        <w:t>____________________</w:t>
      </w:r>
    </w:p>
  </w:footnote>
  <w:footnote w:type="continuationSeparator" w:id="0">
    <w:p w14:paraId="073173F3" w14:textId="77777777" w:rsidR="00566679" w:rsidRDefault="00566679">
      <w:r>
        <w:continuationSeparator/>
      </w:r>
    </w:p>
  </w:footnote>
  <w:footnote w:id="1">
    <w:p w14:paraId="1761A10F" w14:textId="4DAD3B4A" w:rsidR="00BF7C71" w:rsidRPr="00D670F9" w:rsidRDefault="00BF7C71" w:rsidP="00BF7C71">
      <w:pPr>
        <w:pStyle w:val="FootnoteText"/>
        <w:rPr>
          <w:lang w:val="fr-CH"/>
        </w:rPr>
      </w:pPr>
      <w:r>
        <w:rPr>
          <w:rStyle w:val="FootnoteReference"/>
        </w:rPr>
        <w:t>*</w:t>
      </w:r>
      <w:r>
        <w:tab/>
      </w:r>
      <w:r>
        <w:rPr>
          <w:lang w:val="fr-CH"/>
        </w:rPr>
        <w:t xml:space="preserve">Dans le Document C24/109, le libellé des parties des recommandations faisant mention d'une annexe du Document C24/109 est "dans l'Annexe XX du </w:t>
      </w:r>
      <w:r>
        <w:rPr>
          <w:i/>
          <w:iCs/>
          <w:lang w:val="fr-CH"/>
        </w:rPr>
        <w:t>présent rapport</w:t>
      </w:r>
      <w:r>
        <w:rPr>
          <w:lang w:val="fr-CH"/>
        </w:rPr>
        <w:t xml:space="preserve">", lequel est remplacé par "dans l'Annexe XX du </w:t>
      </w:r>
      <w:r>
        <w:rPr>
          <w:i/>
          <w:iCs/>
          <w:lang w:val="fr-CH"/>
        </w:rPr>
        <w:t>Document C24/109</w:t>
      </w:r>
      <w:r>
        <w:rPr>
          <w:lang w:val="fr-CH"/>
        </w:rPr>
        <w:t>" dans le présente compte rendu, dans un souci de clarté et pour faciliter les références.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DD4A7"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0E3D5AC"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1872451"/>
      <w:docPartObj>
        <w:docPartGallery w:val="Page Numbers (Top of Page)"/>
        <w:docPartUnique/>
      </w:docPartObj>
    </w:sdtPr>
    <w:sdtEndPr>
      <w:rPr>
        <w:noProof/>
      </w:rPr>
    </w:sdtEndPr>
    <w:sdtContent>
      <w:p w14:paraId="7EB64A1D" w14:textId="0B79A9FB" w:rsidR="006A11AE" w:rsidRDefault="006A11AE">
        <w:pPr>
          <w:pStyle w:val="Header"/>
        </w:pPr>
        <w:r>
          <w:fldChar w:fldCharType="begin"/>
        </w:r>
        <w:r>
          <w:instrText xml:space="preserve"> PAGE   \* MERGEFORMAT </w:instrText>
        </w:r>
        <w:r>
          <w:fldChar w:fldCharType="separate"/>
        </w:r>
        <w:r>
          <w:rPr>
            <w:noProof/>
          </w:rPr>
          <w:t>2</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33F25067" w14:textId="77777777" w:rsidTr="00E31DCE">
      <w:trPr>
        <w:trHeight w:val="1104"/>
        <w:jc w:val="center"/>
      </w:trPr>
      <w:tc>
        <w:tcPr>
          <w:tcW w:w="4390" w:type="dxa"/>
          <w:vAlign w:val="center"/>
        </w:tcPr>
        <w:p w14:paraId="113CB22E" w14:textId="00251A84" w:rsidR="00A51849" w:rsidRPr="009621F8" w:rsidRDefault="0082299A" w:rsidP="00A51849">
          <w:pPr>
            <w:pStyle w:val="Header"/>
            <w:jc w:val="left"/>
            <w:rPr>
              <w:rFonts w:ascii="Arial" w:hAnsi="Arial" w:cs="Arial"/>
              <w:b/>
              <w:bCs/>
              <w:color w:val="009CD6"/>
              <w:sz w:val="36"/>
              <w:szCs w:val="36"/>
            </w:rPr>
          </w:pPr>
          <w:r>
            <w:rPr>
              <w:noProof/>
            </w:rPr>
            <w:drawing>
              <wp:inline distT="0" distB="0" distL="0" distR="0" wp14:anchorId="68486828" wp14:editId="1DE66D1A">
                <wp:extent cx="2102400" cy="558000"/>
                <wp:effectExtent l="0" t="0" r="0" b="0"/>
                <wp:docPr id="2301411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2400" cy="558000"/>
                        </a:xfrm>
                        <a:prstGeom prst="rect">
                          <a:avLst/>
                        </a:prstGeom>
                        <a:noFill/>
                        <a:ln>
                          <a:noFill/>
                        </a:ln>
                      </pic:spPr>
                    </pic:pic>
                  </a:graphicData>
                </a:graphic>
              </wp:inline>
            </w:drawing>
          </w:r>
        </w:p>
      </w:tc>
      <w:tc>
        <w:tcPr>
          <w:tcW w:w="5630" w:type="dxa"/>
        </w:tcPr>
        <w:p w14:paraId="608C3FDD" w14:textId="77777777" w:rsidR="00A51849" w:rsidRDefault="00A51849" w:rsidP="00A51849">
          <w:pPr>
            <w:pStyle w:val="Header"/>
            <w:jc w:val="right"/>
            <w:rPr>
              <w:rFonts w:ascii="Arial" w:hAnsi="Arial" w:cs="Arial"/>
              <w:b/>
              <w:bCs/>
              <w:color w:val="009CD6"/>
              <w:szCs w:val="18"/>
            </w:rPr>
          </w:pPr>
        </w:p>
        <w:p w14:paraId="7F7AE11D" w14:textId="77777777" w:rsidR="00A51849" w:rsidRDefault="00A51849" w:rsidP="00A51849">
          <w:pPr>
            <w:pStyle w:val="Header"/>
            <w:jc w:val="right"/>
            <w:rPr>
              <w:rFonts w:ascii="Arial" w:hAnsi="Arial" w:cs="Arial"/>
              <w:b/>
              <w:bCs/>
              <w:color w:val="009CD6"/>
              <w:szCs w:val="18"/>
            </w:rPr>
          </w:pPr>
        </w:p>
        <w:p w14:paraId="281B21F4" w14:textId="77777777" w:rsidR="00A51849" w:rsidRPr="00784011" w:rsidRDefault="00A51849"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203532F"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C0D2914" wp14:editId="0FEDBB8F">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407AF"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91C77"/>
    <w:multiLevelType w:val="hybridMultilevel"/>
    <w:tmpl w:val="789A2CBC"/>
    <w:lvl w:ilvl="0" w:tplc="0809000B">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5B683B"/>
    <w:multiLevelType w:val="hybridMultilevel"/>
    <w:tmpl w:val="BA4EF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5432B9"/>
    <w:multiLevelType w:val="hybridMultilevel"/>
    <w:tmpl w:val="4F7CA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0F0915"/>
    <w:multiLevelType w:val="hybridMultilevel"/>
    <w:tmpl w:val="52389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CB299D"/>
    <w:multiLevelType w:val="hybridMultilevel"/>
    <w:tmpl w:val="66DC5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E93A31"/>
    <w:multiLevelType w:val="hybridMultilevel"/>
    <w:tmpl w:val="6F349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715829"/>
    <w:multiLevelType w:val="hybridMultilevel"/>
    <w:tmpl w:val="ED14C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103EFB"/>
    <w:multiLevelType w:val="hybridMultilevel"/>
    <w:tmpl w:val="BC546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F704F7"/>
    <w:multiLevelType w:val="hybridMultilevel"/>
    <w:tmpl w:val="40881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9B152E"/>
    <w:multiLevelType w:val="hybridMultilevel"/>
    <w:tmpl w:val="55945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F424DD"/>
    <w:multiLevelType w:val="hybridMultilevel"/>
    <w:tmpl w:val="C4D4B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8147C5"/>
    <w:multiLevelType w:val="hybridMultilevel"/>
    <w:tmpl w:val="177AF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5E0AF9"/>
    <w:multiLevelType w:val="hybridMultilevel"/>
    <w:tmpl w:val="3A0AE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2232248">
    <w:abstractNumId w:val="0"/>
  </w:num>
  <w:num w:numId="2" w16cid:durableId="475881622">
    <w:abstractNumId w:val="11"/>
  </w:num>
  <w:num w:numId="3" w16cid:durableId="685863523">
    <w:abstractNumId w:val="4"/>
  </w:num>
  <w:num w:numId="4" w16cid:durableId="2103337056">
    <w:abstractNumId w:val="5"/>
  </w:num>
  <w:num w:numId="5" w16cid:durableId="186607744">
    <w:abstractNumId w:val="10"/>
  </w:num>
  <w:num w:numId="6" w16cid:durableId="1255823558">
    <w:abstractNumId w:val="3"/>
  </w:num>
  <w:num w:numId="7" w16cid:durableId="1735010057">
    <w:abstractNumId w:val="8"/>
  </w:num>
  <w:num w:numId="8" w16cid:durableId="1184707236">
    <w:abstractNumId w:val="12"/>
  </w:num>
  <w:num w:numId="9" w16cid:durableId="2144149401">
    <w:abstractNumId w:val="1"/>
  </w:num>
  <w:num w:numId="10" w16cid:durableId="1902013497">
    <w:abstractNumId w:val="6"/>
  </w:num>
  <w:num w:numId="11" w16cid:durableId="411203687">
    <w:abstractNumId w:val="9"/>
  </w:num>
  <w:num w:numId="12" w16cid:durableId="1651329047">
    <w:abstractNumId w:val="2"/>
  </w:num>
  <w:num w:numId="13" w16cid:durableId="13804030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8F"/>
    <w:rsid w:val="0003503B"/>
    <w:rsid w:val="0007425B"/>
    <w:rsid w:val="00076A2C"/>
    <w:rsid w:val="0008254F"/>
    <w:rsid w:val="00083A53"/>
    <w:rsid w:val="000C094E"/>
    <w:rsid w:val="000D0D0A"/>
    <w:rsid w:val="00103163"/>
    <w:rsid w:val="00106B19"/>
    <w:rsid w:val="001133EF"/>
    <w:rsid w:val="0011433F"/>
    <w:rsid w:val="00115D93"/>
    <w:rsid w:val="001247A8"/>
    <w:rsid w:val="00132D2A"/>
    <w:rsid w:val="001378C0"/>
    <w:rsid w:val="0018694A"/>
    <w:rsid w:val="001A3287"/>
    <w:rsid w:val="001A6508"/>
    <w:rsid w:val="001B1BED"/>
    <w:rsid w:val="001D0C98"/>
    <w:rsid w:val="001D4C31"/>
    <w:rsid w:val="001E4D21"/>
    <w:rsid w:val="00207CD1"/>
    <w:rsid w:val="00217CE7"/>
    <w:rsid w:val="00226657"/>
    <w:rsid w:val="002360A6"/>
    <w:rsid w:val="002477A2"/>
    <w:rsid w:val="0025286A"/>
    <w:rsid w:val="00263A51"/>
    <w:rsid w:val="00263E05"/>
    <w:rsid w:val="00267E02"/>
    <w:rsid w:val="00271381"/>
    <w:rsid w:val="002921DB"/>
    <w:rsid w:val="002A5D44"/>
    <w:rsid w:val="002E0BC4"/>
    <w:rsid w:val="002F1B76"/>
    <w:rsid w:val="002F3B86"/>
    <w:rsid w:val="002F541D"/>
    <w:rsid w:val="002F5F19"/>
    <w:rsid w:val="003142C5"/>
    <w:rsid w:val="0033568E"/>
    <w:rsid w:val="00346FB5"/>
    <w:rsid w:val="00355FF5"/>
    <w:rsid w:val="00361350"/>
    <w:rsid w:val="00365AB7"/>
    <w:rsid w:val="003821FF"/>
    <w:rsid w:val="003B21FE"/>
    <w:rsid w:val="003C3AC2"/>
    <w:rsid w:val="003C3FAE"/>
    <w:rsid w:val="003E28DF"/>
    <w:rsid w:val="004038CB"/>
    <w:rsid w:val="0040546F"/>
    <w:rsid w:val="0041046D"/>
    <w:rsid w:val="0042404A"/>
    <w:rsid w:val="0044618F"/>
    <w:rsid w:val="00446B47"/>
    <w:rsid w:val="00447789"/>
    <w:rsid w:val="0046769A"/>
    <w:rsid w:val="00475FB3"/>
    <w:rsid w:val="004C37A9"/>
    <w:rsid w:val="004D1D50"/>
    <w:rsid w:val="004D3D6D"/>
    <w:rsid w:val="004F259E"/>
    <w:rsid w:val="004F6F08"/>
    <w:rsid w:val="005049A1"/>
    <w:rsid w:val="00511F1D"/>
    <w:rsid w:val="00520F36"/>
    <w:rsid w:val="00534E13"/>
    <w:rsid w:val="00540615"/>
    <w:rsid w:val="00540A6D"/>
    <w:rsid w:val="00553A08"/>
    <w:rsid w:val="00566679"/>
    <w:rsid w:val="00567849"/>
    <w:rsid w:val="00571EEA"/>
    <w:rsid w:val="00575417"/>
    <w:rsid w:val="005768E1"/>
    <w:rsid w:val="005824A9"/>
    <w:rsid w:val="0058769B"/>
    <w:rsid w:val="00593778"/>
    <w:rsid w:val="005B1938"/>
    <w:rsid w:val="005C3217"/>
    <w:rsid w:val="005C3890"/>
    <w:rsid w:val="005C5DC0"/>
    <w:rsid w:val="005F7BFE"/>
    <w:rsid w:val="00600017"/>
    <w:rsid w:val="0060425A"/>
    <w:rsid w:val="0061508E"/>
    <w:rsid w:val="00616D7D"/>
    <w:rsid w:val="006235CA"/>
    <w:rsid w:val="006643AB"/>
    <w:rsid w:val="0067301B"/>
    <w:rsid w:val="00691800"/>
    <w:rsid w:val="006A11AE"/>
    <w:rsid w:val="006B2375"/>
    <w:rsid w:val="006F0A53"/>
    <w:rsid w:val="007210CD"/>
    <w:rsid w:val="00732045"/>
    <w:rsid w:val="0073275D"/>
    <w:rsid w:val="007369DB"/>
    <w:rsid w:val="00741459"/>
    <w:rsid w:val="00753ED7"/>
    <w:rsid w:val="00770851"/>
    <w:rsid w:val="007956C2"/>
    <w:rsid w:val="00795C76"/>
    <w:rsid w:val="007A187E"/>
    <w:rsid w:val="007B1C77"/>
    <w:rsid w:val="007C436A"/>
    <w:rsid w:val="007C5645"/>
    <w:rsid w:val="007C72C2"/>
    <w:rsid w:val="007D4436"/>
    <w:rsid w:val="007D799C"/>
    <w:rsid w:val="007F257A"/>
    <w:rsid w:val="007F3665"/>
    <w:rsid w:val="007F4864"/>
    <w:rsid w:val="00800037"/>
    <w:rsid w:val="00806C32"/>
    <w:rsid w:val="0081607F"/>
    <w:rsid w:val="0082299A"/>
    <w:rsid w:val="0083391C"/>
    <w:rsid w:val="00843305"/>
    <w:rsid w:val="008461FE"/>
    <w:rsid w:val="0084785A"/>
    <w:rsid w:val="00860407"/>
    <w:rsid w:val="00861D73"/>
    <w:rsid w:val="00897553"/>
    <w:rsid w:val="008A4E87"/>
    <w:rsid w:val="008D76E6"/>
    <w:rsid w:val="008E23BE"/>
    <w:rsid w:val="008F0DA3"/>
    <w:rsid w:val="00913849"/>
    <w:rsid w:val="00920484"/>
    <w:rsid w:val="0092392D"/>
    <w:rsid w:val="0093234A"/>
    <w:rsid w:val="00956A78"/>
    <w:rsid w:val="009576A5"/>
    <w:rsid w:val="0097363B"/>
    <w:rsid w:val="00973F53"/>
    <w:rsid w:val="009764F3"/>
    <w:rsid w:val="009A6BAA"/>
    <w:rsid w:val="009C307F"/>
    <w:rsid w:val="009C353C"/>
    <w:rsid w:val="009C677F"/>
    <w:rsid w:val="00A153A3"/>
    <w:rsid w:val="00A157C0"/>
    <w:rsid w:val="00A2113E"/>
    <w:rsid w:val="00A23A51"/>
    <w:rsid w:val="00A24607"/>
    <w:rsid w:val="00A25CD3"/>
    <w:rsid w:val="00A46D5E"/>
    <w:rsid w:val="00A51849"/>
    <w:rsid w:val="00A521A4"/>
    <w:rsid w:val="00A709FE"/>
    <w:rsid w:val="00A73C60"/>
    <w:rsid w:val="00A82767"/>
    <w:rsid w:val="00AA332F"/>
    <w:rsid w:val="00AA7BBB"/>
    <w:rsid w:val="00AB64A8"/>
    <w:rsid w:val="00AC0266"/>
    <w:rsid w:val="00AD24EC"/>
    <w:rsid w:val="00AD54A1"/>
    <w:rsid w:val="00B045E5"/>
    <w:rsid w:val="00B13494"/>
    <w:rsid w:val="00B243BC"/>
    <w:rsid w:val="00B309F9"/>
    <w:rsid w:val="00B32B60"/>
    <w:rsid w:val="00B5380E"/>
    <w:rsid w:val="00B60CCD"/>
    <w:rsid w:val="00B61619"/>
    <w:rsid w:val="00BB4545"/>
    <w:rsid w:val="00BC2FDF"/>
    <w:rsid w:val="00BD5873"/>
    <w:rsid w:val="00BF4B60"/>
    <w:rsid w:val="00BF4B9E"/>
    <w:rsid w:val="00BF7C71"/>
    <w:rsid w:val="00C04BE3"/>
    <w:rsid w:val="00C12A1B"/>
    <w:rsid w:val="00C25D29"/>
    <w:rsid w:val="00C27A7C"/>
    <w:rsid w:val="00C42437"/>
    <w:rsid w:val="00C52FCD"/>
    <w:rsid w:val="00CA08ED"/>
    <w:rsid w:val="00CB0079"/>
    <w:rsid w:val="00CC1F5D"/>
    <w:rsid w:val="00CF183B"/>
    <w:rsid w:val="00D04AAE"/>
    <w:rsid w:val="00D15AB0"/>
    <w:rsid w:val="00D211A3"/>
    <w:rsid w:val="00D375CD"/>
    <w:rsid w:val="00D553A2"/>
    <w:rsid w:val="00D56838"/>
    <w:rsid w:val="00D6150C"/>
    <w:rsid w:val="00D670F9"/>
    <w:rsid w:val="00D72F49"/>
    <w:rsid w:val="00D774D3"/>
    <w:rsid w:val="00D80CBA"/>
    <w:rsid w:val="00D904E8"/>
    <w:rsid w:val="00DA08C3"/>
    <w:rsid w:val="00DB5A3E"/>
    <w:rsid w:val="00DC22AA"/>
    <w:rsid w:val="00DE1E9D"/>
    <w:rsid w:val="00DF20D5"/>
    <w:rsid w:val="00DF74DD"/>
    <w:rsid w:val="00E15B00"/>
    <w:rsid w:val="00E24383"/>
    <w:rsid w:val="00E25AD0"/>
    <w:rsid w:val="00E4428F"/>
    <w:rsid w:val="00E93668"/>
    <w:rsid w:val="00E95647"/>
    <w:rsid w:val="00EA7826"/>
    <w:rsid w:val="00EB0B40"/>
    <w:rsid w:val="00EB25C7"/>
    <w:rsid w:val="00EB6350"/>
    <w:rsid w:val="00F106A5"/>
    <w:rsid w:val="00F15B57"/>
    <w:rsid w:val="00F30F9F"/>
    <w:rsid w:val="00F35EF4"/>
    <w:rsid w:val="00F37FE5"/>
    <w:rsid w:val="00F427DB"/>
    <w:rsid w:val="00F719CE"/>
    <w:rsid w:val="00F81820"/>
    <w:rsid w:val="00FA5EB1"/>
    <w:rsid w:val="00FA7439"/>
    <w:rsid w:val="00FC4EC0"/>
    <w:rsid w:val="00FC5E09"/>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3AECB"/>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S24-CL-C-0102/en" TargetMode="External"/><Relationship Id="rId21" Type="http://schemas.openxmlformats.org/officeDocument/2006/relationships/hyperlink" Target="https://www.itu.int/md/S24-CL-C-0012/en" TargetMode="External"/><Relationship Id="rId42" Type="http://schemas.openxmlformats.org/officeDocument/2006/relationships/hyperlink" Target="https://www.itu.int/md/S24-CL-C-0083/en" TargetMode="External"/><Relationship Id="rId47" Type="http://schemas.openxmlformats.org/officeDocument/2006/relationships/hyperlink" Target="https://www.itu.int/md/S24-CL-C-0034/en" TargetMode="External"/><Relationship Id="rId63" Type="http://schemas.openxmlformats.org/officeDocument/2006/relationships/hyperlink" Target="https://www.itu.int/md/S24-CL-C-0049/en" TargetMode="External"/><Relationship Id="rId68" Type="http://schemas.openxmlformats.org/officeDocument/2006/relationships/hyperlink" Target="https://www.itu.int/md/S24-CL-C-0010/en" TargetMode="External"/><Relationship Id="rId84" Type="http://schemas.openxmlformats.org/officeDocument/2006/relationships/hyperlink" Target="https://www.itu.int/md/S24-CL-240604-TD-0007/en" TargetMode="External"/><Relationship Id="rId89" Type="http://schemas.openxmlformats.org/officeDocument/2006/relationships/hyperlink" Target="https://www.itu.int/md/S24-CL-C-0012/en" TargetMode="External"/><Relationship Id="rId16" Type="http://schemas.openxmlformats.org/officeDocument/2006/relationships/hyperlink" Target="https://www.itu.int/md/S24-CL-240604-TD-0007/en" TargetMode="External"/><Relationship Id="rId11" Type="http://schemas.openxmlformats.org/officeDocument/2006/relationships/hyperlink" Target="https://www.itu.int/md/S24-CL-C-0075/en" TargetMode="External"/><Relationship Id="rId32" Type="http://schemas.openxmlformats.org/officeDocument/2006/relationships/hyperlink" Target="https://www.itu.int/md/S24-CL-C-0046/en" TargetMode="External"/><Relationship Id="rId37" Type="http://schemas.openxmlformats.org/officeDocument/2006/relationships/hyperlink" Target="https://www.itu.int/md/S24-CL-240604-TD-0009/en" TargetMode="External"/><Relationship Id="rId53" Type="http://schemas.openxmlformats.org/officeDocument/2006/relationships/hyperlink" Target="https://www.itu.int/md/S24-CL-C-0040/en" TargetMode="External"/><Relationship Id="rId58" Type="http://schemas.openxmlformats.org/officeDocument/2006/relationships/hyperlink" Target="https://www.itu.int/md/S24-CL-C-0044/en" TargetMode="External"/><Relationship Id="rId74" Type="http://schemas.openxmlformats.org/officeDocument/2006/relationships/hyperlink" Target="https://www.itu.int/md/S24-CL-C-0061/en" TargetMode="External"/><Relationship Id="rId79" Type="http://schemas.openxmlformats.org/officeDocument/2006/relationships/hyperlink" Target="https://www.itu.int/md/S24-CL-C-0075/en" TargetMode="External"/><Relationship Id="rId102"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s://www.itu.int/md/S24-CL-C-0080/en" TargetMode="External"/><Relationship Id="rId95" Type="http://schemas.openxmlformats.org/officeDocument/2006/relationships/header" Target="header1.xml"/><Relationship Id="rId22" Type="http://schemas.openxmlformats.org/officeDocument/2006/relationships/hyperlink" Target="https://www.itu.int/md/S24-CL-C-0080/en" TargetMode="External"/><Relationship Id="rId27" Type="http://schemas.openxmlformats.org/officeDocument/2006/relationships/hyperlink" Target="https://www.itu.int/md/S24-CL-C-0109/en" TargetMode="External"/><Relationship Id="rId43" Type="http://schemas.openxmlformats.org/officeDocument/2006/relationships/hyperlink" Target="https://www.itu.int/md/S24-CL-C-0094/en" TargetMode="External"/><Relationship Id="rId48" Type="http://schemas.openxmlformats.org/officeDocument/2006/relationships/hyperlink" Target="https://www.itu.int/md/S24-CL-C-0053/en" TargetMode="External"/><Relationship Id="rId64" Type="http://schemas.openxmlformats.org/officeDocument/2006/relationships/hyperlink" Target="https://www.itu.int/md/S24-CL-C-0057/en" TargetMode="External"/><Relationship Id="rId69" Type="http://schemas.openxmlformats.org/officeDocument/2006/relationships/hyperlink" Target="https://www.itu.int/md/S24-CL-C-0039/en" TargetMode="External"/><Relationship Id="rId80" Type="http://schemas.openxmlformats.org/officeDocument/2006/relationships/hyperlink" Target="https://www.itu.int/md/S24-CL-C-0076/en" TargetMode="External"/><Relationship Id="rId85" Type="http://schemas.openxmlformats.org/officeDocument/2006/relationships/hyperlink" Target="https://www.itu.int/md/S24-CL-C-0033/en" TargetMode="External"/><Relationship Id="rId12" Type="http://schemas.openxmlformats.org/officeDocument/2006/relationships/hyperlink" Target="https://www.itu.int/md/S24-CL-C-0076/en" TargetMode="External"/><Relationship Id="rId17" Type="http://schemas.openxmlformats.org/officeDocument/2006/relationships/hyperlink" Target="https://www.itu.int/md/S24-CL-C-0033/en" TargetMode="External"/><Relationship Id="rId25" Type="http://schemas.openxmlformats.org/officeDocument/2006/relationships/hyperlink" Target="https://www.itu.int/md/S24-CL-C-0015/en" TargetMode="External"/><Relationship Id="rId33" Type="http://schemas.openxmlformats.org/officeDocument/2006/relationships/hyperlink" Target="https://www.itu.int/md/S24-CL-C-0011/en" TargetMode="External"/><Relationship Id="rId38" Type="http://schemas.openxmlformats.org/officeDocument/2006/relationships/hyperlink" Target="https://www.itu.int/md/S24-CWGFHR18-C-0006/en" TargetMode="External"/><Relationship Id="rId46" Type="http://schemas.openxmlformats.org/officeDocument/2006/relationships/hyperlink" Target="https://www.itu.int/md/S24-CL-240604-TD-0004/en" TargetMode="External"/><Relationship Id="rId59" Type="http://schemas.openxmlformats.org/officeDocument/2006/relationships/hyperlink" Target="https://www.itu.int/md/S24-CL-C-0047/en" TargetMode="External"/><Relationship Id="rId67" Type="http://schemas.openxmlformats.org/officeDocument/2006/relationships/hyperlink" Target="https://www.itu.int/md/S24-CL-C-0016/en" TargetMode="External"/><Relationship Id="rId20" Type="http://schemas.openxmlformats.org/officeDocument/2006/relationships/hyperlink" Target="https://www.itu.int/md/S24-CL-C-0087/en" TargetMode="External"/><Relationship Id="rId41" Type="http://schemas.openxmlformats.org/officeDocument/2006/relationships/hyperlink" Target="https://www.itu.int/md/S24-CL-C-0048/en" TargetMode="External"/><Relationship Id="rId54" Type="http://schemas.openxmlformats.org/officeDocument/2006/relationships/hyperlink" Target="https://www.itu.int/md/S24-CL-C-0041/en" TargetMode="External"/><Relationship Id="rId62" Type="http://schemas.openxmlformats.org/officeDocument/2006/relationships/hyperlink" Target="https://www.itu.int/md/S24-CL-C-0062/en" TargetMode="External"/><Relationship Id="rId70" Type="http://schemas.openxmlformats.org/officeDocument/2006/relationships/hyperlink" Target="https://www.itu.int/md/S24-CL-C-0058/en" TargetMode="External"/><Relationship Id="rId75" Type="http://schemas.openxmlformats.org/officeDocument/2006/relationships/hyperlink" Target="https://www.itu.int/md/S24-CL-C-0097/en" TargetMode="External"/><Relationship Id="rId83" Type="http://schemas.openxmlformats.org/officeDocument/2006/relationships/hyperlink" Target="https://www.itu.int/md/S24-CL-C-0096/en" TargetMode="External"/><Relationship Id="rId88" Type="http://schemas.openxmlformats.org/officeDocument/2006/relationships/hyperlink" Target="https://www.itu.int/md/S24-CL-C-0087/en" TargetMode="External"/><Relationship Id="rId91" Type="http://schemas.openxmlformats.org/officeDocument/2006/relationships/hyperlink" Target="https://www.itu.int/md/S24-CL-C-0081/en" TargetMode="External"/><Relationship Id="rId9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S24-CL-C-0096/en" TargetMode="External"/><Relationship Id="rId23" Type="http://schemas.openxmlformats.org/officeDocument/2006/relationships/hyperlink" Target="https://www.itu.int/md/S24-CL-C-0081/en" TargetMode="External"/><Relationship Id="rId28" Type="http://schemas.openxmlformats.org/officeDocument/2006/relationships/hyperlink" Target="https://www.itu.int/md/S24-CL-C-0029/en" TargetMode="External"/><Relationship Id="rId36" Type="http://schemas.openxmlformats.org/officeDocument/2006/relationships/hyperlink" Target="https://www.itu.int/md/S24-CL-240604-TD-0005/en" TargetMode="External"/><Relationship Id="rId49" Type="http://schemas.openxmlformats.org/officeDocument/2006/relationships/hyperlink" Target="https://www.itu.int/md/S24-CL-C-0101/en" TargetMode="External"/><Relationship Id="rId57" Type="http://schemas.openxmlformats.org/officeDocument/2006/relationships/hyperlink" Target="https://www.itu.int/md/S24-CL-C-0022/en" TargetMode="External"/><Relationship Id="rId10" Type="http://schemas.openxmlformats.org/officeDocument/2006/relationships/hyperlink" Target="https://www.itu.int/md/S24-CL-C-0005/en" TargetMode="External"/><Relationship Id="rId31" Type="http://schemas.openxmlformats.org/officeDocument/2006/relationships/hyperlink" Target="https://www.itu.int/md/S24-CL-C-0071/en" TargetMode="External"/><Relationship Id="rId44" Type="http://schemas.openxmlformats.org/officeDocument/2006/relationships/hyperlink" Target="https://www.itu.int/md/S24-CL-C-0104/en" TargetMode="External"/><Relationship Id="rId52" Type="http://schemas.openxmlformats.org/officeDocument/2006/relationships/hyperlink" Target="https://www.itu.int/md/S24-CL-C-0092/en" TargetMode="External"/><Relationship Id="rId60" Type="http://schemas.openxmlformats.org/officeDocument/2006/relationships/hyperlink" Target="https://www.itu.int/md/S24-CL-C-0014/en" TargetMode="External"/><Relationship Id="rId65" Type="http://schemas.openxmlformats.org/officeDocument/2006/relationships/hyperlink" Target="https://www.itu.int/md/S24-CL-C-0019/en" TargetMode="External"/><Relationship Id="rId73" Type="http://schemas.openxmlformats.org/officeDocument/2006/relationships/hyperlink" Target="https://www.itu.int/md/S24-CL-C-0054/en" TargetMode="External"/><Relationship Id="rId78" Type="http://schemas.openxmlformats.org/officeDocument/2006/relationships/hyperlink" Target="https://www.itu.int/md/S24-CL-C-0005/en" TargetMode="External"/><Relationship Id="rId81" Type="http://schemas.openxmlformats.org/officeDocument/2006/relationships/hyperlink" Target="https://www.itu.int/md/S24-CL-C-0093/en" TargetMode="External"/><Relationship Id="rId86" Type="http://schemas.openxmlformats.org/officeDocument/2006/relationships/hyperlink" Target="https://www.itu.int/md/S24-CL-240604-TD-0008/en" TargetMode="External"/><Relationship Id="rId94" Type="http://schemas.openxmlformats.org/officeDocument/2006/relationships/hyperlink" Target="https://www.itu.int/md/S24-CL-C-0102/en" TargetMode="External"/><Relationship Id="rId99" Type="http://schemas.openxmlformats.org/officeDocument/2006/relationships/header" Target="header3.xm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md/S24-CL-C-0032/en" TargetMode="External"/><Relationship Id="rId13" Type="http://schemas.openxmlformats.org/officeDocument/2006/relationships/hyperlink" Target="https://www.itu.int/md/S24-CL-C-0093/en" TargetMode="External"/><Relationship Id="rId18" Type="http://schemas.openxmlformats.org/officeDocument/2006/relationships/hyperlink" Target="https://www.itu.int/md/S24-CL-240604-TD-0008/en" TargetMode="External"/><Relationship Id="rId39" Type="http://schemas.openxmlformats.org/officeDocument/2006/relationships/hyperlink" Target="https://www.itu.int/md/S24-CWGFHR18-C-0008/en" TargetMode="External"/><Relationship Id="rId34" Type="http://schemas.openxmlformats.org/officeDocument/2006/relationships/hyperlink" Target="https://www.itu.int/md/S24-CL-C-0050/en" TargetMode="External"/><Relationship Id="rId50" Type="http://schemas.openxmlformats.org/officeDocument/2006/relationships/hyperlink" Target="https://www.itu.int/md/S24-CL-C-0063/en" TargetMode="External"/><Relationship Id="rId55" Type="http://schemas.openxmlformats.org/officeDocument/2006/relationships/hyperlink" Target="https://www.itu.int/md/S24-CL-C-0042/en" TargetMode="External"/><Relationship Id="rId76" Type="http://schemas.openxmlformats.org/officeDocument/2006/relationships/hyperlink" Target="https://www.itu.int/md/S24-CL-C-0032/en" TargetMode="External"/><Relationship Id="rId97"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www.itu.int/md/S24-CL-C-0070/en" TargetMode="External"/><Relationship Id="rId92" Type="http://schemas.openxmlformats.org/officeDocument/2006/relationships/hyperlink" Target="https://www.itu.int/md/S24-CL-C-0059/en" TargetMode="External"/><Relationship Id="rId2" Type="http://schemas.openxmlformats.org/officeDocument/2006/relationships/numbering" Target="numbering.xml"/><Relationship Id="rId29" Type="http://schemas.openxmlformats.org/officeDocument/2006/relationships/hyperlink" Target="https://www.itu.int/md/S24-CL-C-0023/fr" TargetMode="External"/><Relationship Id="rId24" Type="http://schemas.openxmlformats.org/officeDocument/2006/relationships/hyperlink" Target="https://www.itu.int/md/S24-CL-C-0059/en" TargetMode="External"/><Relationship Id="rId40" Type="http://schemas.openxmlformats.org/officeDocument/2006/relationships/hyperlink" Target="https://www.itu.int/md/S24-CL-C-0007/en" TargetMode="External"/><Relationship Id="rId45" Type="http://schemas.openxmlformats.org/officeDocument/2006/relationships/hyperlink" Target="https://www.itu.int/md/S24-CL-240604-DL-0002/en" TargetMode="External"/><Relationship Id="rId66" Type="http://schemas.openxmlformats.org/officeDocument/2006/relationships/hyperlink" Target="https://www.itu.int/md/S24-CL-C-0009/en" TargetMode="External"/><Relationship Id="rId87" Type="http://schemas.openxmlformats.org/officeDocument/2006/relationships/hyperlink" Target="https://www.itu.int/md/S24-CL-C-0026/en" TargetMode="External"/><Relationship Id="rId61" Type="http://schemas.openxmlformats.org/officeDocument/2006/relationships/hyperlink" Target="https://www.itu.int/md/S24-CL-C-0078/en" TargetMode="External"/><Relationship Id="rId82" Type="http://schemas.openxmlformats.org/officeDocument/2006/relationships/hyperlink" Target="https://www.itu.int/md/S24-CL-C-0095/en" TargetMode="External"/><Relationship Id="rId19" Type="http://schemas.openxmlformats.org/officeDocument/2006/relationships/hyperlink" Target="https://www.itu.int/md/S24-CL-C-0026/en" TargetMode="External"/><Relationship Id="rId14" Type="http://schemas.openxmlformats.org/officeDocument/2006/relationships/hyperlink" Target="https://www.itu.int/md/S24-CL-C-0095/en" TargetMode="External"/><Relationship Id="rId30" Type="http://schemas.openxmlformats.org/officeDocument/2006/relationships/hyperlink" Target="https://www.itu.int/md/S24-CL-C-0056/en" TargetMode="External"/><Relationship Id="rId35" Type="http://schemas.openxmlformats.org/officeDocument/2006/relationships/hyperlink" Target="https://www.itu.int/md/S24-CWGFHR18-C-0005/en" TargetMode="External"/><Relationship Id="rId56" Type="http://schemas.openxmlformats.org/officeDocument/2006/relationships/hyperlink" Target="https://www.itu.int/md/S24-CL-C-0043/en" TargetMode="External"/><Relationship Id="rId77" Type="http://schemas.openxmlformats.org/officeDocument/2006/relationships/hyperlink" Target="https://www.itu.int/md/S23-CL-C-0067/en" TargetMode="External"/><Relationship Id="rId100" Type="http://schemas.openxmlformats.org/officeDocument/2006/relationships/footer" Target="footer3.xml"/><Relationship Id="rId8" Type="http://schemas.openxmlformats.org/officeDocument/2006/relationships/hyperlink" Target="https://www.itu.int/md/S24-CL-C-0109/en" TargetMode="External"/><Relationship Id="rId51" Type="http://schemas.openxmlformats.org/officeDocument/2006/relationships/hyperlink" Target="https://www.itu.int/md/S24-CL-C-0090/en" TargetMode="External"/><Relationship Id="rId72" Type="http://schemas.openxmlformats.org/officeDocument/2006/relationships/hyperlink" Target="https://www.itu.int/md/S24-CL-C-0038/en" TargetMode="External"/><Relationship Id="rId93" Type="http://schemas.openxmlformats.org/officeDocument/2006/relationships/hyperlink" Target="https://www.itu.int/md/S24-CL-C-0015/en" TargetMode="External"/><Relationship Id="rId98" Type="http://schemas.openxmlformats.org/officeDocument/2006/relationships/footer" Target="footer2.xml"/><Relationship Id="rId3" Type="http://schemas.openxmlformats.org/officeDocument/2006/relationships/styles" Target="styles.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77525-F030-4BA4-BCFD-BB5672D1D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5298</Words>
  <Characters>34150</Characters>
  <Application>Microsoft Office Word</Application>
  <DocSecurity>0</DocSecurity>
  <Lines>284</Lines>
  <Paragraphs>78</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39370</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tenthPlenary meeting</dc:title>
  <dc:subject>Conseil 2024 de l'UIT</dc:subject>
  <cp:keywords>C2024, C24, Council-24</cp:keywords>
  <dc:description/>
  <cp:revision>2</cp:revision>
  <cp:lastPrinted>2000-07-18T08:55:00Z</cp:lastPrinted>
  <dcterms:created xsi:type="dcterms:W3CDTF">2024-09-05T16:46:00Z</dcterms:created>
  <dcterms:modified xsi:type="dcterms:W3CDTF">2024-09-05T16:46:00Z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