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3E624D" w14:paraId="2592CC74" w14:textId="77777777" w:rsidTr="00D72F49">
        <w:trPr>
          <w:cantSplit/>
          <w:trHeight w:val="23"/>
        </w:trPr>
        <w:tc>
          <w:tcPr>
            <w:tcW w:w="3969" w:type="dxa"/>
            <w:vMerge w:val="restart"/>
            <w:tcMar>
              <w:left w:w="0" w:type="dxa"/>
            </w:tcMar>
          </w:tcPr>
          <w:p w14:paraId="27E56DEB" w14:textId="763A87C3" w:rsidR="00D72F49" w:rsidRPr="003E624D" w:rsidRDefault="00D72F49" w:rsidP="00D72F49">
            <w:pPr>
              <w:tabs>
                <w:tab w:val="left" w:pos="851"/>
              </w:tabs>
              <w:spacing w:before="0" w:line="240" w:lineRule="atLeast"/>
              <w:rPr>
                <w:b/>
              </w:rPr>
            </w:pPr>
            <w:r w:rsidRPr="003E624D">
              <w:rPr>
                <w:b/>
              </w:rPr>
              <w:t>Point de l'ordre du jour:</w:t>
            </w:r>
          </w:p>
        </w:tc>
        <w:tc>
          <w:tcPr>
            <w:tcW w:w="5245" w:type="dxa"/>
          </w:tcPr>
          <w:p w14:paraId="27B6A98A" w14:textId="060B556B" w:rsidR="00D72F49" w:rsidRPr="003E624D" w:rsidRDefault="00D72F49" w:rsidP="00D72F49">
            <w:pPr>
              <w:tabs>
                <w:tab w:val="left" w:pos="851"/>
              </w:tabs>
              <w:spacing w:before="0" w:line="240" w:lineRule="atLeast"/>
              <w:jc w:val="right"/>
              <w:rPr>
                <w:b/>
              </w:rPr>
            </w:pPr>
            <w:r w:rsidRPr="003E624D">
              <w:rPr>
                <w:b/>
              </w:rPr>
              <w:t>Document C2</w:t>
            </w:r>
            <w:r w:rsidR="0073275D" w:rsidRPr="003E624D">
              <w:rPr>
                <w:b/>
              </w:rPr>
              <w:t>4</w:t>
            </w:r>
            <w:r w:rsidRPr="003E624D">
              <w:rPr>
                <w:b/>
              </w:rPr>
              <w:t>/</w:t>
            </w:r>
            <w:r w:rsidR="00F30F9F" w:rsidRPr="003E624D">
              <w:rPr>
                <w:b/>
              </w:rPr>
              <w:t>112</w:t>
            </w:r>
            <w:r w:rsidRPr="003E624D">
              <w:rPr>
                <w:b/>
              </w:rPr>
              <w:t>-F</w:t>
            </w:r>
          </w:p>
        </w:tc>
      </w:tr>
      <w:tr w:rsidR="00D72F49" w:rsidRPr="003E624D" w14:paraId="41096C77" w14:textId="77777777" w:rsidTr="00D72F49">
        <w:trPr>
          <w:cantSplit/>
        </w:trPr>
        <w:tc>
          <w:tcPr>
            <w:tcW w:w="3969" w:type="dxa"/>
            <w:vMerge/>
          </w:tcPr>
          <w:p w14:paraId="0BBA5643" w14:textId="77777777" w:rsidR="00D72F49" w:rsidRPr="003E624D" w:rsidRDefault="00D72F49" w:rsidP="00D72F49">
            <w:pPr>
              <w:tabs>
                <w:tab w:val="left" w:pos="851"/>
              </w:tabs>
              <w:spacing w:line="240" w:lineRule="atLeast"/>
              <w:rPr>
                <w:b/>
              </w:rPr>
            </w:pPr>
          </w:p>
        </w:tc>
        <w:tc>
          <w:tcPr>
            <w:tcW w:w="5245" w:type="dxa"/>
          </w:tcPr>
          <w:p w14:paraId="068BECD5" w14:textId="7D1BF97D" w:rsidR="00D72F49" w:rsidRPr="003E624D" w:rsidRDefault="002E2BAE" w:rsidP="00D72F49">
            <w:pPr>
              <w:tabs>
                <w:tab w:val="left" w:pos="851"/>
              </w:tabs>
              <w:spacing w:before="0"/>
              <w:jc w:val="right"/>
              <w:rPr>
                <w:b/>
              </w:rPr>
            </w:pPr>
            <w:r>
              <w:rPr>
                <w:b/>
              </w:rPr>
              <w:t>29 août</w:t>
            </w:r>
            <w:r w:rsidR="00D72F49" w:rsidRPr="003E624D">
              <w:rPr>
                <w:b/>
              </w:rPr>
              <w:t xml:space="preserve"> 202</w:t>
            </w:r>
            <w:r w:rsidR="0073275D" w:rsidRPr="003E624D">
              <w:rPr>
                <w:b/>
              </w:rPr>
              <w:t>4</w:t>
            </w:r>
          </w:p>
        </w:tc>
      </w:tr>
      <w:tr w:rsidR="00D72F49" w:rsidRPr="003E624D" w14:paraId="17E5B988" w14:textId="77777777" w:rsidTr="00D72F49">
        <w:trPr>
          <w:cantSplit/>
          <w:trHeight w:val="23"/>
        </w:trPr>
        <w:tc>
          <w:tcPr>
            <w:tcW w:w="3969" w:type="dxa"/>
            <w:vMerge/>
          </w:tcPr>
          <w:p w14:paraId="2192D6D7" w14:textId="77777777" w:rsidR="00D72F49" w:rsidRPr="003E624D" w:rsidRDefault="00D72F49" w:rsidP="00D72F49">
            <w:pPr>
              <w:tabs>
                <w:tab w:val="left" w:pos="851"/>
              </w:tabs>
              <w:spacing w:line="240" w:lineRule="atLeast"/>
              <w:rPr>
                <w:b/>
              </w:rPr>
            </w:pPr>
          </w:p>
        </w:tc>
        <w:tc>
          <w:tcPr>
            <w:tcW w:w="5245" w:type="dxa"/>
          </w:tcPr>
          <w:p w14:paraId="1948C622" w14:textId="77777777" w:rsidR="00D72F49" w:rsidRPr="003E624D" w:rsidRDefault="00D72F49" w:rsidP="00D72F49">
            <w:pPr>
              <w:tabs>
                <w:tab w:val="left" w:pos="851"/>
              </w:tabs>
              <w:spacing w:before="0" w:line="240" w:lineRule="atLeast"/>
              <w:jc w:val="right"/>
              <w:rPr>
                <w:b/>
              </w:rPr>
            </w:pPr>
            <w:r w:rsidRPr="003E624D">
              <w:rPr>
                <w:b/>
              </w:rPr>
              <w:t>Original: anglais</w:t>
            </w:r>
          </w:p>
        </w:tc>
      </w:tr>
      <w:tr w:rsidR="00D72F49" w:rsidRPr="003E624D" w14:paraId="53623BEE" w14:textId="77777777" w:rsidTr="00D72F49">
        <w:trPr>
          <w:cantSplit/>
          <w:trHeight w:val="23"/>
        </w:trPr>
        <w:tc>
          <w:tcPr>
            <w:tcW w:w="3969" w:type="dxa"/>
          </w:tcPr>
          <w:p w14:paraId="630B4C34" w14:textId="77777777" w:rsidR="00D72F49" w:rsidRPr="003E624D" w:rsidRDefault="00D72F49" w:rsidP="00D72F49">
            <w:pPr>
              <w:tabs>
                <w:tab w:val="left" w:pos="851"/>
              </w:tabs>
              <w:spacing w:line="240" w:lineRule="atLeast"/>
              <w:rPr>
                <w:b/>
              </w:rPr>
            </w:pPr>
          </w:p>
        </w:tc>
        <w:tc>
          <w:tcPr>
            <w:tcW w:w="5245" w:type="dxa"/>
          </w:tcPr>
          <w:p w14:paraId="437750C4" w14:textId="77777777" w:rsidR="00D72F49" w:rsidRPr="003E624D" w:rsidRDefault="00D72F49" w:rsidP="00D72F49">
            <w:pPr>
              <w:tabs>
                <w:tab w:val="left" w:pos="851"/>
              </w:tabs>
              <w:spacing w:before="0" w:line="240" w:lineRule="atLeast"/>
              <w:jc w:val="right"/>
              <w:rPr>
                <w:b/>
              </w:rPr>
            </w:pPr>
          </w:p>
        </w:tc>
      </w:tr>
      <w:tr w:rsidR="00D72F49" w:rsidRPr="003E624D" w14:paraId="31FFA2A5" w14:textId="77777777" w:rsidTr="00D72F49">
        <w:trPr>
          <w:cantSplit/>
        </w:trPr>
        <w:tc>
          <w:tcPr>
            <w:tcW w:w="9214" w:type="dxa"/>
            <w:gridSpan w:val="2"/>
            <w:tcMar>
              <w:left w:w="0" w:type="dxa"/>
            </w:tcMar>
          </w:tcPr>
          <w:p w14:paraId="7AA1F34C" w14:textId="3BAD9930" w:rsidR="00D72F49" w:rsidRPr="003E624D" w:rsidRDefault="00F30F9F" w:rsidP="00F30F9F">
            <w:pPr>
              <w:pStyle w:val="Source"/>
              <w:rPr>
                <w:sz w:val="34"/>
                <w:szCs w:val="34"/>
              </w:rPr>
            </w:pPr>
            <w:r w:rsidRPr="003E624D">
              <w:rPr>
                <w:sz w:val="34"/>
                <w:szCs w:val="34"/>
              </w:rPr>
              <w:t>COMPTE RENDU</w:t>
            </w:r>
            <w:r w:rsidR="00856EBD" w:rsidRPr="003E624D">
              <w:rPr>
                <w:sz w:val="34"/>
                <w:szCs w:val="34"/>
              </w:rPr>
              <w:br/>
            </w:r>
            <w:r w:rsidRPr="003E624D">
              <w:rPr>
                <w:sz w:val="34"/>
                <w:szCs w:val="34"/>
              </w:rPr>
              <w:br/>
              <w:t>DE LA</w:t>
            </w:r>
            <w:r w:rsidR="00856EBD" w:rsidRPr="003E624D">
              <w:rPr>
                <w:sz w:val="34"/>
                <w:szCs w:val="34"/>
              </w:rPr>
              <w:br/>
            </w:r>
            <w:r w:rsidRPr="003E624D">
              <w:rPr>
                <w:sz w:val="34"/>
                <w:szCs w:val="34"/>
              </w:rPr>
              <w:br/>
              <w:t>DEUXIÈME SÉANCE PLÉNIÈRE</w:t>
            </w:r>
          </w:p>
        </w:tc>
      </w:tr>
      <w:tr w:rsidR="00D72F49" w:rsidRPr="003E624D" w14:paraId="65E7E3D8" w14:textId="77777777" w:rsidTr="00D72F49">
        <w:trPr>
          <w:cantSplit/>
        </w:trPr>
        <w:tc>
          <w:tcPr>
            <w:tcW w:w="9214" w:type="dxa"/>
            <w:gridSpan w:val="2"/>
            <w:tcMar>
              <w:left w:w="0" w:type="dxa"/>
            </w:tcMar>
          </w:tcPr>
          <w:p w14:paraId="18B664C9" w14:textId="36E9F9F5" w:rsidR="00856EBD" w:rsidRPr="003E624D" w:rsidRDefault="00F30F9F" w:rsidP="00856EBD">
            <w:pPr>
              <w:pStyle w:val="Subtitle"/>
              <w:framePr w:hSpace="0" w:wrap="auto" w:hAnchor="text" w:xAlign="left" w:yAlign="inline"/>
              <w:spacing w:before="240"/>
              <w:jc w:val="center"/>
              <w:rPr>
                <w:sz w:val="24"/>
                <w:szCs w:val="24"/>
                <w:lang w:val="fr-FR"/>
              </w:rPr>
            </w:pPr>
            <w:r w:rsidRPr="003E624D">
              <w:rPr>
                <w:sz w:val="24"/>
                <w:szCs w:val="24"/>
                <w:lang w:val="fr-FR"/>
              </w:rPr>
              <w:t>Mercredi 5 juin 2024, de 14</w:t>
            </w:r>
            <w:r w:rsidR="00856EBD" w:rsidRPr="003E624D">
              <w:rPr>
                <w:sz w:val="24"/>
                <w:szCs w:val="24"/>
                <w:lang w:val="fr-FR"/>
              </w:rPr>
              <w:t xml:space="preserve"> </w:t>
            </w:r>
            <w:r w:rsidRPr="003E624D">
              <w:rPr>
                <w:sz w:val="24"/>
                <w:szCs w:val="24"/>
                <w:lang w:val="fr-FR"/>
              </w:rPr>
              <w:t>h</w:t>
            </w:r>
            <w:r w:rsidR="00856EBD" w:rsidRPr="003E624D">
              <w:rPr>
                <w:sz w:val="24"/>
                <w:szCs w:val="24"/>
                <w:lang w:val="fr-FR"/>
              </w:rPr>
              <w:t xml:space="preserve"> </w:t>
            </w:r>
            <w:r w:rsidRPr="003E624D">
              <w:rPr>
                <w:sz w:val="24"/>
                <w:szCs w:val="24"/>
                <w:lang w:val="fr-FR"/>
              </w:rPr>
              <w:t>30 à 17</w:t>
            </w:r>
            <w:r w:rsidR="00856EBD" w:rsidRPr="003E624D">
              <w:rPr>
                <w:sz w:val="24"/>
                <w:szCs w:val="24"/>
                <w:lang w:val="fr-FR"/>
              </w:rPr>
              <w:t xml:space="preserve"> </w:t>
            </w:r>
            <w:r w:rsidRPr="003E624D">
              <w:rPr>
                <w:sz w:val="24"/>
                <w:szCs w:val="24"/>
                <w:lang w:val="fr-FR"/>
              </w:rPr>
              <w:t>h</w:t>
            </w:r>
            <w:r w:rsidR="00856EBD" w:rsidRPr="003E624D">
              <w:rPr>
                <w:sz w:val="24"/>
                <w:szCs w:val="24"/>
                <w:lang w:val="fr-FR"/>
              </w:rPr>
              <w:t xml:space="preserve"> </w:t>
            </w:r>
            <w:r w:rsidRPr="003E624D">
              <w:rPr>
                <w:sz w:val="24"/>
                <w:szCs w:val="24"/>
                <w:lang w:val="fr-FR"/>
              </w:rPr>
              <w:t>30</w:t>
            </w:r>
          </w:p>
          <w:p w14:paraId="370F6D7B" w14:textId="06BE3E9C" w:rsidR="00D72F49" w:rsidRPr="003E624D" w:rsidRDefault="00F30F9F" w:rsidP="00F30F9F">
            <w:pPr>
              <w:pStyle w:val="Subtitle"/>
              <w:framePr w:hSpace="0" w:wrap="auto" w:hAnchor="text" w:xAlign="left" w:yAlign="inline"/>
              <w:jc w:val="center"/>
              <w:rPr>
                <w:sz w:val="24"/>
                <w:szCs w:val="24"/>
                <w:lang w:val="fr-FR"/>
              </w:rPr>
            </w:pPr>
            <w:r w:rsidRPr="003E624D">
              <w:rPr>
                <w:b/>
                <w:bCs/>
                <w:sz w:val="24"/>
                <w:szCs w:val="24"/>
                <w:lang w:val="fr-FR"/>
              </w:rPr>
              <w:t>Président</w:t>
            </w:r>
            <w:r w:rsidRPr="003E624D">
              <w:rPr>
                <w:sz w:val="24"/>
                <w:szCs w:val="24"/>
                <w:lang w:val="fr-FR"/>
              </w:rPr>
              <w:t>: M. F. S</w:t>
            </w:r>
            <w:r w:rsidR="00856EBD" w:rsidRPr="003E624D">
              <w:rPr>
                <w:sz w:val="24"/>
                <w:szCs w:val="24"/>
                <w:lang w:val="fr-FR"/>
              </w:rPr>
              <w:t>AUVAGE</w:t>
            </w:r>
            <w:r w:rsidRPr="003E624D">
              <w:rPr>
                <w:sz w:val="24"/>
                <w:szCs w:val="24"/>
                <w:lang w:val="fr-FR"/>
              </w:rPr>
              <w:t xml:space="preserve"> (France)</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F30F9F" w:rsidRPr="003E624D" w14:paraId="488AD864" w14:textId="77777777" w:rsidTr="001A18BA">
        <w:tc>
          <w:tcPr>
            <w:tcW w:w="242" w:type="pct"/>
          </w:tcPr>
          <w:p w14:paraId="74924BE5" w14:textId="77777777" w:rsidR="00F30F9F" w:rsidRPr="003E624D" w:rsidRDefault="00F30F9F" w:rsidP="001A18BA">
            <w:pPr>
              <w:spacing w:before="480"/>
              <w:rPr>
                <w:b/>
                <w:bCs/>
                <w:szCs w:val="24"/>
              </w:rPr>
            </w:pPr>
            <w:bookmarkStart w:id="0" w:name="_Hlk141438382"/>
            <w:r w:rsidRPr="003E624D">
              <w:rPr>
                <w:b/>
                <w:bCs/>
                <w:szCs w:val="24"/>
              </w:rPr>
              <w:br w:type="page"/>
            </w:r>
            <w:r w:rsidRPr="003E624D">
              <w:rPr>
                <w:b/>
                <w:bCs/>
                <w:szCs w:val="24"/>
              </w:rPr>
              <w:br w:type="page"/>
            </w:r>
          </w:p>
        </w:tc>
        <w:tc>
          <w:tcPr>
            <w:tcW w:w="3580" w:type="pct"/>
            <w:hideMark/>
          </w:tcPr>
          <w:p w14:paraId="2B7690D8" w14:textId="0B80856D" w:rsidR="00F30F9F" w:rsidRPr="003E624D" w:rsidRDefault="00C52FCD" w:rsidP="001A18BA">
            <w:pPr>
              <w:spacing w:before="480" w:after="120"/>
              <w:rPr>
                <w:b/>
                <w:bCs/>
                <w:szCs w:val="24"/>
              </w:rPr>
            </w:pPr>
            <w:r w:rsidRPr="003E624D">
              <w:rPr>
                <w:b/>
                <w:bCs/>
                <w:szCs w:val="24"/>
              </w:rPr>
              <w:t>Sujets traités</w:t>
            </w:r>
          </w:p>
        </w:tc>
        <w:tc>
          <w:tcPr>
            <w:tcW w:w="1178" w:type="pct"/>
            <w:hideMark/>
          </w:tcPr>
          <w:p w14:paraId="7E9F83A9" w14:textId="77777777" w:rsidR="00F30F9F" w:rsidRPr="003E624D" w:rsidRDefault="00F30F9F" w:rsidP="001A18BA">
            <w:pPr>
              <w:spacing w:before="480"/>
              <w:jc w:val="center"/>
              <w:rPr>
                <w:b/>
                <w:bCs/>
                <w:szCs w:val="24"/>
              </w:rPr>
            </w:pPr>
            <w:r w:rsidRPr="003E624D">
              <w:rPr>
                <w:b/>
                <w:bCs/>
                <w:szCs w:val="24"/>
              </w:rPr>
              <w:t>Documents</w:t>
            </w:r>
          </w:p>
        </w:tc>
      </w:tr>
      <w:tr w:rsidR="00F30F9F" w:rsidRPr="003E624D" w14:paraId="6B14F5F1" w14:textId="77777777" w:rsidTr="001A18BA">
        <w:trPr>
          <w:trHeight w:val="20"/>
        </w:trPr>
        <w:tc>
          <w:tcPr>
            <w:tcW w:w="242" w:type="pct"/>
            <w:hideMark/>
          </w:tcPr>
          <w:p w14:paraId="119C40AF" w14:textId="77777777" w:rsidR="00F30F9F" w:rsidRPr="003E624D" w:rsidRDefault="00F30F9F" w:rsidP="001A18BA">
            <w:pPr>
              <w:spacing w:before="80" w:after="80"/>
              <w:rPr>
                <w:sz w:val="22"/>
                <w:szCs w:val="22"/>
              </w:rPr>
            </w:pPr>
            <w:r w:rsidRPr="003E624D">
              <w:rPr>
                <w:sz w:val="22"/>
                <w:szCs w:val="22"/>
              </w:rPr>
              <w:t>1</w:t>
            </w:r>
          </w:p>
        </w:tc>
        <w:tc>
          <w:tcPr>
            <w:tcW w:w="3580" w:type="pct"/>
          </w:tcPr>
          <w:p w14:paraId="326A3093" w14:textId="1F3836F8" w:rsidR="00F30F9F" w:rsidRPr="003E624D" w:rsidRDefault="00C52FCD" w:rsidP="001A18BA">
            <w:pPr>
              <w:spacing w:before="80" w:after="80"/>
              <w:rPr>
                <w:sz w:val="22"/>
                <w:szCs w:val="22"/>
              </w:rPr>
            </w:pPr>
            <w:r w:rsidRPr="003E624D">
              <w:rPr>
                <w:sz w:val="22"/>
                <w:szCs w:val="22"/>
              </w:rPr>
              <w:t>Préparation de la Conférence mondiale de développement des télécommunications de 2025 (CMDT-25</w:t>
            </w:r>
            <w:r w:rsidR="00F30F9F" w:rsidRPr="003E624D">
              <w:rPr>
                <w:sz w:val="22"/>
                <w:szCs w:val="22"/>
              </w:rPr>
              <w:t>)</w:t>
            </w:r>
          </w:p>
        </w:tc>
        <w:tc>
          <w:tcPr>
            <w:tcW w:w="1178" w:type="pct"/>
          </w:tcPr>
          <w:p w14:paraId="2ED63751" w14:textId="220A5432" w:rsidR="00F30F9F" w:rsidRPr="003E624D" w:rsidRDefault="00A87277" w:rsidP="001A18BA">
            <w:pPr>
              <w:spacing w:before="80" w:after="80"/>
              <w:jc w:val="center"/>
              <w:rPr>
                <w:sz w:val="22"/>
                <w:szCs w:val="22"/>
              </w:rPr>
            </w:pPr>
            <w:hyperlink r:id="rId6" w:history="1">
              <w:r w:rsidR="00F30F9F" w:rsidRPr="003E624D">
                <w:rPr>
                  <w:rStyle w:val="Hyperlink"/>
                  <w:sz w:val="22"/>
                  <w:szCs w:val="22"/>
                </w:rPr>
                <w:t>C24/30(R</w:t>
              </w:r>
              <w:r w:rsidR="00C52FCD" w:rsidRPr="003E624D">
                <w:rPr>
                  <w:rStyle w:val="Hyperlink"/>
                  <w:sz w:val="22"/>
                  <w:szCs w:val="22"/>
                </w:rPr>
                <w:t>é</w:t>
              </w:r>
              <w:r w:rsidR="00F30F9F" w:rsidRPr="003E624D">
                <w:rPr>
                  <w:rStyle w:val="Hyperlink"/>
                  <w:sz w:val="22"/>
                  <w:szCs w:val="22"/>
                </w:rPr>
                <w:t>v.1)</w:t>
              </w:r>
            </w:hyperlink>
          </w:p>
        </w:tc>
      </w:tr>
      <w:tr w:rsidR="00F30F9F" w:rsidRPr="003E624D" w14:paraId="27A2AFAB" w14:textId="77777777" w:rsidTr="001A18BA">
        <w:trPr>
          <w:trHeight w:val="20"/>
        </w:trPr>
        <w:tc>
          <w:tcPr>
            <w:tcW w:w="242" w:type="pct"/>
            <w:hideMark/>
          </w:tcPr>
          <w:p w14:paraId="1E2BFE63" w14:textId="77777777" w:rsidR="00F30F9F" w:rsidRPr="003E624D" w:rsidRDefault="00F30F9F" w:rsidP="001A18BA">
            <w:pPr>
              <w:spacing w:before="80" w:after="80"/>
              <w:rPr>
                <w:sz w:val="22"/>
                <w:szCs w:val="22"/>
              </w:rPr>
            </w:pPr>
            <w:r w:rsidRPr="003E624D">
              <w:rPr>
                <w:sz w:val="22"/>
                <w:szCs w:val="22"/>
              </w:rPr>
              <w:t>2</w:t>
            </w:r>
          </w:p>
        </w:tc>
        <w:tc>
          <w:tcPr>
            <w:tcW w:w="3580" w:type="pct"/>
          </w:tcPr>
          <w:p w14:paraId="18CADBBB" w14:textId="08CDA4E7" w:rsidR="00F30F9F" w:rsidRPr="003E624D" w:rsidRDefault="00C52FCD" w:rsidP="001A18BA">
            <w:pPr>
              <w:spacing w:before="80" w:after="80"/>
              <w:rPr>
                <w:sz w:val="22"/>
                <w:szCs w:val="22"/>
              </w:rPr>
            </w:pPr>
            <w:r w:rsidRPr="003E624D">
              <w:rPr>
                <w:sz w:val="22"/>
                <w:szCs w:val="22"/>
              </w:rPr>
              <w:t>Renforcer la présence régionale de l'UIT</w:t>
            </w:r>
            <w:r w:rsidR="00F30F9F" w:rsidRPr="003E624D">
              <w:rPr>
                <w:sz w:val="22"/>
                <w:szCs w:val="22"/>
              </w:rPr>
              <w:t xml:space="preserve"> (</w:t>
            </w:r>
            <w:r w:rsidRPr="003E624D">
              <w:rPr>
                <w:sz w:val="22"/>
                <w:szCs w:val="22"/>
              </w:rPr>
              <w:t>suite</w:t>
            </w:r>
            <w:r w:rsidR="00F30F9F" w:rsidRPr="003E624D">
              <w:rPr>
                <w:sz w:val="22"/>
                <w:szCs w:val="22"/>
              </w:rPr>
              <w:t>)</w:t>
            </w:r>
          </w:p>
        </w:tc>
        <w:tc>
          <w:tcPr>
            <w:tcW w:w="1178" w:type="pct"/>
          </w:tcPr>
          <w:p w14:paraId="395C5E84" w14:textId="77777777" w:rsidR="00F30F9F" w:rsidRPr="003E624D" w:rsidRDefault="00A87277" w:rsidP="001A18BA">
            <w:pPr>
              <w:spacing w:before="80" w:after="80"/>
              <w:jc w:val="center"/>
              <w:rPr>
                <w:sz w:val="22"/>
                <w:szCs w:val="22"/>
              </w:rPr>
            </w:pPr>
            <w:hyperlink r:id="rId7" w:history="1">
              <w:r w:rsidR="00F30F9F" w:rsidRPr="003E624D">
                <w:rPr>
                  <w:rStyle w:val="Hyperlink"/>
                  <w:sz w:val="22"/>
                  <w:szCs w:val="22"/>
                </w:rPr>
                <w:t>C24/25</w:t>
              </w:r>
            </w:hyperlink>
            <w:r w:rsidR="00F30F9F" w:rsidRPr="003E624D">
              <w:rPr>
                <w:sz w:val="22"/>
                <w:szCs w:val="22"/>
              </w:rPr>
              <w:t xml:space="preserve">, </w:t>
            </w:r>
            <w:hyperlink r:id="rId8" w:history="1">
              <w:r w:rsidR="00F30F9F" w:rsidRPr="003E624D">
                <w:rPr>
                  <w:rStyle w:val="Hyperlink"/>
                  <w:sz w:val="22"/>
                  <w:szCs w:val="22"/>
                </w:rPr>
                <w:t>C24/79</w:t>
              </w:r>
            </w:hyperlink>
            <w:r w:rsidR="00F30F9F" w:rsidRPr="003E624D">
              <w:rPr>
                <w:sz w:val="22"/>
                <w:szCs w:val="22"/>
              </w:rPr>
              <w:t xml:space="preserve">, </w:t>
            </w:r>
            <w:hyperlink r:id="rId9" w:history="1">
              <w:r w:rsidR="00F30F9F" w:rsidRPr="003E624D">
                <w:rPr>
                  <w:rStyle w:val="Hyperlink"/>
                  <w:sz w:val="22"/>
                  <w:szCs w:val="22"/>
                </w:rPr>
                <w:t>C24/98</w:t>
              </w:r>
            </w:hyperlink>
            <w:r w:rsidR="00F30F9F" w:rsidRPr="003E624D">
              <w:rPr>
                <w:sz w:val="22"/>
                <w:szCs w:val="22"/>
              </w:rPr>
              <w:t xml:space="preserve">, </w:t>
            </w:r>
            <w:hyperlink r:id="rId10" w:history="1">
              <w:r w:rsidR="00F30F9F" w:rsidRPr="003E624D">
                <w:rPr>
                  <w:rStyle w:val="Hyperlink"/>
                  <w:sz w:val="22"/>
                  <w:szCs w:val="22"/>
                </w:rPr>
                <w:t>C24/100</w:t>
              </w:r>
            </w:hyperlink>
          </w:p>
        </w:tc>
      </w:tr>
      <w:tr w:rsidR="00F30F9F" w:rsidRPr="003E624D" w14:paraId="0B2D33C4" w14:textId="77777777" w:rsidTr="001A18BA">
        <w:trPr>
          <w:trHeight w:val="20"/>
        </w:trPr>
        <w:tc>
          <w:tcPr>
            <w:tcW w:w="242" w:type="pct"/>
            <w:hideMark/>
          </w:tcPr>
          <w:p w14:paraId="2739F210" w14:textId="77777777" w:rsidR="00F30F9F" w:rsidRPr="003E624D" w:rsidRDefault="00F30F9F" w:rsidP="001A18BA">
            <w:pPr>
              <w:spacing w:before="80" w:after="80"/>
              <w:rPr>
                <w:sz w:val="22"/>
                <w:szCs w:val="22"/>
              </w:rPr>
            </w:pPr>
            <w:r w:rsidRPr="003E624D">
              <w:rPr>
                <w:sz w:val="22"/>
                <w:szCs w:val="22"/>
              </w:rPr>
              <w:t>3</w:t>
            </w:r>
          </w:p>
        </w:tc>
        <w:tc>
          <w:tcPr>
            <w:tcW w:w="3580" w:type="pct"/>
          </w:tcPr>
          <w:p w14:paraId="75081977" w14:textId="131DBEE6" w:rsidR="00F30F9F" w:rsidRPr="003E624D" w:rsidRDefault="00C52FCD" w:rsidP="001A18BA">
            <w:pPr>
              <w:spacing w:before="80" w:after="80"/>
              <w:rPr>
                <w:bCs/>
                <w:sz w:val="22"/>
                <w:szCs w:val="22"/>
              </w:rPr>
            </w:pPr>
            <w:bookmarkStart w:id="1" w:name="_Hlk171347808"/>
            <w:r w:rsidRPr="003E624D">
              <w:rPr>
                <w:sz w:val="22"/>
                <w:szCs w:val="22"/>
              </w:rPr>
              <w:t>Travaux préparatoires en vue de l'Assemblée mondiale de normalisation des télécommunications de 2024</w:t>
            </w:r>
            <w:r w:rsidR="00F30F9F" w:rsidRPr="003E624D">
              <w:rPr>
                <w:sz w:val="22"/>
                <w:szCs w:val="22"/>
              </w:rPr>
              <w:t xml:space="preserve"> (</w:t>
            </w:r>
            <w:r w:rsidRPr="003E624D">
              <w:rPr>
                <w:sz w:val="22"/>
                <w:szCs w:val="22"/>
              </w:rPr>
              <w:t>AMNT</w:t>
            </w:r>
            <w:r w:rsidR="00F30F9F" w:rsidRPr="003E624D">
              <w:rPr>
                <w:sz w:val="22"/>
                <w:szCs w:val="22"/>
              </w:rPr>
              <w:t>-24</w:t>
            </w:r>
            <w:bookmarkEnd w:id="1"/>
            <w:r w:rsidR="00F30F9F" w:rsidRPr="003E624D">
              <w:rPr>
                <w:sz w:val="22"/>
                <w:szCs w:val="22"/>
              </w:rPr>
              <w:t>)</w:t>
            </w:r>
          </w:p>
        </w:tc>
        <w:tc>
          <w:tcPr>
            <w:tcW w:w="1178" w:type="pct"/>
          </w:tcPr>
          <w:p w14:paraId="52C5D946" w14:textId="77777777" w:rsidR="00F30F9F" w:rsidRPr="003E624D" w:rsidRDefault="00A87277" w:rsidP="001A18BA">
            <w:pPr>
              <w:tabs>
                <w:tab w:val="clear" w:pos="567"/>
              </w:tabs>
              <w:spacing w:before="80" w:after="80"/>
              <w:jc w:val="center"/>
              <w:rPr>
                <w:sz w:val="22"/>
                <w:szCs w:val="22"/>
              </w:rPr>
            </w:pPr>
            <w:hyperlink r:id="rId11" w:history="1">
              <w:r w:rsidR="00F30F9F" w:rsidRPr="003E624D">
                <w:rPr>
                  <w:rStyle w:val="Hyperlink"/>
                  <w:sz w:val="22"/>
                  <w:szCs w:val="22"/>
                </w:rPr>
                <w:t>C24/24</w:t>
              </w:r>
            </w:hyperlink>
          </w:p>
        </w:tc>
      </w:tr>
      <w:tr w:rsidR="00F30F9F" w:rsidRPr="003E624D" w14:paraId="26F956EE" w14:textId="77777777" w:rsidTr="001A18BA">
        <w:trPr>
          <w:trHeight w:val="20"/>
        </w:trPr>
        <w:tc>
          <w:tcPr>
            <w:tcW w:w="242" w:type="pct"/>
          </w:tcPr>
          <w:p w14:paraId="602797CE" w14:textId="77777777" w:rsidR="00F30F9F" w:rsidRPr="003E624D" w:rsidRDefault="00F30F9F" w:rsidP="001A18BA">
            <w:pPr>
              <w:spacing w:before="80" w:after="80"/>
              <w:rPr>
                <w:sz w:val="22"/>
                <w:szCs w:val="22"/>
              </w:rPr>
            </w:pPr>
            <w:r w:rsidRPr="003E624D">
              <w:rPr>
                <w:sz w:val="22"/>
                <w:szCs w:val="22"/>
              </w:rPr>
              <w:t>4</w:t>
            </w:r>
          </w:p>
        </w:tc>
        <w:tc>
          <w:tcPr>
            <w:tcW w:w="3580" w:type="pct"/>
          </w:tcPr>
          <w:p w14:paraId="69F79D1D" w14:textId="7F6FB25A" w:rsidR="00F30F9F" w:rsidRPr="003E624D" w:rsidRDefault="00C52FCD" w:rsidP="001A18BA">
            <w:pPr>
              <w:spacing w:before="80" w:after="80"/>
              <w:rPr>
                <w:bCs/>
                <w:sz w:val="22"/>
                <w:szCs w:val="22"/>
              </w:rPr>
            </w:pPr>
            <w:r w:rsidRPr="003E624D">
              <w:rPr>
                <w:sz w:val="22"/>
                <w:szCs w:val="22"/>
              </w:rPr>
              <w:t xml:space="preserve">Travaux préparatoires en vue de la Conférence de plénipotentiaires </w:t>
            </w:r>
            <w:r w:rsidR="00F30F9F" w:rsidRPr="003E624D">
              <w:rPr>
                <w:sz w:val="22"/>
                <w:szCs w:val="22"/>
              </w:rPr>
              <w:t>(PP-26)</w:t>
            </w:r>
          </w:p>
        </w:tc>
        <w:tc>
          <w:tcPr>
            <w:tcW w:w="1178" w:type="pct"/>
          </w:tcPr>
          <w:p w14:paraId="5B535539" w14:textId="78D82F9D" w:rsidR="00F30F9F" w:rsidRPr="003E624D" w:rsidRDefault="00856EBD" w:rsidP="001A18BA">
            <w:pPr>
              <w:tabs>
                <w:tab w:val="clear" w:pos="567"/>
              </w:tabs>
              <w:spacing w:before="80" w:after="80"/>
              <w:jc w:val="center"/>
              <w:rPr>
                <w:sz w:val="22"/>
                <w:szCs w:val="22"/>
              </w:rPr>
            </w:pPr>
            <w:r w:rsidRPr="003E624D">
              <w:rPr>
                <w:sz w:val="22"/>
                <w:szCs w:val="22"/>
              </w:rPr>
              <w:t>–</w:t>
            </w:r>
          </w:p>
        </w:tc>
      </w:tr>
      <w:bookmarkEnd w:id="0"/>
    </w:tbl>
    <w:p w14:paraId="5ED9AEF6" w14:textId="77777777" w:rsidR="00F30F9F" w:rsidRPr="003E624D" w:rsidRDefault="00F30F9F">
      <w:pPr>
        <w:tabs>
          <w:tab w:val="clear" w:pos="567"/>
          <w:tab w:val="clear" w:pos="1134"/>
          <w:tab w:val="clear" w:pos="1701"/>
          <w:tab w:val="clear" w:pos="2268"/>
          <w:tab w:val="clear" w:pos="2835"/>
        </w:tabs>
        <w:overflowPunct/>
        <w:autoSpaceDE/>
        <w:autoSpaceDN/>
        <w:adjustRightInd/>
        <w:spacing w:before="0"/>
        <w:textAlignment w:val="auto"/>
      </w:pPr>
      <w:r w:rsidRPr="003E624D">
        <w:br w:type="page"/>
      </w:r>
    </w:p>
    <w:p w14:paraId="5753DEA0" w14:textId="5F10FDC5" w:rsidR="00F30F9F" w:rsidRPr="003E624D" w:rsidRDefault="00F30F9F" w:rsidP="00856EBD">
      <w:pPr>
        <w:pStyle w:val="Heading1"/>
      </w:pPr>
      <w:r w:rsidRPr="003E624D">
        <w:lastRenderedPageBreak/>
        <w:t>1</w:t>
      </w:r>
      <w:r w:rsidRPr="003E624D">
        <w:tab/>
      </w:r>
      <w:r w:rsidR="00EB0B40" w:rsidRPr="003E624D">
        <w:t>Préparation de la Conférence mondiale de développement des télécommunications de 2025 (CMDT</w:t>
      </w:r>
      <w:r w:rsidRPr="003E624D">
        <w:t xml:space="preserve">-25) (Document </w:t>
      </w:r>
      <w:hyperlink r:id="rId12" w:history="1">
        <w:r w:rsidRPr="003E624D">
          <w:rPr>
            <w:rStyle w:val="Hyperlink"/>
            <w:bCs/>
            <w:szCs w:val="28"/>
          </w:rPr>
          <w:t>C24/30(R</w:t>
        </w:r>
        <w:r w:rsidR="00EB0B40" w:rsidRPr="003E624D">
          <w:rPr>
            <w:rStyle w:val="Hyperlink"/>
            <w:bCs/>
            <w:szCs w:val="28"/>
          </w:rPr>
          <w:t>é</w:t>
        </w:r>
        <w:r w:rsidRPr="003E624D">
          <w:rPr>
            <w:rStyle w:val="Hyperlink"/>
            <w:bCs/>
            <w:szCs w:val="28"/>
          </w:rPr>
          <w:t>v.1)</w:t>
        </w:r>
      </w:hyperlink>
      <w:r w:rsidRPr="003E624D">
        <w:t>)</w:t>
      </w:r>
    </w:p>
    <w:p w14:paraId="4DB3D625" w14:textId="1E5C3A33" w:rsidR="009C677F" w:rsidRPr="003E624D" w:rsidRDefault="00F30F9F" w:rsidP="00856EBD">
      <w:r w:rsidRPr="003E624D">
        <w:t>1.1</w:t>
      </w:r>
      <w:r w:rsidRPr="003E624D">
        <w:rPr>
          <w:b/>
          <w:bCs/>
        </w:rPr>
        <w:tab/>
      </w:r>
      <w:r w:rsidR="009C677F" w:rsidRPr="003E624D">
        <w:t>Le Directeur du</w:t>
      </w:r>
      <w:r w:rsidRPr="003E624D">
        <w:t xml:space="preserve"> BDT </w:t>
      </w:r>
      <w:r w:rsidR="009C677F" w:rsidRPr="003E624D">
        <w:t>présente le</w:t>
      </w:r>
      <w:r w:rsidRPr="003E624D">
        <w:t xml:space="preserve"> Document C24/30(R</w:t>
      </w:r>
      <w:r w:rsidR="009C677F" w:rsidRPr="003E624D">
        <w:t>é</w:t>
      </w:r>
      <w:r w:rsidRPr="003E624D">
        <w:t xml:space="preserve">v.1), </w:t>
      </w:r>
      <w:r w:rsidR="009C677F" w:rsidRPr="003E624D">
        <w:t>par lequel le Conseil est informé de l'invitation adressée par l'Azerbaïdjan en vue d'accueillir la CMDT</w:t>
      </w:r>
      <w:r w:rsidR="00856EBD" w:rsidRPr="003E624D">
        <w:t>-</w:t>
      </w:r>
      <w:r w:rsidR="009C677F" w:rsidRPr="003E624D">
        <w:t>25 à Bakou, du</w:t>
      </w:r>
      <w:r w:rsidR="00856EBD" w:rsidRPr="003E624D">
        <w:t> </w:t>
      </w:r>
      <w:r w:rsidR="009C677F" w:rsidRPr="003E624D">
        <w:t>17 au 28 novembre 2025. Ce document contient un projet de Décision sur le lieu et</w:t>
      </w:r>
      <w:r w:rsidR="008E23BE" w:rsidRPr="003E624D">
        <w:t xml:space="preserve"> </w:t>
      </w:r>
      <w:r w:rsidR="009C677F" w:rsidRPr="003E624D">
        <w:t>les dates de la Conférence (Annexe 2) et un projet d'ordre du jour (Annexe 3), lequel a été approuvé par le Groupe consultatif pour le développement des télécommunications (GCDT).</w:t>
      </w:r>
    </w:p>
    <w:p w14:paraId="10585FBA" w14:textId="068A6306" w:rsidR="00F30F9F" w:rsidRPr="003E624D" w:rsidRDefault="00F30F9F" w:rsidP="00856EBD">
      <w:r w:rsidRPr="003E624D">
        <w:t>1.2</w:t>
      </w:r>
      <w:r w:rsidRPr="003E624D">
        <w:rPr>
          <w:b/>
          <w:bCs/>
        </w:rPr>
        <w:tab/>
      </w:r>
      <w:r w:rsidR="008E23BE" w:rsidRPr="003E624D">
        <w:t>S</w:t>
      </w:r>
      <w:r w:rsidRPr="003E624D">
        <w:t>.E. M</w:t>
      </w:r>
      <w:r w:rsidR="008E23BE" w:rsidRPr="003E624D">
        <w:t>.</w:t>
      </w:r>
      <w:r w:rsidRPr="003E624D">
        <w:t> Samir Mammadov (</w:t>
      </w:r>
      <w:r w:rsidR="008E23BE" w:rsidRPr="003E624D">
        <w:t>Vice-Ministre du développement numérique et des transports, Azerbaïdjan</w:t>
      </w:r>
      <w:r w:rsidRPr="003E624D">
        <w:t xml:space="preserve">) </w:t>
      </w:r>
      <w:r w:rsidR="008E23BE" w:rsidRPr="003E624D">
        <w:t>prononce la déclaration suivante</w:t>
      </w:r>
      <w:r w:rsidRPr="003E624D">
        <w:t xml:space="preserve">: </w:t>
      </w:r>
      <w:hyperlink r:id="rId13" w:history="1">
        <w:r w:rsidR="002E2BAE" w:rsidRPr="00926170">
          <w:rPr>
            <w:rStyle w:val="Hyperlink"/>
          </w:rPr>
          <w:t>http://council.itu.int/2024/wp-content/uploads/sites/4/2024/07/C24-Statement-Azerbaijan_PL2.docx</w:t>
        </w:r>
      </w:hyperlink>
      <w:r w:rsidRPr="003E624D">
        <w:t>.</w:t>
      </w:r>
    </w:p>
    <w:p w14:paraId="295D2ABA" w14:textId="2EC1603A" w:rsidR="00F30F9F" w:rsidRPr="003E624D" w:rsidRDefault="008E23BE" w:rsidP="00856EBD">
      <w:pPr>
        <w:rPr>
          <w:b/>
          <w:bCs/>
        </w:rPr>
      </w:pPr>
      <w:r w:rsidRPr="003E624D">
        <w:t>Sa déclaration est accompagnée d'une vidéo de présentation de ce qu'a accompli l'Azerbaïdjan dans les domaines techniques, dont la cybersécurité, ainsi que des capacités avérées du pays en matière d'accueil de conférences internationales.</w:t>
      </w:r>
    </w:p>
    <w:p w14:paraId="763CF856" w14:textId="3987B763" w:rsidR="00F30F9F" w:rsidRPr="003E624D" w:rsidRDefault="00F30F9F" w:rsidP="00856EBD">
      <w:pPr>
        <w:rPr>
          <w:b/>
          <w:bCs/>
        </w:rPr>
      </w:pPr>
      <w:r w:rsidRPr="003E624D">
        <w:t>1.3</w:t>
      </w:r>
      <w:r w:rsidRPr="003E624D">
        <w:rPr>
          <w:b/>
          <w:bCs/>
        </w:rPr>
        <w:tab/>
      </w:r>
      <w:r w:rsidR="008E23BE" w:rsidRPr="003E624D">
        <w:t>De nombreux conseillers, dont un s'exprimant au nom de la CEPT, et deux</w:t>
      </w:r>
      <w:r w:rsidR="00856EBD" w:rsidRPr="003E624D">
        <w:t> </w:t>
      </w:r>
      <w:r w:rsidR="008E23BE" w:rsidRPr="003E624D">
        <w:t xml:space="preserve">observateurs prennent la parole pour remercier le Gouvernement de l'Azerbaïdjan pour son souhait d'accueillir la CMDT-25, en particulier </w:t>
      </w:r>
      <w:r w:rsidR="00F81820" w:rsidRPr="003E624D">
        <w:t>dans un délai aussi court, et se disent favorables aux dates et à l'ordre du jour proposés.</w:t>
      </w:r>
    </w:p>
    <w:p w14:paraId="1C0FE21F" w14:textId="40C5DABE" w:rsidR="00F30F9F" w:rsidRPr="003E624D" w:rsidRDefault="00F30F9F" w:rsidP="00856EBD">
      <w:r w:rsidRPr="003E624D">
        <w:t>1.4</w:t>
      </w:r>
      <w:r w:rsidRPr="003E624D">
        <w:rPr>
          <w:b/>
          <w:bCs/>
        </w:rPr>
        <w:tab/>
      </w:r>
      <w:r w:rsidR="00F81820" w:rsidRPr="003E624D">
        <w:t>Un conseiller rappelle que ce n'est pas la première fois que le pays hôte annoncé pour une conférence de l'UIT change tardivement et indique qu'il sera utile d'envisager</w:t>
      </w:r>
      <w:r w:rsidR="002F5F19" w:rsidRPr="003E624D">
        <w:t>,</w:t>
      </w:r>
      <w:r w:rsidR="00F81820" w:rsidRPr="003E624D">
        <w:t xml:space="preserve"> pour inviter les pays à </w:t>
      </w:r>
      <w:r w:rsidR="002F5F19" w:rsidRPr="003E624D">
        <w:t xml:space="preserve">se </w:t>
      </w:r>
      <w:r w:rsidR="00F81820" w:rsidRPr="003E624D">
        <w:t>proposer d'accueillir les conférences</w:t>
      </w:r>
      <w:r w:rsidR="002F5F19" w:rsidRPr="003E624D">
        <w:t>, de mettre en place une procédure plus systématique</w:t>
      </w:r>
      <w:r w:rsidR="00F81820" w:rsidRPr="003E624D">
        <w:t xml:space="preserve"> qui tien</w:t>
      </w:r>
      <w:r w:rsidR="002F5F19" w:rsidRPr="003E624D">
        <w:t>t</w:t>
      </w:r>
      <w:r w:rsidR="00F81820" w:rsidRPr="003E624D">
        <w:t xml:space="preserve"> compte des facteurs politiques, économiques, sociaux et technologiques pertinents et offr</w:t>
      </w:r>
      <w:r w:rsidR="002F5F19" w:rsidRPr="003E624D">
        <w:t>ira</w:t>
      </w:r>
      <w:r w:rsidR="00F81820" w:rsidRPr="003E624D">
        <w:t xml:space="preserve"> par conséquent </w:t>
      </w:r>
      <w:r w:rsidR="002F5F19" w:rsidRPr="003E624D">
        <w:t>une</w:t>
      </w:r>
      <w:r w:rsidR="00F81820" w:rsidRPr="003E624D">
        <w:t xml:space="preserve"> plus grande certitude concernant les arrangements en matière d'accueil. Un autre conseiller approuve cette suggestion</w:t>
      </w:r>
      <w:r w:rsidRPr="003E624D">
        <w:t>.</w:t>
      </w:r>
    </w:p>
    <w:p w14:paraId="286281E0" w14:textId="26931F1E" w:rsidR="00F30F9F" w:rsidRPr="003E624D" w:rsidRDefault="00F30F9F" w:rsidP="00856EBD">
      <w:r w:rsidRPr="003E624D">
        <w:t>1.5</w:t>
      </w:r>
      <w:r w:rsidRPr="003E624D">
        <w:tab/>
      </w:r>
      <w:r w:rsidR="002F5F19" w:rsidRPr="003E624D">
        <w:t>En réponse à une question soulevée par un conseiller, le Directeur du BDT explique que le point intitulé "Initiatives régionales" a été ajouté au projet d'ordre du jour sur proposition du GCDT, mais la décision finale revient au Conseil.</w:t>
      </w:r>
    </w:p>
    <w:p w14:paraId="661D3435" w14:textId="08C4B7AD" w:rsidR="00F30F9F" w:rsidRPr="003E624D" w:rsidRDefault="00F30F9F" w:rsidP="00856EBD">
      <w:r w:rsidRPr="003E624D">
        <w:t>1.6</w:t>
      </w:r>
      <w:r w:rsidRPr="003E624D">
        <w:tab/>
      </w:r>
      <w:r w:rsidR="002F5F19" w:rsidRPr="003E624D">
        <w:t>Le Président invite le Conseil à décider du lieu précis et des dates exactes de la CMDT</w:t>
      </w:r>
      <w:r w:rsidR="00856EBD" w:rsidRPr="003E624D">
        <w:noBreakHyphen/>
      </w:r>
      <w:r w:rsidR="002F5F19" w:rsidRPr="003E624D">
        <w:t xml:space="preserve">25 et à approuver l'ordre du jour de la CMDT-25, sous réserve de l'accord de la majorité des États Membres de l'Union conformément aux dispositions pertinentes de la Convention de l'UIT, </w:t>
      </w:r>
      <w:r w:rsidR="0081607F" w:rsidRPr="003E624D">
        <w:t>ainsi qu'</w:t>
      </w:r>
      <w:r w:rsidR="002F5F19" w:rsidRPr="003E624D">
        <w:t xml:space="preserve">à proposer que le Secrétariat envisage de créer une procédure transparente pour les futures conférences de l'Union permettant de </w:t>
      </w:r>
      <w:r w:rsidR="0081607F" w:rsidRPr="003E624D">
        <w:t>lancer un appel à manifestation d'intérêt pour accueillir une conférence.</w:t>
      </w:r>
    </w:p>
    <w:p w14:paraId="0968BA30" w14:textId="5B72C52F" w:rsidR="00F30F9F" w:rsidRPr="003E624D" w:rsidRDefault="00F30F9F" w:rsidP="00856EBD">
      <w:r w:rsidRPr="003E624D">
        <w:t>1.7</w:t>
      </w:r>
      <w:r w:rsidRPr="003E624D">
        <w:tab/>
      </w:r>
      <w:r w:rsidR="00E15B00" w:rsidRPr="003E624D">
        <w:t xml:space="preserve">Il en est ainsi </w:t>
      </w:r>
      <w:r w:rsidR="00E15B00" w:rsidRPr="003E624D">
        <w:rPr>
          <w:b/>
          <w:bCs/>
        </w:rPr>
        <w:t>décidé</w:t>
      </w:r>
      <w:r w:rsidR="00E15B00" w:rsidRPr="003E624D">
        <w:t xml:space="preserve">, et le Conseil </w:t>
      </w:r>
      <w:r w:rsidR="00E15B00" w:rsidRPr="003E624D">
        <w:rPr>
          <w:b/>
          <w:bCs/>
        </w:rPr>
        <w:t>adopte</w:t>
      </w:r>
      <w:r w:rsidR="00E15B00" w:rsidRPr="003E624D">
        <w:t xml:space="preserve"> le projet de Décision reproduit dans l'Annexe</w:t>
      </w:r>
      <w:r w:rsidR="00856EBD" w:rsidRPr="003E624D">
        <w:t> </w:t>
      </w:r>
      <w:r w:rsidR="00E15B00" w:rsidRPr="003E624D">
        <w:t xml:space="preserve">2 et </w:t>
      </w:r>
      <w:r w:rsidR="00E15B00" w:rsidRPr="003E624D">
        <w:rPr>
          <w:b/>
          <w:bCs/>
        </w:rPr>
        <w:t>approuve</w:t>
      </w:r>
      <w:r w:rsidR="00E15B00" w:rsidRPr="003E624D">
        <w:t xml:space="preserve"> le projet d'ordre du jour reproduit dans l'Annexe 3 du </w:t>
      </w:r>
      <w:r w:rsidRPr="003E624D">
        <w:t>Document C24/30(R</w:t>
      </w:r>
      <w:r w:rsidR="00E15B00" w:rsidRPr="003E624D">
        <w:t>é</w:t>
      </w:r>
      <w:r w:rsidRPr="003E624D">
        <w:t>v.1).</w:t>
      </w:r>
    </w:p>
    <w:p w14:paraId="11BB6A41" w14:textId="7A133123" w:rsidR="00F30F9F" w:rsidRPr="003E624D" w:rsidRDefault="00F30F9F" w:rsidP="00856EBD">
      <w:r w:rsidRPr="003E624D">
        <w:t>1.8</w:t>
      </w:r>
      <w:r w:rsidRPr="003E624D">
        <w:tab/>
      </w:r>
      <w:r w:rsidR="00E15B00" w:rsidRPr="003E624D">
        <w:t xml:space="preserve">La Secrétaire générale, saluant l'engagement sans réserve de l'Azerbaïdjan envers l'UIT, adresse ses sincères remerciements au Vice-Ministre du développement numérique et des transports de l'Azerbaïdjan pour sa présence au Conseil et </w:t>
      </w:r>
      <w:r w:rsidR="00AD54A1" w:rsidRPr="003E624D">
        <w:t>sait gré à</w:t>
      </w:r>
      <w:r w:rsidR="00E15B00" w:rsidRPr="003E624D">
        <w:t xml:space="preserve"> l'Azerbaïdjan </w:t>
      </w:r>
      <w:r w:rsidR="00AD54A1" w:rsidRPr="003E624D">
        <w:t>d'accueillir</w:t>
      </w:r>
      <w:r w:rsidR="00E15B00" w:rsidRPr="003E624D">
        <w:t xml:space="preserve"> la CMDT-25.</w:t>
      </w:r>
    </w:p>
    <w:p w14:paraId="5DE7F689" w14:textId="203D150F" w:rsidR="00F30F9F" w:rsidRPr="003E624D" w:rsidRDefault="00F30F9F" w:rsidP="004B201E">
      <w:pPr>
        <w:pStyle w:val="Heading1"/>
      </w:pPr>
      <w:r w:rsidRPr="003E624D">
        <w:lastRenderedPageBreak/>
        <w:t>2</w:t>
      </w:r>
      <w:r w:rsidRPr="003E624D">
        <w:tab/>
      </w:r>
      <w:r w:rsidR="00EB0B40" w:rsidRPr="003E624D">
        <w:t>Renforcer la présence régionale de l'UIT (suite</w:t>
      </w:r>
      <w:r w:rsidRPr="003E624D">
        <w:t xml:space="preserve">) (Documents </w:t>
      </w:r>
      <w:hyperlink r:id="rId14" w:history="1">
        <w:r w:rsidRPr="003E624D">
          <w:rPr>
            <w:rStyle w:val="Hyperlink"/>
          </w:rPr>
          <w:t>C24/25</w:t>
        </w:r>
      </w:hyperlink>
      <w:r w:rsidRPr="003E624D">
        <w:t xml:space="preserve">, </w:t>
      </w:r>
      <w:hyperlink r:id="rId15" w:history="1">
        <w:r w:rsidRPr="003E624D">
          <w:rPr>
            <w:rStyle w:val="Hyperlink"/>
          </w:rPr>
          <w:t>C24/79</w:t>
        </w:r>
      </w:hyperlink>
      <w:r w:rsidRPr="003E624D">
        <w:t xml:space="preserve">, </w:t>
      </w:r>
      <w:hyperlink r:id="rId16" w:history="1">
        <w:r w:rsidRPr="003E624D">
          <w:rPr>
            <w:rStyle w:val="Hyperlink"/>
          </w:rPr>
          <w:t>C24/98</w:t>
        </w:r>
      </w:hyperlink>
      <w:r w:rsidRPr="003E624D">
        <w:t xml:space="preserve"> </w:t>
      </w:r>
      <w:r w:rsidR="00EB0B40" w:rsidRPr="003E624D">
        <w:t>et</w:t>
      </w:r>
      <w:r w:rsidRPr="003E624D">
        <w:t xml:space="preserve"> </w:t>
      </w:r>
      <w:hyperlink r:id="rId17" w:history="1">
        <w:r w:rsidRPr="003E624D">
          <w:rPr>
            <w:rStyle w:val="Hyperlink"/>
          </w:rPr>
          <w:t>C24/100</w:t>
        </w:r>
      </w:hyperlink>
      <w:r w:rsidRPr="003E624D">
        <w:t xml:space="preserve">) </w:t>
      </w:r>
    </w:p>
    <w:p w14:paraId="26E9C515" w14:textId="55E2B140" w:rsidR="00F30F9F" w:rsidRPr="003E624D" w:rsidRDefault="00F30F9F" w:rsidP="004B201E">
      <w:r w:rsidRPr="003E624D">
        <w:t>2.1</w:t>
      </w:r>
      <w:r w:rsidRPr="003E624D">
        <w:tab/>
      </w:r>
      <w:r w:rsidR="00AD54A1" w:rsidRPr="003E624D">
        <w:t>Le Directeur du BDT, en réponse à des points soulevés à la première séance plénière, se dit honoré d'informer le conseiller de l'Inde qu'une procédure rigoureuse de sélection pour le poste de Chef du Bureau de zone a été menée à bien et que la recommandation correspondante attend l'approbation de la Secrétaire générale. Il salue le rôle joué par le Bureau de zone et le Centre d'innovation de l'UIT en Asie du Sud et remercie le Gouvernement de l'Inde d'avoir mis du personnel à disposition dans l'intervalle.</w:t>
      </w:r>
    </w:p>
    <w:p w14:paraId="713A6BE6" w14:textId="5218C163" w:rsidR="00F30F9F" w:rsidRPr="003E624D" w:rsidRDefault="00F30F9F" w:rsidP="004B201E">
      <w:r w:rsidRPr="003E624D">
        <w:t>2.2</w:t>
      </w:r>
      <w:r w:rsidRPr="003E624D">
        <w:tab/>
      </w:r>
      <w:r w:rsidR="00AD54A1" w:rsidRPr="003E624D">
        <w:t>Des progrès considérables ont été accomplis</w:t>
      </w:r>
      <w:r w:rsidR="00593778" w:rsidRPr="003E624D">
        <w:t xml:space="preserve"> et devraient se poursuivre</w:t>
      </w:r>
      <w:r w:rsidR="00AD54A1" w:rsidRPr="003E624D">
        <w:t xml:space="preserve"> dans le domaine de la présence régionale de l'UIT. Des informations détaillées sur la mise en œuvre des activités sur le terrain concernant le BDT sont disponibles dans le document du GCDT </w:t>
      </w:r>
      <w:r w:rsidR="00593778" w:rsidRPr="003E624D">
        <w:t>cité dans la partie 3.2 du Document C24/25. Le renforcement de la présence régionale est une priorité et des mesures en ce sens sont prises en permanence. Au nombre de ces mesures, on trouve par exemple le reclassement du personnel de la catégorie des services généraux au grade P2, la création de postes de "spécialistes de l'appui à la mise en œuvre de projets" afin d'aider les responsables de projet dans leur travail, l'envoi de responsables de projet dans les régions concernées, le rétablissement d'une division s'occupant spécifiquement des besoins des pays les moins avancés (PMA), les pays en développement sans littoral et les petits États insulaires en développement, et des difficultés qu'ils rencontrent.</w:t>
      </w:r>
    </w:p>
    <w:p w14:paraId="694A5C60" w14:textId="440485A3" w:rsidR="00F30F9F" w:rsidRPr="003E624D" w:rsidRDefault="00F30F9F" w:rsidP="004B201E">
      <w:r w:rsidRPr="003E624D">
        <w:t>2.3</w:t>
      </w:r>
      <w:r w:rsidRPr="003E624D">
        <w:tab/>
      </w:r>
      <w:r w:rsidR="001B1BED" w:rsidRPr="003E624D">
        <w:t>L'UIT fournit une assistance à des pays selon les modalités indiquées dans son plan opérationnel portant sur une période de 12 mois, dans le cadre duquel des projets précis sont mis en œuvre, ce qui garantit une cohérence globale. Ce processus s'appuie sur des principes de gestion axée sur les résultats, l'accent étant mis sur les réalisations (incidences recherchées sur le terrain) défini</w:t>
      </w:r>
      <w:r w:rsidR="00806C32" w:rsidRPr="003E624D">
        <w:t>e</w:t>
      </w:r>
      <w:r w:rsidR="001B1BED" w:rsidRPr="003E624D">
        <w:t xml:space="preserve">s par les États Membres à la CMDT et les produits (produits et services permettant de produire les </w:t>
      </w:r>
      <w:r w:rsidR="00806C32" w:rsidRPr="003E624D">
        <w:t>réalisations</w:t>
      </w:r>
      <w:r w:rsidR="001B1BED" w:rsidRPr="003E624D">
        <w:t>).</w:t>
      </w:r>
    </w:p>
    <w:p w14:paraId="64C6B899" w14:textId="351D1B06" w:rsidR="00F30F9F" w:rsidRPr="003E624D" w:rsidRDefault="00F30F9F" w:rsidP="004B201E">
      <w:r w:rsidRPr="003E624D">
        <w:t>2.4</w:t>
      </w:r>
      <w:r w:rsidRPr="003E624D">
        <w:tab/>
      </w:r>
      <w:r w:rsidR="00806C32" w:rsidRPr="003E624D">
        <w:t>Concernant les questions budgétaires, le Directeur du BDT remercie les nombreux bailleurs de fonds pour leurs contributions: des fonds d'un montant de près de</w:t>
      </w:r>
      <w:r w:rsidR="004B201E" w:rsidRPr="003E624D">
        <w:t> </w:t>
      </w:r>
      <w:r w:rsidR="00806C32" w:rsidRPr="003E624D">
        <w:t>30</w:t>
      </w:r>
      <w:r w:rsidR="004B201E" w:rsidRPr="003E624D">
        <w:t> </w:t>
      </w:r>
      <w:r w:rsidR="00806C32" w:rsidRPr="003E624D">
        <w:t>millions</w:t>
      </w:r>
      <w:r w:rsidR="004B201E" w:rsidRPr="003E624D">
        <w:t> </w:t>
      </w:r>
      <w:r w:rsidR="00806C32" w:rsidRPr="003E624D">
        <w:t>CHF ont été levés en 2023 et au cours de la première partie de 2024 pour le financement de projets. Quelques 63 nouveaux membres ont rejoint l'UIT-D. La stratégie visant à faire en sorte que les membres deviennent des partenaires et que les partenaires deviennent des membres semble donc fonctionner.</w:t>
      </w:r>
    </w:p>
    <w:p w14:paraId="36A4AABC" w14:textId="4CEC64C6" w:rsidR="00F30F9F" w:rsidRPr="003E624D" w:rsidRDefault="00F30F9F" w:rsidP="004B201E">
      <w:r w:rsidRPr="003E624D">
        <w:t>2.5</w:t>
      </w:r>
      <w:r w:rsidRPr="003E624D">
        <w:tab/>
      </w:r>
      <w:r w:rsidR="00217CE7" w:rsidRPr="003E624D">
        <w:t>L'attribution des crédits budgétaires dans le plan opérationnel est fondé sur une méthode linéaire, avec le même traitement pour toutes les régions. L'attribution des fonds aux projets qui sont financés entièrement ou en partie par des fonds d'affectation spéciale ou des contributions volontaires est régie par les bailleurs de fonds, qui définissent parfois des priorités. S'il est vrai que de nombreux financements sont octroyés à des projets mis en</w:t>
      </w:r>
      <w:r w:rsidR="004B201E" w:rsidRPr="003E624D">
        <w:t> </w:t>
      </w:r>
      <w:r w:rsidR="00217CE7" w:rsidRPr="003E624D">
        <w:t>œuvre à l'échelle mondiale, ils bénéficient à toutes les régions et à tous les États</w:t>
      </w:r>
      <w:r w:rsidR="004B201E" w:rsidRPr="003E624D">
        <w:t> </w:t>
      </w:r>
      <w:r w:rsidR="00217CE7" w:rsidRPr="003E624D">
        <w:t>Membres.</w:t>
      </w:r>
    </w:p>
    <w:p w14:paraId="6636D060" w14:textId="761222D4" w:rsidR="00F30F9F" w:rsidRPr="003E624D" w:rsidRDefault="00F30F9F" w:rsidP="004B201E">
      <w:r w:rsidRPr="003E624D">
        <w:t>2.6</w:t>
      </w:r>
      <w:r w:rsidRPr="003E624D">
        <w:tab/>
      </w:r>
      <w:r w:rsidR="00217CE7" w:rsidRPr="003E624D">
        <w:t xml:space="preserve">Citant plusieurs exemples concrets, le Directeur du BDT insiste sur le fait que, comme le montre le rapport figurant dans le Document C24/25 et le document du GCDT mentionné, le BDT et ses bureaux régionaux travaillent en étroite coopération avec le BR, le TSB et le Secrétariat général. Il convient de noter que le Directeur du TSB procède actuellement au recrutement de fonctionnaires qui seront en poste dans les bureaux régionaux pour s'occuper des questions liées à la normalisation, en vue de réduire l'écart en matière de </w:t>
      </w:r>
      <w:r w:rsidR="00217CE7" w:rsidRPr="003E624D">
        <w:lastRenderedPageBreak/>
        <w:t xml:space="preserve">normalisation. </w:t>
      </w:r>
      <w:r w:rsidR="005824A9" w:rsidRPr="003E624D">
        <w:t>Nombre des contributions de l'UIT aux travaux des organes et aux activités des Nations Unies sont le fruit d'efforts concertés auquel l'ensemble de l'UIT, bureaux régionaux et bureaux de zone compris, est associé.</w:t>
      </w:r>
    </w:p>
    <w:p w14:paraId="5FE4EA29" w14:textId="463BAEDA" w:rsidR="00F30F9F" w:rsidRPr="003E624D" w:rsidRDefault="00F30F9F" w:rsidP="004B201E">
      <w:r w:rsidRPr="003E624D">
        <w:t>2.7</w:t>
      </w:r>
      <w:r w:rsidRPr="003E624D">
        <w:tab/>
      </w:r>
      <w:r w:rsidR="005824A9" w:rsidRPr="003E624D">
        <w:t xml:space="preserve">Témoins de l'importance que l'UIT accorde aux relations avec les bailleurs de fonds, les structures de gouvernance adéquates sont en place et le manuel du BDT sur la gestion des projets comprend des instructions appropriées; de plus, un processus rigoureux </w:t>
      </w:r>
      <w:r w:rsidR="00A521A4" w:rsidRPr="003E624D">
        <w:t>est</w:t>
      </w:r>
      <w:r w:rsidR="005824A9" w:rsidRPr="003E624D">
        <w:t xml:space="preserve"> mis en</w:t>
      </w:r>
      <w:r w:rsidR="005979E7" w:rsidRPr="003E624D">
        <w:t> </w:t>
      </w:r>
      <w:r w:rsidR="00A521A4" w:rsidRPr="003E624D">
        <w:t xml:space="preserve">œuvre </w:t>
      </w:r>
      <w:r w:rsidR="005824A9" w:rsidRPr="003E624D">
        <w:t>pour présenter aux bailleurs de fonds les progrès accomplis, les difficultés rencontrées et les solutions adopté</w:t>
      </w:r>
      <w:r w:rsidR="00A521A4" w:rsidRPr="003E624D">
        <w:t>e</w:t>
      </w:r>
      <w:r w:rsidR="005824A9" w:rsidRPr="003E624D">
        <w:t>s sur le terrain, ce qui contribue à garantir la transparence et l'application du principe de responsabilité.</w:t>
      </w:r>
    </w:p>
    <w:p w14:paraId="6BF80753" w14:textId="7AAFACF2" w:rsidR="00F30F9F" w:rsidRPr="003E624D" w:rsidRDefault="00F30F9F" w:rsidP="004B201E">
      <w:r w:rsidRPr="003E624D">
        <w:t>2.8</w:t>
      </w:r>
      <w:r w:rsidRPr="003E624D">
        <w:tab/>
      </w:r>
      <w:r w:rsidR="00A521A4" w:rsidRPr="003E624D">
        <w:t>En ce qui concerne la question posée par le délégué de la Pologne et d'autres pays au sujet de la diligence due lorsqu'il est question d'entités tiers, l'orateur souligne que l'UIT sert les intérêts de ses membres et suit les orientations données par les États Membres</w:t>
      </w:r>
      <w:r w:rsidR="003821FF" w:rsidRPr="003E624D">
        <w:t>; il</w:t>
      </w:r>
      <w:r w:rsidR="00A521A4" w:rsidRPr="003E624D">
        <w:t xml:space="preserve"> assure aux conseillers que la Secrétaire générale et les fonctionnaires élus, avec le Comité de coordination, ont mis en place un mécanisme de diligence due, qui s'applique également aux partenaires et aux parrainages. Les éventuelles anomalies seront traitées par la direction, mais pas en raison de l'absence de lignes directrices ou de mécanismes </w:t>
      </w:r>
      <w:r w:rsidR="003821FF" w:rsidRPr="003E624D">
        <w:t>d'application</w:t>
      </w:r>
      <w:r w:rsidR="00A521A4" w:rsidRPr="003E624D">
        <w:t xml:space="preserve">. De plus, un cadre est en place et </w:t>
      </w:r>
      <w:r w:rsidR="003821FF" w:rsidRPr="003E624D">
        <w:t>assure</w:t>
      </w:r>
      <w:r w:rsidR="00A521A4" w:rsidRPr="003E624D">
        <w:t xml:space="preserve"> une communication efficace et responsable avec les États Membres. Une plus grande attention sera accordée à ces considérations, l'objectif étant que les États Membres soient satisfaits de la manière dont l'UIT mène ses activités.</w:t>
      </w:r>
    </w:p>
    <w:p w14:paraId="253DF297" w14:textId="23E548A6" w:rsidR="00F30F9F" w:rsidRPr="003E624D" w:rsidRDefault="00F30F9F" w:rsidP="004B201E">
      <w:r w:rsidRPr="003E624D">
        <w:t>2.9</w:t>
      </w:r>
      <w:r w:rsidRPr="003E624D">
        <w:tab/>
      </w:r>
      <w:r w:rsidR="003821FF" w:rsidRPr="003E624D">
        <w:t>Les conseillers remercie</w:t>
      </w:r>
      <w:r w:rsidR="00BF4B9E" w:rsidRPr="003E624D">
        <w:t>nt</w:t>
      </w:r>
      <w:r w:rsidR="003821FF" w:rsidRPr="003E624D">
        <w:t xml:space="preserve"> le Directeur</w:t>
      </w:r>
      <w:r w:rsidR="00BF4B9E" w:rsidRPr="003E624D">
        <w:t xml:space="preserve"> du BDT</w:t>
      </w:r>
      <w:r w:rsidR="003821FF" w:rsidRPr="003E624D">
        <w:t xml:space="preserve"> pour les informations fournies, qui montrent que l'Union avance de manière satisfaisante concernant la mise en œuvre du principe d'une UIT unie dans l'action. Néanmoins, des améliorations sont toujours possibles et il convient de se pencher comme il se doit sur l'urgence de mener à bien l'examen de la présence régionale demandé, qui devrait en outre porter sur les points soulevés dans les contributions et lors des discussions, en particulier la représentation de l'UIT-T et de l'UIT-R dans les bureaux régionaux et les bureaux de zone, les modalités de participation des trois</w:t>
      </w:r>
      <w:r w:rsidR="005979E7" w:rsidRPr="003E624D">
        <w:t> </w:t>
      </w:r>
      <w:r w:rsidR="003821FF" w:rsidRPr="003E624D">
        <w:t xml:space="preserve">Secteurs à la présence régionale et l'identification des </w:t>
      </w:r>
      <w:r w:rsidR="00BF4B9E" w:rsidRPr="003E624D">
        <w:t>coordonnateurs dont il est question dans la Résolution 25 (Rév. Bucarest, 2022) de la PP.</w:t>
      </w:r>
    </w:p>
    <w:p w14:paraId="54905303" w14:textId="3A1B4A75" w:rsidR="00F30F9F" w:rsidRPr="003E624D" w:rsidRDefault="00F30F9F" w:rsidP="004B201E">
      <w:r w:rsidRPr="003E624D">
        <w:t>2.10</w:t>
      </w:r>
      <w:r w:rsidRPr="003E624D">
        <w:tab/>
      </w:r>
      <w:r w:rsidR="00BF4B9E" w:rsidRPr="003E624D">
        <w:t>Le Président propose que le Conseil prenne note du Document C24/25 et demande au Secrétariat d'examiner les propositions figurant dans les Documents C24/79 et C24/78 soumis par l'Australie et le Mexique, ainsi que les propositions faites en plénière par les États</w:t>
      </w:r>
      <w:r w:rsidR="005979E7" w:rsidRPr="003E624D">
        <w:t> </w:t>
      </w:r>
      <w:r w:rsidR="00BF4B9E" w:rsidRPr="003E624D">
        <w:t>Membres, en particulier en lien avec l'examen demandé de la présence régionale de l'UIT, et de présenter un rapport sur leur mise en œuvre à la prochaine réunion du Groupe de travail du Conseil sur les ressources financières et les ressources humaines. La déclaration de la Pologne sera consignée dans le compte-rendu de la séance plénière.</w:t>
      </w:r>
    </w:p>
    <w:p w14:paraId="3FCD70DB" w14:textId="51AD45C9" w:rsidR="00F30F9F" w:rsidRPr="003E624D" w:rsidRDefault="00F30F9F" w:rsidP="004B201E">
      <w:r w:rsidRPr="003E624D">
        <w:t>2.11</w:t>
      </w:r>
      <w:r w:rsidRPr="003E624D">
        <w:tab/>
      </w:r>
      <w:r w:rsidR="00BF4B9E" w:rsidRPr="003E624D">
        <w:t>Il en est ainsi</w:t>
      </w:r>
      <w:r w:rsidR="00BF4B9E" w:rsidRPr="003E624D">
        <w:rPr>
          <w:b/>
          <w:bCs/>
        </w:rPr>
        <w:t xml:space="preserve"> décidé</w:t>
      </w:r>
      <w:r w:rsidRPr="003E624D">
        <w:t>.</w:t>
      </w:r>
    </w:p>
    <w:p w14:paraId="476F686F" w14:textId="4B9FAC53" w:rsidR="00F30F9F" w:rsidRPr="003E624D" w:rsidRDefault="00F30F9F" w:rsidP="004B201E">
      <w:r w:rsidRPr="003E624D">
        <w:t>2.12</w:t>
      </w:r>
      <w:r w:rsidRPr="003E624D">
        <w:tab/>
      </w:r>
      <w:r w:rsidR="00BF4B9E" w:rsidRPr="003E624D">
        <w:t xml:space="preserve">La conseillère du Mexique, s'exprimant également au nom du Panama et du Paraguay, </w:t>
      </w:r>
      <w:r w:rsidR="00562D65" w:rsidRPr="003E624D">
        <w:t>cosignataires</w:t>
      </w:r>
      <w:r w:rsidR="00BF4B9E" w:rsidRPr="003E624D">
        <w:t xml:space="preserve">, présente le Document C24/100. Elle salue le système de bourses de l'UIT qui aide les PMA à participer efficacement aux activités de l'Union, mais souligne </w:t>
      </w:r>
      <w:r w:rsidR="00365AB7" w:rsidRPr="003E624D">
        <w:t>la nécessité, d'une part, d'accorder l</w:t>
      </w:r>
      <w:r w:rsidR="00BF4B9E" w:rsidRPr="003E624D">
        <w:t xml:space="preserve">es bourses de manière équilibrée et transparente </w:t>
      </w:r>
      <w:r w:rsidR="00365AB7" w:rsidRPr="003E624D">
        <w:t xml:space="preserve">en vue d'assurer </w:t>
      </w:r>
      <w:r w:rsidR="00BF4B9E" w:rsidRPr="003E624D">
        <w:t xml:space="preserve">une répartition géographique équitable, la parité hommes-femmes </w:t>
      </w:r>
      <w:r w:rsidR="00365AB7" w:rsidRPr="003E624D">
        <w:t xml:space="preserve">et l'inclusion des personnes handicapées et, d'autre part, de mieux répartir le budget entre les régions. Se référant à la Résolution 213 (Dubaï, 2018) de la Conférence de plénipotentiaires, elle demande que le Secrétariat fournisse des informations sur le nombre de demandes de bourse reçues et sur le nombre de bourses attribuées et refusées par région ou par pays, sur </w:t>
      </w:r>
      <w:r w:rsidR="00365AB7" w:rsidRPr="003E624D">
        <w:lastRenderedPageBreak/>
        <w:t>le pourcentage de bourses attribuées aux hommes et aux femmes et le pourcentage de bourses attribuées à des personnes handicapées ou ayant des besoins particuliers, sur les modalités appliquées pour établir le budget affecté aux bourses et sur la répartition des bourses par région et par pays. Le Secrétariat devrait en outre analyser les procédures de demande de bourse en consultant les États Membres pour qu'ils fassent part de leur expérience, l'objectif étant d'apporter de possibles améliorations.</w:t>
      </w:r>
    </w:p>
    <w:p w14:paraId="1806533A" w14:textId="392AF734" w:rsidR="00F30F9F" w:rsidRPr="003E624D" w:rsidRDefault="00F30F9F" w:rsidP="004B201E">
      <w:r w:rsidRPr="003E624D">
        <w:t>2.13</w:t>
      </w:r>
      <w:r w:rsidRPr="003E624D">
        <w:tab/>
      </w:r>
      <w:r w:rsidR="0058769B" w:rsidRPr="003E624D">
        <w:t>Des conseillers</w:t>
      </w:r>
      <w:r w:rsidR="00A153A3" w:rsidRPr="003E624D">
        <w:t>, indiquant qu'ils appuient</w:t>
      </w:r>
      <w:r w:rsidR="0058769B" w:rsidRPr="003E624D">
        <w:t xml:space="preserve"> cette contribution soumise par plusieurs pays</w:t>
      </w:r>
      <w:r w:rsidR="00A153A3" w:rsidRPr="003E624D">
        <w:t xml:space="preserve">, </w:t>
      </w:r>
      <w:r w:rsidR="0058769B" w:rsidRPr="003E624D">
        <w:t xml:space="preserve">appellent eux aussi à davantage de transparence en ce qui concerne les bourses, en particulier vu leur importance pour permettre aux PMA de participer aux manifestations de l'UIT, et demandent eux aussi des informations complémentaires pertinentes, qui pourraient prendre la forme, </w:t>
      </w:r>
      <w:r w:rsidR="00A153A3" w:rsidRPr="003E624D">
        <w:t>entre autres</w:t>
      </w:r>
      <w:r w:rsidR="0058769B" w:rsidRPr="003E624D">
        <w:t xml:space="preserve">, d'indicateurs sur une période de cinq ans, et seraient mises à la disposition des États Membres en ligne et dans les différentes langues officielles. Une conseillère insiste sur le fait que la </w:t>
      </w:r>
      <w:r w:rsidR="00A153A3" w:rsidRPr="003E624D">
        <w:t xml:space="preserve">bonne </w:t>
      </w:r>
      <w:r w:rsidR="0058769B" w:rsidRPr="003E624D">
        <w:t xml:space="preserve">répartition géographique des bourses profite à la coopération triangulaire et à la coopération Sud-Sud, et suggère que le coût de certaines bourses puisse peut-être être partagés, avec une partie </w:t>
      </w:r>
      <w:r w:rsidR="00A153A3" w:rsidRPr="003E624D">
        <w:t>prenant</w:t>
      </w:r>
      <w:r w:rsidR="0058769B" w:rsidRPr="003E624D">
        <w:t xml:space="preserve"> à sa charge les frais de voyage et l'autre</w:t>
      </w:r>
      <w:r w:rsidR="00A153A3" w:rsidRPr="003E624D">
        <w:t xml:space="preserve"> partie</w:t>
      </w:r>
      <w:r w:rsidR="0058769B" w:rsidRPr="003E624D">
        <w:t xml:space="preserve"> les indemnités journalières de subsistance. Plusieurs conseillers demandent que le Secrétariat accélère le processus d'octroi des bourses, en particulier dans le domaine des radiocommunications, eu égard aux décisions relatives aux bourses prises à l'Assemblée des radiocommunications (Dubaï, 2023). Un autre conseiller souligne que l'objectif doit être d'accroître le nombre total de bourses, et non de transférer </w:t>
      </w:r>
      <w:r w:rsidR="00A153A3" w:rsidRPr="003E624D">
        <w:t xml:space="preserve">les bourses </w:t>
      </w:r>
      <w:r w:rsidR="0058769B" w:rsidRPr="003E624D">
        <w:t xml:space="preserve">d'une région à </w:t>
      </w:r>
      <w:r w:rsidR="00A153A3" w:rsidRPr="003E624D">
        <w:t xml:space="preserve">une </w:t>
      </w:r>
      <w:r w:rsidR="0058769B" w:rsidRPr="003E624D">
        <w:t xml:space="preserve">autre. Un conseiller </w:t>
      </w:r>
      <w:r w:rsidR="00A153A3" w:rsidRPr="003E624D">
        <w:t>appelle à une rationalisation du</w:t>
      </w:r>
      <w:r w:rsidR="0058769B" w:rsidRPr="003E624D">
        <w:t xml:space="preserve"> processus de demande moyennant</w:t>
      </w:r>
      <w:r w:rsidR="007C436A" w:rsidRPr="003E624D">
        <w:t xml:space="preserve"> une automatisation et l'adoption d'un format numérique. Un autre conseiller attire l'attention sur les recommandations formulées par le passé par les vérificateurs </w:t>
      </w:r>
      <w:r w:rsidR="00A153A3" w:rsidRPr="003E624D">
        <w:t>en vue de renforcer</w:t>
      </w:r>
      <w:r w:rsidR="007C436A" w:rsidRPr="003E624D">
        <w:t xml:space="preserve"> les contrôles internes applicables aux bourses.</w:t>
      </w:r>
    </w:p>
    <w:p w14:paraId="45B396EF" w14:textId="2A51FB74" w:rsidR="00F30F9F" w:rsidRPr="003E624D" w:rsidRDefault="00F30F9F" w:rsidP="004B201E">
      <w:r w:rsidRPr="003E624D">
        <w:t>2.14</w:t>
      </w:r>
      <w:r w:rsidRPr="003E624D">
        <w:tab/>
      </w:r>
      <w:r w:rsidR="007C436A" w:rsidRPr="003E624D">
        <w:t>Un conseiller, tout en convenant de l'importance de connaître le nombre de demandes de bourses et le nombre de bourses effectivement octroyé</w:t>
      </w:r>
      <w:r w:rsidR="00A153A3" w:rsidRPr="003E624D">
        <w:t>es</w:t>
      </w:r>
      <w:r w:rsidR="007C436A" w:rsidRPr="003E624D">
        <w:t xml:space="preserve">, fait remarquer que </w:t>
      </w:r>
      <w:r w:rsidR="00A153A3" w:rsidRPr="003E624D">
        <w:t>d</w:t>
      </w:r>
      <w:r w:rsidR="007C436A" w:rsidRPr="003E624D">
        <w:t xml:space="preserve">es informations relatives à la politique et aux critères régissant l'attribution des bourses et le budget prévu en la matière figurent dans l'Ordre de service N° 21/02 et qu'il y aura forcément des inégalités </w:t>
      </w:r>
      <w:r w:rsidR="00A153A3" w:rsidRPr="003E624D">
        <w:t>entre les régions en ce qui concerne</w:t>
      </w:r>
      <w:r w:rsidR="007C436A" w:rsidRPr="003E624D">
        <w:t xml:space="preserve"> </w:t>
      </w:r>
      <w:r w:rsidR="00A153A3" w:rsidRPr="003E624D">
        <w:t>l'attribution</w:t>
      </w:r>
      <w:r w:rsidR="007C436A" w:rsidRPr="003E624D">
        <w:t xml:space="preserve"> des bourses, étant donné que le nombre de pays éligibles </w:t>
      </w:r>
      <w:r w:rsidR="00A153A3" w:rsidRPr="003E624D">
        <w:t>varie</w:t>
      </w:r>
      <w:r w:rsidR="007C436A" w:rsidRPr="003E624D">
        <w:t xml:space="preserve"> d'une région à l'autre et que les régions auront des besoins différents en termes de participation, par exemple aux travaux des commissions d'études. Un conseiller de la région Amériques demande des informations sur les critères utilisés pour déterminer les pays de sa région qui sont considérés comme des PMA et sur la manière d</w:t>
      </w:r>
      <w:r w:rsidR="0011433F" w:rsidRPr="003E624D">
        <w:t>ont les bourses sont ensuite attribuées sur cette base.</w:t>
      </w:r>
    </w:p>
    <w:p w14:paraId="15B237E0" w14:textId="79DB7897" w:rsidR="00F30F9F" w:rsidRPr="003E624D" w:rsidRDefault="00F30F9F" w:rsidP="004B201E">
      <w:r w:rsidRPr="003E624D">
        <w:t>2.15</w:t>
      </w:r>
      <w:r w:rsidRPr="003E624D">
        <w:tab/>
      </w:r>
      <w:r w:rsidR="00A153A3" w:rsidRPr="003E624D">
        <w:t xml:space="preserve">Le Président propose que le Conseil demande au Secrétariat de fournir les informations demandées par les conseillers à l'occasion des discussion et présente </w:t>
      </w:r>
      <w:r w:rsidR="00CB0079" w:rsidRPr="003E624D">
        <w:t>un rapport à la session de 2025 du Conseil sur la mise en œuvre des mesures proposées dans le Document C24/100.</w:t>
      </w:r>
    </w:p>
    <w:p w14:paraId="7116592D" w14:textId="24354B9D" w:rsidR="00F30F9F" w:rsidRPr="003E624D" w:rsidRDefault="00F30F9F" w:rsidP="004B201E">
      <w:r w:rsidRPr="003E624D">
        <w:t>2.16</w:t>
      </w:r>
      <w:r w:rsidRPr="003E624D">
        <w:tab/>
      </w:r>
      <w:r w:rsidR="00CB0079" w:rsidRPr="003E624D">
        <w:t xml:space="preserve">Il en est ainsi </w:t>
      </w:r>
      <w:r w:rsidR="00CB0079" w:rsidRPr="003E624D">
        <w:rPr>
          <w:b/>
          <w:bCs/>
        </w:rPr>
        <w:t>décidé</w:t>
      </w:r>
      <w:r w:rsidRPr="003E624D">
        <w:t>.</w:t>
      </w:r>
    </w:p>
    <w:p w14:paraId="0167F429" w14:textId="760763CB" w:rsidR="00F30F9F" w:rsidRPr="003E624D" w:rsidRDefault="00F30F9F" w:rsidP="005979E7">
      <w:pPr>
        <w:pStyle w:val="Heading1"/>
      </w:pPr>
      <w:r w:rsidRPr="003E624D">
        <w:lastRenderedPageBreak/>
        <w:t>3</w:t>
      </w:r>
      <w:r w:rsidRPr="003E624D">
        <w:tab/>
      </w:r>
      <w:r w:rsidR="00EB0B40" w:rsidRPr="003E624D">
        <w:t>Travaux préparatoires en vue de l'Assemblée mondiale de normalisation des télécommunications de 2024 (AMNT-24</w:t>
      </w:r>
      <w:r w:rsidRPr="003E624D">
        <w:t xml:space="preserve">) (Document </w:t>
      </w:r>
      <w:hyperlink r:id="rId18" w:history="1">
        <w:r w:rsidRPr="003E624D">
          <w:rPr>
            <w:rStyle w:val="Hyperlink"/>
          </w:rPr>
          <w:t>C24/24</w:t>
        </w:r>
      </w:hyperlink>
      <w:r w:rsidRPr="003E624D">
        <w:t>)</w:t>
      </w:r>
    </w:p>
    <w:p w14:paraId="0C0E7016" w14:textId="54A1C8FC" w:rsidR="00F30F9F" w:rsidRPr="003E624D" w:rsidRDefault="00F30F9F" w:rsidP="005979E7">
      <w:pPr>
        <w:keepNext/>
        <w:keepLines/>
      </w:pPr>
      <w:r w:rsidRPr="003E624D">
        <w:t>3.1</w:t>
      </w:r>
      <w:r w:rsidRPr="003E624D">
        <w:tab/>
      </w:r>
      <w:r w:rsidR="00CB0079" w:rsidRPr="003E624D">
        <w:t>L'Adjoint au Directeur du TSB présente le Document C24/24, par lequel le Conseil est informé de l'état d'avancement des travaux préparatoires en vue du Colloque mondial sur la normalisation (GSS) et de l'AMNT-24, qui se tiendront respectivement le 14 octobre 2024 et du 15 au 24 octobre 2024, à New Delhi (Inde)</w:t>
      </w:r>
      <w:r w:rsidRPr="003E624D">
        <w:t>.</w:t>
      </w:r>
    </w:p>
    <w:p w14:paraId="20EEAF65" w14:textId="1A17EC4F" w:rsidR="00F30F9F" w:rsidRPr="003E624D" w:rsidRDefault="00F30F9F" w:rsidP="005979E7">
      <w:pPr>
        <w:keepNext/>
        <w:keepLines/>
      </w:pPr>
      <w:r w:rsidRPr="003E624D">
        <w:t>3.2</w:t>
      </w:r>
      <w:r w:rsidRPr="003E624D">
        <w:tab/>
      </w:r>
      <w:r w:rsidR="00132D2A" w:rsidRPr="003E624D">
        <w:t>Le conseiller de l'Inde présente un diaporama donnant des informations à l'intention du Conseil sur le lieu et le travail de préparation en vue la tenue du GSS-24, de l'AMNT et de tout un éventail de manifestations parallèles. Toutes les dispositions nécessaires ont été prises ou sont en passe de l'être. Sa présentation est suivie d'une vidéo retraçant l'histoire de la collaboration entre l'Inde et l'UIT et montrant le lieu choisi et le travail de préparation en vue de l'AMNT-24.</w:t>
      </w:r>
    </w:p>
    <w:p w14:paraId="7FCB8BE5" w14:textId="22D14427" w:rsidR="00F30F9F" w:rsidRPr="003E624D" w:rsidRDefault="00F30F9F" w:rsidP="005979E7">
      <w:r w:rsidRPr="003E624D">
        <w:t>3.3</w:t>
      </w:r>
      <w:r w:rsidRPr="003E624D">
        <w:tab/>
      </w:r>
      <w:r w:rsidR="00132D2A" w:rsidRPr="003E624D">
        <w:t xml:space="preserve">Le Directeur du TSB félicite l'Inde qui accueillera la première AMNT tenue en Asie. Il remercie en outre le pays pour son grand sens de l'hospitalité et note la qualité du site, qu'il a visité en mars 2024. Il souligne </w:t>
      </w:r>
      <w:r w:rsidR="00DE1E9D" w:rsidRPr="003E624D">
        <w:t>qu'il s'agira d'une manifestation extraordinaire, en particulier vu les différentes manifestions parallèles prévues.</w:t>
      </w:r>
    </w:p>
    <w:p w14:paraId="3EC2BC5A" w14:textId="323FEC41" w:rsidR="00F30F9F" w:rsidRPr="003E624D" w:rsidRDefault="00F30F9F" w:rsidP="005979E7">
      <w:r w:rsidRPr="003E624D">
        <w:t>3.4</w:t>
      </w:r>
      <w:r w:rsidRPr="003E624D">
        <w:tab/>
      </w:r>
      <w:r w:rsidR="00DE1E9D" w:rsidRPr="003E624D">
        <w:t xml:space="preserve">Les conseillers remercient l'Inde qui accueille l'AMNT-24 et le TSB qui s'occupe des travaux préparatoires et de </w:t>
      </w:r>
      <w:r w:rsidR="00C12A1B" w:rsidRPr="003E624D">
        <w:t>faire rapport en la matière; ils</w:t>
      </w:r>
      <w:r w:rsidR="00DE1E9D" w:rsidRPr="003E624D">
        <w:t xml:space="preserve"> attendent avec impatience l'Assemblée, qui fixera l'orientation et la structure générales de l'UIT-T pour le prochain cycle, </w:t>
      </w:r>
      <w:r w:rsidR="00C12A1B" w:rsidRPr="003E624D">
        <w:t>dans le but</w:t>
      </w:r>
      <w:r w:rsidR="00DE1E9D" w:rsidRPr="003E624D">
        <w:t xml:space="preserve"> d'aider à accroître l'interopérabilité, la connectivité et l'accès dans le domaine des TIC, le développement économique et la qualité de service et, partant, de contribuer à atteindre les Objectifs de développement durables fixés par les Nations Unies.</w:t>
      </w:r>
      <w:r w:rsidR="00C12A1B" w:rsidRPr="003E624D">
        <w:t xml:space="preserve"> Un conseiller espère que la réorganisation des commissions d'études, qui devrait avoir lieu à la manifestation, se traduira par une efficacité accrue des travaux de ces commissions, et que le TSB mettra en place un mécanisme pour appuyer la participation des pays en développement au GSS, à l'AMNT et aux manifestations parallèles.</w:t>
      </w:r>
    </w:p>
    <w:p w14:paraId="4FC096FF" w14:textId="478425F0" w:rsidR="00F30F9F" w:rsidRPr="003E624D" w:rsidRDefault="00F30F9F" w:rsidP="005979E7">
      <w:r w:rsidRPr="003E624D">
        <w:t>3.5</w:t>
      </w:r>
      <w:r w:rsidRPr="003E624D">
        <w:tab/>
      </w:r>
      <w:r w:rsidR="00C12A1B" w:rsidRPr="003E624D">
        <w:t>L'Adjoint au Directeur du TSB, répondant à une question posée par un conseiller, confirme que l'UIT a déjà pris contact avec les coordonnateurs de la société spécialisée dans la gestion des manifestations choisie par l'Inde afin de commencer à mettre en œuvre l'accord de pays hôte.</w:t>
      </w:r>
    </w:p>
    <w:p w14:paraId="2A6D875C" w14:textId="51306183" w:rsidR="00F30F9F" w:rsidRPr="003E624D" w:rsidRDefault="00F30F9F" w:rsidP="005979E7">
      <w:r w:rsidRPr="003E624D">
        <w:t>3.6</w:t>
      </w:r>
      <w:r w:rsidRPr="003E624D">
        <w:tab/>
      </w:r>
      <w:r w:rsidR="00C12A1B" w:rsidRPr="003E624D">
        <w:t xml:space="preserve">Le Conseil </w:t>
      </w:r>
      <w:r w:rsidR="00C12A1B" w:rsidRPr="003E624D">
        <w:rPr>
          <w:b/>
          <w:bCs/>
        </w:rPr>
        <w:t>prend</w:t>
      </w:r>
      <w:r w:rsidR="00C12A1B" w:rsidRPr="003E624D">
        <w:t xml:space="preserve"> </w:t>
      </w:r>
      <w:r w:rsidR="00C12A1B" w:rsidRPr="003E624D">
        <w:rPr>
          <w:b/>
          <w:bCs/>
        </w:rPr>
        <w:t>note</w:t>
      </w:r>
      <w:r w:rsidR="00C12A1B" w:rsidRPr="003E624D">
        <w:t xml:space="preserve"> du Document C24/24 et de l'état d'avancement des travaux préparatoires en vue de l'AMNT-24.</w:t>
      </w:r>
    </w:p>
    <w:p w14:paraId="46EE9C47" w14:textId="4DD54A47" w:rsidR="00F30F9F" w:rsidRPr="003E624D" w:rsidRDefault="00F30F9F" w:rsidP="005979E7">
      <w:r w:rsidRPr="003E624D">
        <w:t>3.7</w:t>
      </w:r>
      <w:r w:rsidRPr="003E624D">
        <w:tab/>
      </w:r>
      <w:r w:rsidR="00C12A1B" w:rsidRPr="003E624D">
        <w:t xml:space="preserve">La Secrétaire générale adresse sa gratitude à l'Inde pour l'accueil de la manifestation et se réjouit de voir les progrès réalisés concernant le processus préparatoire. </w:t>
      </w:r>
      <w:r w:rsidR="00A46D5E" w:rsidRPr="003E624D">
        <w:t>Elle souligne le programme prévu très complet qui comprend des manifestations parallèles sur un large éventail de thèmes. Elle salue l'engagement constant et renforcé de l'Inde aux côtés de l'UIT, par l'intermédiaire du Bureau de zone et du Centre d'innovation de l'UIT à New Delhi, qui ont contribué à élargir le présence de l'Union en Asie du Sud.</w:t>
      </w:r>
    </w:p>
    <w:p w14:paraId="4AEE310D" w14:textId="34891A29" w:rsidR="00F30F9F" w:rsidRPr="003E624D" w:rsidRDefault="00F30F9F" w:rsidP="005979E7">
      <w:pPr>
        <w:pStyle w:val="Heading1"/>
      </w:pPr>
      <w:r w:rsidRPr="003E624D">
        <w:lastRenderedPageBreak/>
        <w:t>4</w:t>
      </w:r>
      <w:r w:rsidRPr="003E624D">
        <w:tab/>
      </w:r>
      <w:r w:rsidR="00EB0B40" w:rsidRPr="003E624D">
        <w:t xml:space="preserve">Travaux préparatoires en vue de la Conférence de plénipotentiaires </w:t>
      </w:r>
      <w:r w:rsidRPr="003E624D">
        <w:t>(PP</w:t>
      </w:r>
      <w:r w:rsidR="005979E7" w:rsidRPr="003E624D">
        <w:noBreakHyphen/>
      </w:r>
      <w:r w:rsidRPr="003E624D">
        <w:t>26)</w:t>
      </w:r>
    </w:p>
    <w:p w14:paraId="2EDC90B9" w14:textId="2566B7CD" w:rsidR="00F30F9F" w:rsidRPr="003E624D" w:rsidRDefault="00F30F9F" w:rsidP="005979E7">
      <w:pPr>
        <w:keepNext/>
        <w:keepLines/>
      </w:pPr>
      <w:r w:rsidRPr="003E624D">
        <w:t>4.1</w:t>
      </w:r>
      <w:r w:rsidRPr="003E624D">
        <w:tab/>
      </w:r>
      <w:r w:rsidR="00D6150C" w:rsidRPr="003E624D">
        <w:t>Après la projection d'une vidéo de présentation de Doha, M. Hussain Salatt (Directeur</w:t>
      </w:r>
      <w:r w:rsidR="005979E7" w:rsidRPr="003E624D">
        <w:t> </w:t>
      </w:r>
      <w:r w:rsidR="00D6150C" w:rsidRPr="003E624D">
        <w:t>des communications et des relations internationales, Ministère des communications et des technologies de l'information</w:t>
      </w:r>
      <w:r w:rsidR="00FC5E09" w:rsidRPr="003E624D">
        <w:t>,</w:t>
      </w:r>
      <w:r w:rsidR="00D6150C" w:rsidRPr="003E624D">
        <w:t xml:space="preserve"> Qatar) </w:t>
      </w:r>
      <w:r w:rsidR="00FC5E09" w:rsidRPr="003E624D">
        <w:t>annonce</w:t>
      </w:r>
      <w:r w:rsidR="00D6150C" w:rsidRPr="003E624D">
        <w:t xml:space="preserve"> officiellement que</w:t>
      </w:r>
      <w:r w:rsidR="005979E7" w:rsidRPr="003E624D">
        <w:t> </w:t>
      </w:r>
      <w:r w:rsidR="00D6150C" w:rsidRPr="003E624D">
        <w:t>S.E.</w:t>
      </w:r>
      <w:r w:rsidR="005979E7" w:rsidRPr="003E624D">
        <w:t> </w:t>
      </w:r>
      <w:r w:rsidR="00D6150C" w:rsidRPr="003E624D">
        <w:t>M.</w:t>
      </w:r>
      <w:r w:rsidR="005979E7" w:rsidRPr="003E624D">
        <w:t> </w:t>
      </w:r>
      <w:r w:rsidR="00D6150C" w:rsidRPr="003E624D">
        <w:t>Ahmad</w:t>
      </w:r>
      <w:r w:rsidR="005979E7" w:rsidRPr="003E624D">
        <w:t> </w:t>
      </w:r>
      <w:r w:rsidR="00D6150C" w:rsidRPr="003E624D">
        <w:t>Al</w:t>
      </w:r>
      <w:r w:rsidR="005979E7" w:rsidRPr="003E624D">
        <w:t> </w:t>
      </w:r>
      <w:r w:rsidR="00D6150C" w:rsidRPr="003E624D">
        <w:t xml:space="preserve">Muslemani, Président </w:t>
      </w:r>
      <w:r w:rsidR="00FC5E09" w:rsidRPr="003E624D">
        <w:t>de l'Autorité de régulation des communications du Qatar, a été nommé Président élu de la PP-26. Il présente ensuite un diaporama sur le lieu retenu pour tenir la PP-26, les possibilités d'hébergements offertes et les services correspondants.</w:t>
      </w:r>
    </w:p>
    <w:p w14:paraId="5EA8CA3E" w14:textId="3167A1D9" w:rsidR="00F30F9F" w:rsidRPr="003E624D" w:rsidRDefault="00F30F9F" w:rsidP="005979E7">
      <w:pPr>
        <w:keepNext/>
        <w:keepLines/>
      </w:pPr>
      <w:r w:rsidRPr="003E624D">
        <w:t>4.2</w:t>
      </w:r>
      <w:r w:rsidRPr="003E624D">
        <w:tab/>
      </w:r>
      <w:r w:rsidR="00FC5E09" w:rsidRPr="003E624D">
        <w:t>S</w:t>
      </w:r>
      <w:r w:rsidRPr="003E624D">
        <w:t>.E. M</w:t>
      </w:r>
      <w:r w:rsidR="00FC5E09" w:rsidRPr="003E624D">
        <w:t>.</w:t>
      </w:r>
      <w:r w:rsidRPr="003E624D">
        <w:t xml:space="preserve"> Ahmad Al Muslemani </w:t>
      </w:r>
      <w:r w:rsidR="00FC5E09" w:rsidRPr="003E624D">
        <w:t>(Président de l'Autorité de régulation des communications du Qatar</w:t>
      </w:r>
      <w:r w:rsidRPr="003E624D">
        <w:t xml:space="preserve">), </w:t>
      </w:r>
      <w:r w:rsidR="00FC5E09" w:rsidRPr="003E624D">
        <w:t>Président élu de la PP-26</w:t>
      </w:r>
      <w:r w:rsidRPr="003E624D">
        <w:t xml:space="preserve">, </w:t>
      </w:r>
      <w:r w:rsidR="00FC5E09" w:rsidRPr="003E624D">
        <w:t>prononce la déclaration suivante</w:t>
      </w:r>
      <w:r w:rsidRPr="003E624D">
        <w:t>:</w:t>
      </w:r>
      <w:r w:rsidR="002E2BAE">
        <w:t xml:space="preserve"> </w:t>
      </w:r>
      <w:hyperlink r:id="rId19" w:history="1">
        <w:r w:rsidR="002E2BAE" w:rsidRPr="00926170">
          <w:rPr>
            <w:rStyle w:val="Hyperlink"/>
            <w:spacing w:val="-2"/>
          </w:rPr>
          <w:t>http://council.itu.int/2024/wp-content/uploads/sites/4/2024/07/C24-Statement-Qatar-e_PL2.docx</w:t>
        </w:r>
      </w:hyperlink>
      <w:r w:rsidR="002E2BAE" w:rsidRPr="002E2BAE">
        <w:rPr>
          <w:rStyle w:val="Hyperlink"/>
          <w:color w:val="auto"/>
          <w:spacing w:val="-2"/>
          <w:u w:val="none"/>
        </w:rPr>
        <w:t>.</w:t>
      </w:r>
    </w:p>
    <w:p w14:paraId="64F7C37C" w14:textId="7CB3A668" w:rsidR="00F30F9F" w:rsidRPr="003E624D" w:rsidRDefault="00F30F9F" w:rsidP="005979E7">
      <w:r w:rsidRPr="003E624D">
        <w:t>4.3</w:t>
      </w:r>
      <w:r w:rsidRPr="003E624D">
        <w:tab/>
      </w:r>
      <w:r w:rsidR="00FC5E09" w:rsidRPr="003E624D">
        <w:t>Les conseillers et les observateurs remercient le Qatar qui accueillera la manifestation et félicitent le Président élu pour sa nomination.</w:t>
      </w:r>
    </w:p>
    <w:p w14:paraId="101357B9" w14:textId="45A3576B" w:rsidR="00F30F9F" w:rsidRPr="003E624D" w:rsidRDefault="00F30F9F" w:rsidP="005979E7">
      <w:r w:rsidRPr="003E624D">
        <w:t>4.4</w:t>
      </w:r>
      <w:r w:rsidRPr="003E624D">
        <w:tab/>
      </w:r>
      <w:r w:rsidR="00FC5E09" w:rsidRPr="003E624D">
        <w:t xml:space="preserve">La Secrétaire générale félicite le Président élu de la PP-26 pour sa nomination bien avant la tenue de la manifestation et l'assure du soutien sans faille du Secrétariat pendant le processus de préparation et la tenue de la Conférence. Elle </w:t>
      </w:r>
      <w:r w:rsidR="00F719CE" w:rsidRPr="003E624D">
        <w:t>se réjouit à la perspective</w:t>
      </w:r>
      <w:r w:rsidR="00FC5E09" w:rsidRPr="003E624D">
        <w:t xml:space="preserve"> de cette collaboration constructive et </w:t>
      </w:r>
      <w:r w:rsidR="00F719CE" w:rsidRPr="003E624D">
        <w:t xml:space="preserve">est impatiente de contribuer </w:t>
      </w:r>
      <w:r w:rsidR="00FC5E09" w:rsidRPr="003E624D">
        <w:t>à faire de la PP-26 une réussite.</w:t>
      </w:r>
    </w:p>
    <w:p w14:paraId="05309BCC" w14:textId="10108B71" w:rsidR="00897553" w:rsidRDefault="00FC5E09" w:rsidP="005979E7">
      <w:pPr>
        <w:tabs>
          <w:tab w:val="clear" w:pos="567"/>
          <w:tab w:val="clear" w:pos="1134"/>
          <w:tab w:val="clear" w:pos="1701"/>
          <w:tab w:val="clear" w:pos="2268"/>
          <w:tab w:val="clear" w:pos="2835"/>
          <w:tab w:val="left" w:pos="7088"/>
        </w:tabs>
        <w:spacing w:before="840"/>
        <w:jc w:val="both"/>
      </w:pPr>
      <w:r w:rsidRPr="003E624D">
        <w:t>La Secrétaire générale</w:t>
      </w:r>
      <w:r w:rsidR="00F30F9F" w:rsidRPr="003E624D">
        <w:tab/>
      </w:r>
      <w:r w:rsidRPr="003E624D">
        <w:t>Le Président</w:t>
      </w:r>
      <w:r w:rsidR="00F30F9F" w:rsidRPr="003E624D">
        <w:t>:</w:t>
      </w:r>
      <w:r w:rsidR="005979E7" w:rsidRPr="003E624D">
        <w:br/>
      </w:r>
      <w:r w:rsidR="00F30F9F" w:rsidRPr="003E624D">
        <w:t>D. BOGDAN-MARTIN</w:t>
      </w:r>
      <w:r w:rsidR="00F30F9F" w:rsidRPr="003E624D">
        <w:tab/>
        <w:t>F. SAUVAGE</w:t>
      </w:r>
    </w:p>
    <w:p w14:paraId="3D77B91B" w14:textId="4714C3F0" w:rsidR="00A87277" w:rsidRPr="003E624D" w:rsidRDefault="00A87277" w:rsidP="00A87277">
      <w:pPr>
        <w:tabs>
          <w:tab w:val="clear" w:pos="567"/>
          <w:tab w:val="clear" w:pos="1134"/>
          <w:tab w:val="clear" w:pos="1701"/>
          <w:tab w:val="clear" w:pos="2268"/>
          <w:tab w:val="clear" w:pos="2835"/>
          <w:tab w:val="left" w:pos="7088"/>
        </w:tabs>
        <w:spacing w:before="840"/>
        <w:jc w:val="center"/>
      </w:pPr>
      <w:r>
        <w:t>__________________</w:t>
      </w:r>
    </w:p>
    <w:sectPr w:rsidR="00A87277" w:rsidRPr="003E624D" w:rsidSect="00D72F49">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0A98" w14:textId="3DD483BD" w:rsidR="00732045" w:rsidRDefault="00A87277">
    <w:pPr>
      <w:pStyle w:val="Footer"/>
    </w:pPr>
    <w:r>
      <w:fldChar w:fldCharType="begin"/>
    </w:r>
    <w:r>
      <w:instrText xml:space="preserve"> FILENAME \p \* MERGEFORMAT </w:instrText>
    </w:r>
    <w:r>
      <w:fldChar w:fldCharType="separate"/>
    </w:r>
    <w:r w:rsidR="00E4428F">
      <w:t>Document4</w:t>
    </w:r>
    <w:r>
      <w:fldChar w:fldCharType="end"/>
    </w:r>
    <w:r w:rsidR="00732045">
      <w:tab/>
    </w:r>
    <w:r w:rsidR="002F1B76">
      <w:fldChar w:fldCharType="begin"/>
    </w:r>
    <w:r w:rsidR="00732045">
      <w:instrText xml:space="preserve"> savedate \@ dd.MM.yy </w:instrText>
    </w:r>
    <w:r w:rsidR="002F1B76">
      <w:fldChar w:fldCharType="separate"/>
    </w:r>
    <w:r>
      <w:t>02.09.24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6FD78732" w:rsidR="00A51849" w:rsidRDefault="00D80950" w:rsidP="00A51849">
          <w:pPr>
            <w:pStyle w:val="Header"/>
            <w:jc w:val="left"/>
            <w:rPr>
              <w:noProof/>
            </w:rPr>
          </w:pPr>
          <w:r>
            <w:rPr>
              <w:noProof/>
            </w:rPr>
            <w:t>24-01195</w:t>
          </w:r>
        </w:p>
      </w:tc>
      <w:tc>
        <w:tcPr>
          <w:tcW w:w="8261" w:type="dxa"/>
        </w:tcPr>
        <w:p w14:paraId="0DB0A3C6" w14:textId="43F3F953"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4B201E">
            <w:rPr>
              <w:bCs/>
            </w:rPr>
            <w:t>112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21E8431C"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A87277"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4D319F97"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856EBD">
            <w:rPr>
              <w:bCs/>
            </w:rPr>
            <w:t>112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2BCAE60D"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872451"/>
      <w:docPartObj>
        <w:docPartGallery w:val="Page Numbers (Top of Page)"/>
        <w:docPartUnique/>
      </w:docPartObj>
    </w:sdtPr>
    <w:sdtEndPr>
      <w:rPr>
        <w:noProof/>
      </w:rPr>
    </w:sdtEndPr>
    <w:sdtContent>
      <w:p w14:paraId="7EB64A1D" w14:textId="0B79A9FB" w:rsidR="006A11AE" w:rsidRDefault="006A11AE">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D0D0A"/>
    <w:rsid w:val="00103163"/>
    <w:rsid w:val="00106B19"/>
    <w:rsid w:val="001133EF"/>
    <w:rsid w:val="0011433F"/>
    <w:rsid w:val="00115D93"/>
    <w:rsid w:val="001247A8"/>
    <w:rsid w:val="00132D2A"/>
    <w:rsid w:val="001378C0"/>
    <w:rsid w:val="0018694A"/>
    <w:rsid w:val="001A3287"/>
    <w:rsid w:val="001A6508"/>
    <w:rsid w:val="001B1BED"/>
    <w:rsid w:val="001D4C31"/>
    <w:rsid w:val="001E4D21"/>
    <w:rsid w:val="00207CD1"/>
    <w:rsid w:val="00217CE7"/>
    <w:rsid w:val="00226657"/>
    <w:rsid w:val="002477A2"/>
    <w:rsid w:val="00263A51"/>
    <w:rsid w:val="00267E02"/>
    <w:rsid w:val="002A5D44"/>
    <w:rsid w:val="002E0BC4"/>
    <w:rsid w:val="002E2BAE"/>
    <w:rsid w:val="002F1B76"/>
    <w:rsid w:val="002F5F19"/>
    <w:rsid w:val="0033568E"/>
    <w:rsid w:val="00355FF5"/>
    <w:rsid w:val="00361350"/>
    <w:rsid w:val="00365AB7"/>
    <w:rsid w:val="003821FF"/>
    <w:rsid w:val="003C3FAE"/>
    <w:rsid w:val="003E624D"/>
    <w:rsid w:val="004038CB"/>
    <w:rsid w:val="0040546F"/>
    <w:rsid w:val="0042404A"/>
    <w:rsid w:val="0044618F"/>
    <w:rsid w:val="0046769A"/>
    <w:rsid w:val="00475FB3"/>
    <w:rsid w:val="004B201E"/>
    <w:rsid w:val="004C37A9"/>
    <w:rsid w:val="004D1D50"/>
    <w:rsid w:val="004F259E"/>
    <w:rsid w:val="00511F1D"/>
    <w:rsid w:val="00520F36"/>
    <w:rsid w:val="00534E13"/>
    <w:rsid w:val="00540615"/>
    <w:rsid w:val="00540A6D"/>
    <w:rsid w:val="00544EA7"/>
    <w:rsid w:val="00562D65"/>
    <w:rsid w:val="00566679"/>
    <w:rsid w:val="00571EEA"/>
    <w:rsid w:val="00575417"/>
    <w:rsid w:val="005768E1"/>
    <w:rsid w:val="005824A9"/>
    <w:rsid w:val="0058769B"/>
    <w:rsid w:val="00593778"/>
    <w:rsid w:val="005979E7"/>
    <w:rsid w:val="005B1938"/>
    <w:rsid w:val="005C3890"/>
    <w:rsid w:val="005F7BFE"/>
    <w:rsid w:val="00600017"/>
    <w:rsid w:val="00616D7D"/>
    <w:rsid w:val="006235CA"/>
    <w:rsid w:val="006643AB"/>
    <w:rsid w:val="0066486D"/>
    <w:rsid w:val="006A11AE"/>
    <w:rsid w:val="006F0A53"/>
    <w:rsid w:val="007210CD"/>
    <w:rsid w:val="00732045"/>
    <w:rsid w:val="0073275D"/>
    <w:rsid w:val="007369DB"/>
    <w:rsid w:val="007956C2"/>
    <w:rsid w:val="007A187E"/>
    <w:rsid w:val="007C436A"/>
    <w:rsid w:val="007C72C2"/>
    <w:rsid w:val="007D4436"/>
    <w:rsid w:val="007F257A"/>
    <w:rsid w:val="007F3665"/>
    <w:rsid w:val="00800037"/>
    <w:rsid w:val="00801917"/>
    <w:rsid w:val="00806C32"/>
    <w:rsid w:val="0081607F"/>
    <w:rsid w:val="0082299A"/>
    <w:rsid w:val="0083391C"/>
    <w:rsid w:val="00856EBD"/>
    <w:rsid w:val="00861D73"/>
    <w:rsid w:val="00897553"/>
    <w:rsid w:val="008A4E87"/>
    <w:rsid w:val="008D76E6"/>
    <w:rsid w:val="008E23BE"/>
    <w:rsid w:val="0092392D"/>
    <w:rsid w:val="0093234A"/>
    <w:rsid w:val="00956A78"/>
    <w:rsid w:val="009576A5"/>
    <w:rsid w:val="0097363B"/>
    <w:rsid w:val="00973F53"/>
    <w:rsid w:val="009A6BAA"/>
    <w:rsid w:val="009C307F"/>
    <w:rsid w:val="009C353C"/>
    <w:rsid w:val="009C677F"/>
    <w:rsid w:val="00A153A3"/>
    <w:rsid w:val="00A2113E"/>
    <w:rsid w:val="00A23A51"/>
    <w:rsid w:val="00A24607"/>
    <w:rsid w:val="00A25CD3"/>
    <w:rsid w:val="00A46D5E"/>
    <w:rsid w:val="00A51849"/>
    <w:rsid w:val="00A521A4"/>
    <w:rsid w:val="00A709FE"/>
    <w:rsid w:val="00A73C60"/>
    <w:rsid w:val="00A82767"/>
    <w:rsid w:val="00A87277"/>
    <w:rsid w:val="00AA332F"/>
    <w:rsid w:val="00AA7BBB"/>
    <w:rsid w:val="00AB64A8"/>
    <w:rsid w:val="00AC0266"/>
    <w:rsid w:val="00AD24EC"/>
    <w:rsid w:val="00AD54A1"/>
    <w:rsid w:val="00B309F9"/>
    <w:rsid w:val="00B32B60"/>
    <w:rsid w:val="00B61619"/>
    <w:rsid w:val="00BB2327"/>
    <w:rsid w:val="00BB4545"/>
    <w:rsid w:val="00BD5873"/>
    <w:rsid w:val="00BF4B60"/>
    <w:rsid w:val="00BF4B9E"/>
    <w:rsid w:val="00C04BE3"/>
    <w:rsid w:val="00C12A1B"/>
    <w:rsid w:val="00C25D29"/>
    <w:rsid w:val="00C27A7C"/>
    <w:rsid w:val="00C42437"/>
    <w:rsid w:val="00C52FCD"/>
    <w:rsid w:val="00CA08ED"/>
    <w:rsid w:val="00CB0079"/>
    <w:rsid w:val="00CF183B"/>
    <w:rsid w:val="00D375CD"/>
    <w:rsid w:val="00D553A2"/>
    <w:rsid w:val="00D6150C"/>
    <w:rsid w:val="00D72F49"/>
    <w:rsid w:val="00D774D3"/>
    <w:rsid w:val="00D80950"/>
    <w:rsid w:val="00D904E8"/>
    <w:rsid w:val="00DA08C3"/>
    <w:rsid w:val="00DB5A3E"/>
    <w:rsid w:val="00DC22AA"/>
    <w:rsid w:val="00DE1E9D"/>
    <w:rsid w:val="00DF74DD"/>
    <w:rsid w:val="00E15B00"/>
    <w:rsid w:val="00E25AD0"/>
    <w:rsid w:val="00E4428F"/>
    <w:rsid w:val="00E5450B"/>
    <w:rsid w:val="00E93668"/>
    <w:rsid w:val="00E95647"/>
    <w:rsid w:val="00EB0B40"/>
    <w:rsid w:val="00EB6350"/>
    <w:rsid w:val="00EC7372"/>
    <w:rsid w:val="00F15B57"/>
    <w:rsid w:val="00F30F9F"/>
    <w:rsid w:val="00F355C1"/>
    <w:rsid w:val="00F35EF4"/>
    <w:rsid w:val="00F37FE5"/>
    <w:rsid w:val="00F427DB"/>
    <w:rsid w:val="00F719CE"/>
    <w:rsid w:val="00F81820"/>
    <w:rsid w:val="00FA5EB1"/>
    <w:rsid w:val="00FA7439"/>
    <w:rsid w:val="00FC4EC0"/>
    <w:rsid w:val="00FC5E0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79/en" TargetMode="External"/><Relationship Id="rId13" Type="http://schemas.openxmlformats.org/officeDocument/2006/relationships/hyperlink" Target="http://council.itu.int/2024/wp-content/uploads/sites/4/2024/07/C24-Statement-Azerbaijan_PL2.docx" TargetMode="External"/><Relationship Id="rId18" Type="http://schemas.openxmlformats.org/officeDocument/2006/relationships/hyperlink" Target="https://www.itu.int/md/S24-CL-C-0024/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itu.int/md/S24-CL-C-0025/en" TargetMode="External"/><Relationship Id="rId12" Type="http://schemas.openxmlformats.org/officeDocument/2006/relationships/hyperlink" Target="https://www.itu.int/md/S24-CL-C-0030/en" TargetMode="External"/><Relationship Id="rId17" Type="http://schemas.openxmlformats.org/officeDocument/2006/relationships/hyperlink" Target="https://www.itu.int/md/S24-CL-C-0100/en"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itu.int/md/S24-CL-C-0098/e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tu.int/md/S24-CL-C-0030/fr" TargetMode="External"/><Relationship Id="rId11" Type="http://schemas.openxmlformats.org/officeDocument/2006/relationships/hyperlink" Target="https://www.itu.int/md/S24-CL-C-0024/en"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itu.int/md/S24-CL-C-0079/en" TargetMode="External"/><Relationship Id="rId23" Type="http://schemas.openxmlformats.org/officeDocument/2006/relationships/footer" Target="footer2.xml"/><Relationship Id="rId10" Type="http://schemas.openxmlformats.org/officeDocument/2006/relationships/hyperlink" Target="https://www.itu.int/md/S24-CL-C-0100/en" TargetMode="External"/><Relationship Id="rId19" Type="http://schemas.openxmlformats.org/officeDocument/2006/relationships/hyperlink" Target="http://council.itu.int/2024/wp-content/uploads/sites/4/2024/07/C24-Statement-Qatar-e_PL2.docx" TargetMode="External"/><Relationship Id="rId4" Type="http://schemas.openxmlformats.org/officeDocument/2006/relationships/footnotes" Target="footnotes.xml"/><Relationship Id="rId9" Type="http://schemas.openxmlformats.org/officeDocument/2006/relationships/hyperlink" Target="https://www.itu.int/md/S24-CL-C-0098/en" TargetMode="External"/><Relationship Id="rId14" Type="http://schemas.openxmlformats.org/officeDocument/2006/relationships/hyperlink" Target="https://www.itu.int/md/S24-CL-C-0025/en"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2939</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19919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second Plenary meeting</dc:title>
  <dc:subject>Conseil 2024 de l'UIT</dc:subject>
  <cp:keywords>C2024, C24, Council-24</cp:keywords>
  <dc:description/>
  <cp:revision>3</cp:revision>
  <cp:lastPrinted>2000-07-18T08:55:00Z</cp:lastPrinted>
  <dcterms:created xsi:type="dcterms:W3CDTF">2024-09-02T08:33:00Z</dcterms:created>
  <dcterms:modified xsi:type="dcterms:W3CDTF">2024-09-02T09:36:00Z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