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50663D" w14:paraId="4EE8B274" w14:textId="77777777" w:rsidTr="00F363FE">
        <w:tc>
          <w:tcPr>
            <w:tcW w:w="6512" w:type="dxa"/>
          </w:tcPr>
          <w:p w14:paraId="426B25B7" w14:textId="4C693D76" w:rsidR="0050663D" w:rsidRPr="007B0AA0" w:rsidRDefault="0050663D" w:rsidP="0050663D">
            <w:pPr>
              <w:spacing w:before="60" w:after="60" w:line="260" w:lineRule="exact"/>
              <w:rPr>
                <w:b/>
                <w:bCs/>
                <w:lang w:bidi="ar-EG"/>
              </w:rPr>
            </w:pPr>
          </w:p>
        </w:tc>
        <w:tc>
          <w:tcPr>
            <w:tcW w:w="3117" w:type="dxa"/>
          </w:tcPr>
          <w:p w14:paraId="2392B9A5" w14:textId="7B558B7D" w:rsidR="0050663D" w:rsidRPr="007B0AA0" w:rsidRDefault="0050663D" w:rsidP="0050663D">
            <w:pPr>
              <w:spacing w:before="60" w:after="60" w:line="260" w:lineRule="exact"/>
              <w:rPr>
                <w:b/>
                <w:bCs/>
                <w:lang w:bidi="ar-EG"/>
              </w:rPr>
            </w:pPr>
            <w:r w:rsidRPr="00EC0139">
              <w:rPr>
                <w:rFonts w:hint="cs"/>
                <w:b/>
                <w:bCs/>
                <w:rtl/>
                <w:lang w:bidi="ar-EG"/>
              </w:rPr>
              <w:t xml:space="preserve">الوثيقة </w:t>
            </w:r>
            <w:r w:rsidRPr="00EC0139">
              <w:rPr>
                <w:b/>
                <w:bCs/>
                <w:lang w:bidi="ar-EG"/>
              </w:rPr>
              <w:t>C24/</w:t>
            </w:r>
            <w:r w:rsidR="00D52E1C">
              <w:rPr>
                <w:b/>
                <w:bCs/>
                <w:lang w:bidi="ar-EG"/>
              </w:rPr>
              <w:t>111</w:t>
            </w:r>
            <w:r w:rsidRPr="00EC0139">
              <w:rPr>
                <w:b/>
                <w:bCs/>
                <w:lang w:bidi="ar-EG"/>
              </w:rPr>
              <w:t>-A</w:t>
            </w:r>
          </w:p>
        </w:tc>
      </w:tr>
      <w:tr w:rsidR="0050663D" w14:paraId="43980B15" w14:textId="77777777" w:rsidTr="00F363FE">
        <w:tc>
          <w:tcPr>
            <w:tcW w:w="6512" w:type="dxa"/>
          </w:tcPr>
          <w:p w14:paraId="5012D8DE" w14:textId="77777777" w:rsidR="0050663D" w:rsidRPr="007B0AA0" w:rsidRDefault="0050663D" w:rsidP="0050663D">
            <w:pPr>
              <w:spacing w:before="60" w:after="60" w:line="260" w:lineRule="exact"/>
              <w:rPr>
                <w:b/>
                <w:bCs/>
                <w:rtl/>
                <w:lang w:bidi="ar-EG"/>
              </w:rPr>
            </w:pPr>
          </w:p>
        </w:tc>
        <w:tc>
          <w:tcPr>
            <w:tcW w:w="3117" w:type="dxa"/>
          </w:tcPr>
          <w:p w14:paraId="7E16967C" w14:textId="73EB14CE" w:rsidR="0050663D" w:rsidRPr="007B0AA0" w:rsidRDefault="00B63331" w:rsidP="0050663D">
            <w:pPr>
              <w:spacing w:before="60" w:after="60" w:line="260" w:lineRule="exact"/>
              <w:rPr>
                <w:b/>
                <w:bCs/>
                <w:rtl/>
                <w:lang w:bidi="ar-EG"/>
              </w:rPr>
            </w:pPr>
            <w:r>
              <w:rPr>
                <w:rFonts w:hint="cs"/>
                <w:b/>
                <w:bCs/>
                <w:rtl/>
                <w:lang w:bidi="ar-EG"/>
              </w:rPr>
              <w:t>29</w:t>
            </w:r>
            <w:r w:rsidR="0050663D" w:rsidRPr="00EC0139">
              <w:rPr>
                <w:rFonts w:hint="cs"/>
                <w:b/>
                <w:bCs/>
                <w:rtl/>
                <w:lang w:bidi="ar-EG"/>
              </w:rPr>
              <w:t xml:space="preserve"> </w:t>
            </w:r>
            <w:r>
              <w:rPr>
                <w:rFonts w:hint="cs"/>
                <w:b/>
                <w:bCs/>
                <w:rtl/>
                <w:lang w:bidi="ar-EG"/>
              </w:rPr>
              <w:t>أغسطس</w:t>
            </w:r>
            <w:r w:rsidR="0050663D" w:rsidRPr="00EC0139">
              <w:rPr>
                <w:b/>
                <w:bCs/>
                <w:rtl/>
                <w:lang w:bidi="ar-EG"/>
              </w:rPr>
              <w:t xml:space="preserve"> </w:t>
            </w:r>
            <w:r w:rsidR="0050663D" w:rsidRPr="00EC0139">
              <w:rPr>
                <w:b/>
                <w:bCs/>
                <w:lang w:bidi="ar-EG"/>
              </w:rPr>
              <w:t>2024</w:t>
            </w:r>
          </w:p>
        </w:tc>
      </w:tr>
      <w:tr w:rsidR="0050663D" w14:paraId="49FE4988" w14:textId="77777777" w:rsidTr="00F363FE">
        <w:tc>
          <w:tcPr>
            <w:tcW w:w="6512" w:type="dxa"/>
          </w:tcPr>
          <w:p w14:paraId="3AEDFE2B" w14:textId="77777777" w:rsidR="0050663D" w:rsidRPr="007B0AA0" w:rsidRDefault="0050663D" w:rsidP="0050663D">
            <w:pPr>
              <w:spacing w:before="60" w:after="60" w:line="260" w:lineRule="exact"/>
              <w:rPr>
                <w:b/>
                <w:bCs/>
                <w:rtl/>
                <w:lang w:bidi="ar-EG"/>
              </w:rPr>
            </w:pPr>
          </w:p>
        </w:tc>
        <w:tc>
          <w:tcPr>
            <w:tcW w:w="3117" w:type="dxa"/>
          </w:tcPr>
          <w:p w14:paraId="573C93C8" w14:textId="3D60D6A2" w:rsidR="0050663D" w:rsidRPr="007B0AA0" w:rsidRDefault="0050663D" w:rsidP="0050663D">
            <w:pPr>
              <w:spacing w:before="60" w:after="60" w:line="260" w:lineRule="exact"/>
              <w:rPr>
                <w:b/>
                <w:bCs/>
                <w:rtl/>
                <w:lang w:bidi="ar-EG"/>
              </w:rPr>
            </w:pPr>
            <w:r w:rsidRPr="00EC0139">
              <w:rPr>
                <w:rFonts w:hint="cs"/>
                <w:b/>
                <w:bCs/>
                <w:rtl/>
                <w:lang w:bidi="ar-EG"/>
              </w:rPr>
              <w:t xml:space="preserve">الأصل: </w:t>
            </w:r>
            <w:r w:rsidRPr="00EC0139">
              <w:rPr>
                <w:b/>
                <w:bCs/>
                <w:rtl/>
                <w:lang w:bidi="ar-EG"/>
              </w:rPr>
              <w:t>بالإنكليزية</w:t>
            </w:r>
          </w:p>
        </w:tc>
      </w:tr>
      <w:tr w:rsidR="007B0AA0" w14:paraId="7E879E78" w14:textId="77777777" w:rsidTr="00F363FE">
        <w:tc>
          <w:tcPr>
            <w:tcW w:w="6512" w:type="dxa"/>
          </w:tcPr>
          <w:p w14:paraId="3B57B322" w14:textId="77777777" w:rsidR="007B0AA0" w:rsidRDefault="007B0AA0" w:rsidP="00F363FE">
            <w:pPr>
              <w:spacing w:before="60" w:after="60" w:line="260" w:lineRule="exact"/>
              <w:rPr>
                <w:lang w:bidi="ar-EG"/>
              </w:rPr>
            </w:pPr>
          </w:p>
        </w:tc>
        <w:tc>
          <w:tcPr>
            <w:tcW w:w="3117" w:type="dxa"/>
          </w:tcPr>
          <w:p w14:paraId="2E7FF931" w14:textId="77777777" w:rsidR="007B0AA0" w:rsidRDefault="007B0AA0" w:rsidP="00F363FE">
            <w:pPr>
              <w:spacing w:before="60" w:after="60" w:line="260" w:lineRule="exact"/>
              <w:rPr>
                <w:rtl/>
                <w:lang w:bidi="ar-EG"/>
              </w:rPr>
            </w:pPr>
          </w:p>
        </w:tc>
      </w:tr>
      <w:tr w:rsidR="007B0AA0" w14:paraId="68BE61A1" w14:textId="77777777" w:rsidTr="00EE7446">
        <w:tc>
          <w:tcPr>
            <w:tcW w:w="9629" w:type="dxa"/>
            <w:gridSpan w:val="2"/>
          </w:tcPr>
          <w:p w14:paraId="33D76159" w14:textId="5731E53C" w:rsidR="007B0AA0" w:rsidRPr="00B80B0C" w:rsidRDefault="003610EC" w:rsidP="00B80B0C">
            <w:pPr>
              <w:pStyle w:val="Source"/>
              <w:rPr>
                <w:rtl/>
              </w:rPr>
            </w:pPr>
            <w:r w:rsidRPr="00B80B0C">
              <w:rPr>
                <w:rtl/>
              </w:rPr>
              <w:t xml:space="preserve">محضر موجز للجلسة العامة </w:t>
            </w:r>
            <w:r w:rsidR="00D52E1C">
              <w:rPr>
                <w:rFonts w:hint="cs"/>
                <w:rtl/>
              </w:rPr>
              <w:t>الأولى</w:t>
            </w:r>
          </w:p>
        </w:tc>
      </w:tr>
      <w:tr w:rsidR="007B0AA0" w14:paraId="236A0D43" w14:textId="77777777" w:rsidTr="007B0AA0">
        <w:tc>
          <w:tcPr>
            <w:tcW w:w="9629" w:type="dxa"/>
            <w:gridSpan w:val="2"/>
            <w:tcBorders>
              <w:bottom w:val="single" w:sz="4" w:space="0" w:color="auto"/>
            </w:tcBorders>
          </w:tcPr>
          <w:p w14:paraId="1152F899" w14:textId="23DC4E9E" w:rsidR="007B0AA0" w:rsidRDefault="00D52E1C" w:rsidP="003610EC">
            <w:pPr>
              <w:jc w:val="center"/>
              <w:rPr>
                <w:rtl/>
                <w:lang w:bidi="ar-SY"/>
              </w:rPr>
            </w:pPr>
            <w:r>
              <w:rPr>
                <w:rFonts w:hint="cs"/>
                <w:rtl/>
              </w:rPr>
              <w:t>الثلاثاء</w:t>
            </w:r>
            <w:r w:rsidR="003610EC">
              <w:rPr>
                <w:rFonts w:hint="cs"/>
                <w:rtl/>
              </w:rPr>
              <w:t xml:space="preserve">، </w:t>
            </w:r>
            <w:r>
              <w:rPr>
                <w:rFonts w:hint="cs"/>
                <w:rtl/>
              </w:rPr>
              <w:t>4</w:t>
            </w:r>
            <w:r w:rsidR="003610EC">
              <w:rPr>
                <w:rFonts w:hint="cs"/>
                <w:rtl/>
              </w:rPr>
              <w:t xml:space="preserve"> يونيو 2024، من الساعة </w:t>
            </w:r>
            <w:r>
              <w:t>14:35</w:t>
            </w:r>
            <w:r w:rsidR="003610EC">
              <w:rPr>
                <w:rFonts w:hint="cs"/>
                <w:rtl/>
                <w:lang w:bidi="ar-SY"/>
              </w:rPr>
              <w:t xml:space="preserve"> إلى الساعة </w:t>
            </w:r>
            <w:r>
              <w:rPr>
                <w:lang w:bidi="ar-SY"/>
              </w:rPr>
              <w:t>17:50</w:t>
            </w:r>
          </w:p>
          <w:p w14:paraId="6AB45692" w14:textId="06FA2C59" w:rsidR="003610EC" w:rsidRDefault="003610EC" w:rsidP="003610EC">
            <w:pPr>
              <w:jc w:val="center"/>
              <w:rPr>
                <w:rtl/>
                <w:lang w:bidi="ar-SY"/>
              </w:rPr>
            </w:pPr>
            <w:r w:rsidRPr="003610EC">
              <w:rPr>
                <w:rFonts w:hint="cs"/>
                <w:b/>
                <w:bCs/>
                <w:rtl/>
                <w:lang w:bidi="ar-SY"/>
              </w:rPr>
              <w:t>الرئيس:</w:t>
            </w:r>
            <w:r>
              <w:rPr>
                <w:rFonts w:hint="cs"/>
                <w:rtl/>
                <w:lang w:bidi="ar-SY"/>
              </w:rPr>
              <w:t xml:space="preserve"> السيد ف.</w:t>
            </w:r>
            <w:r w:rsidRPr="003610EC">
              <w:rPr>
                <w:rtl/>
                <w:lang w:bidi="ar-SY"/>
              </w:rPr>
              <w:t xml:space="preserve"> سوف</w:t>
            </w:r>
            <w:r w:rsidR="0090043E">
              <w:rPr>
                <w:rFonts w:hint="cs"/>
                <w:rtl/>
                <w:lang w:bidi="ar-EG"/>
              </w:rPr>
              <w:t>اج</w:t>
            </w:r>
            <w:r w:rsidRPr="003610EC">
              <w:rPr>
                <w:rtl/>
                <w:lang w:bidi="ar-SY"/>
              </w:rPr>
              <w:t xml:space="preserve"> (فرنسا)</w:t>
            </w:r>
          </w:p>
        </w:tc>
      </w:tr>
    </w:tbl>
    <w:p w14:paraId="7F9ED3A1" w14:textId="6535B10B" w:rsidR="003610EC" w:rsidRDefault="003610EC" w:rsidP="00907B08">
      <w:pPr>
        <w:rPr>
          <w:rtl/>
          <w:lang w:bidi="ar-EG"/>
        </w:rPr>
      </w:pPr>
    </w:p>
    <w:tbl>
      <w:tblPr>
        <w:bidiVisual/>
        <w:tblW w:w="5000" w:type="pct"/>
        <w:jc w:val="center"/>
        <w:tblLayout w:type="fixed"/>
        <w:tblLook w:val="04A0" w:firstRow="1" w:lastRow="0" w:firstColumn="1" w:lastColumn="0" w:noHBand="0" w:noVBand="1"/>
      </w:tblPr>
      <w:tblGrid>
        <w:gridCol w:w="466"/>
        <w:gridCol w:w="6902"/>
        <w:gridCol w:w="2271"/>
      </w:tblGrid>
      <w:tr w:rsidR="003610EC" w:rsidRPr="003610EC" w14:paraId="2C2992D1" w14:textId="77777777" w:rsidTr="003610EC">
        <w:trPr>
          <w:jc w:val="center"/>
        </w:trPr>
        <w:tc>
          <w:tcPr>
            <w:tcW w:w="242" w:type="pct"/>
          </w:tcPr>
          <w:p w14:paraId="36A4EE75" w14:textId="77777777" w:rsidR="003610EC" w:rsidRPr="003610EC" w:rsidRDefault="003610EC" w:rsidP="003610EC">
            <w:pPr>
              <w:rPr>
                <w:b/>
                <w:bCs/>
                <w:lang w:val="en-CA"/>
              </w:rPr>
            </w:pPr>
            <w:bookmarkStart w:id="0" w:name="_Hlk141438382"/>
            <w:r w:rsidRPr="003610EC">
              <w:rPr>
                <w:b/>
                <w:bCs/>
                <w:lang w:val="en-CA"/>
              </w:rPr>
              <w:br w:type="page"/>
            </w:r>
            <w:r w:rsidRPr="003610EC">
              <w:rPr>
                <w:b/>
                <w:bCs/>
                <w:lang w:val="en-CA"/>
              </w:rPr>
              <w:br w:type="page"/>
            </w:r>
          </w:p>
        </w:tc>
        <w:tc>
          <w:tcPr>
            <w:tcW w:w="3580" w:type="pct"/>
            <w:hideMark/>
          </w:tcPr>
          <w:p w14:paraId="705CDFFC" w14:textId="1BB99A19" w:rsidR="003610EC" w:rsidRPr="003610EC" w:rsidRDefault="003610EC" w:rsidP="003610EC">
            <w:pPr>
              <w:rPr>
                <w:b/>
                <w:bCs/>
                <w:lang w:val="en-CA" w:bidi="ar-SY"/>
              </w:rPr>
            </w:pPr>
            <w:r w:rsidRPr="003610EC">
              <w:rPr>
                <w:b/>
                <w:bCs/>
                <w:rtl/>
                <w:lang w:val="en-CA" w:bidi="ar-SY"/>
              </w:rPr>
              <w:t>مواضيع المناقشة</w:t>
            </w:r>
          </w:p>
        </w:tc>
        <w:tc>
          <w:tcPr>
            <w:tcW w:w="1178" w:type="pct"/>
            <w:hideMark/>
          </w:tcPr>
          <w:p w14:paraId="3609AC73" w14:textId="4F0F260A" w:rsidR="003610EC" w:rsidRPr="003610EC" w:rsidRDefault="003610EC" w:rsidP="003610EC">
            <w:pPr>
              <w:jc w:val="center"/>
              <w:rPr>
                <w:b/>
                <w:bCs/>
              </w:rPr>
            </w:pPr>
            <w:r w:rsidRPr="003610EC">
              <w:rPr>
                <w:b/>
                <w:bCs/>
                <w:rtl/>
                <w:lang w:val="en-CA"/>
              </w:rPr>
              <w:t>الوثائق</w:t>
            </w:r>
          </w:p>
        </w:tc>
      </w:tr>
      <w:tr w:rsidR="002C00B3" w:rsidRPr="003610EC" w14:paraId="24A83899" w14:textId="77777777" w:rsidTr="003610EC">
        <w:trPr>
          <w:trHeight w:val="20"/>
          <w:jc w:val="center"/>
        </w:trPr>
        <w:tc>
          <w:tcPr>
            <w:tcW w:w="242" w:type="pct"/>
            <w:hideMark/>
          </w:tcPr>
          <w:p w14:paraId="51F22A00" w14:textId="77777777" w:rsidR="002C00B3" w:rsidRPr="003610EC" w:rsidRDefault="002C00B3" w:rsidP="002C00B3">
            <w:pPr>
              <w:rPr>
                <w:lang w:val="en-CA"/>
              </w:rPr>
            </w:pPr>
            <w:r w:rsidRPr="003610EC">
              <w:rPr>
                <w:lang w:val="en-CA"/>
              </w:rPr>
              <w:t>1</w:t>
            </w:r>
          </w:p>
        </w:tc>
        <w:tc>
          <w:tcPr>
            <w:tcW w:w="3580" w:type="pct"/>
          </w:tcPr>
          <w:p w14:paraId="5242262E" w14:textId="5C5D8E01" w:rsidR="002C00B3" w:rsidRPr="00B80B0C" w:rsidRDefault="002C00B3" w:rsidP="002C00B3">
            <w:pPr>
              <w:rPr>
                <w:lang w:val="en-CA"/>
              </w:rPr>
            </w:pPr>
            <w:r w:rsidRPr="009B1197">
              <w:rPr>
                <w:rtl/>
              </w:rPr>
              <w:t>تحديث بشأن عملية التحول وخارطة طريق التحول</w:t>
            </w:r>
          </w:p>
        </w:tc>
        <w:tc>
          <w:tcPr>
            <w:tcW w:w="1178" w:type="pct"/>
          </w:tcPr>
          <w:p w14:paraId="4EBF86EE" w14:textId="6CB91223" w:rsidR="002C00B3" w:rsidRPr="003610EC" w:rsidRDefault="00622D23" w:rsidP="002C00B3">
            <w:pPr>
              <w:jc w:val="center"/>
              <w:rPr>
                <w:lang w:val="en-CA"/>
              </w:rPr>
            </w:pPr>
            <w:hyperlink r:id="rId8" w:history="1">
              <w:r w:rsidR="002C00B3" w:rsidRPr="00D565CF">
                <w:rPr>
                  <w:rStyle w:val="Hyperlink"/>
                  <w:lang w:val="en-CA"/>
                </w:rPr>
                <w:t>C24/52</w:t>
              </w:r>
            </w:hyperlink>
            <w:r w:rsidR="002C00B3">
              <w:rPr>
                <w:rtl/>
                <w:lang w:val="en-CA"/>
              </w:rPr>
              <w:t xml:space="preserve"> و</w:t>
            </w:r>
            <w:hyperlink r:id="rId9" w:history="1">
              <w:r w:rsidR="002C00B3" w:rsidRPr="00D565CF">
                <w:rPr>
                  <w:rStyle w:val="Hyperlink"/>
                  <w:lang w:val="en-CA"/>
                </w:rPr>
                <w:t>C24/73</w:t>
              </w:r>
            </w:hyperlink>
          </w:p>
        </w:tc>
      </w:tr>
      <w:tr w:rsidR="002C00B3" w:rsidRPr="003610EC" w14:paraId="0EC90590" w14:textId="77777777" w:rsidTr="00B36020">
        <w:trPr>
          <w:trHeight w:val="20"/>
          <w:jc w:val="center"/>
        </w:trPr>
        <w:tc>
          <w:tcPr>
            <w:tcW w:w="242" w:type="pct"/>
          </w:tcPr>
          <w:p w14:paraId="648FFAC7" w14:textId="77777777" w:rsidR="002C00B3" w:rsidRPr="003610EC" w:rsidRDefault="002C00B3" w:rsidP="002C00B3">
            <w:pPr>
              <w:rPr>
                <w:lang w:val="en-CA"/>
              </w:rPr>
            </w:pPr>
            <w:r w:rsidRPr="003610EC">
              <w:rPr>
                <w:lang w:val="en-CA"/>
              </w:rPr>
              <w:t>2</w:t>
            </w:r>
          </w:p>
        </w:tc>
        <w:tc>
          <w:tcPr>
            <w:tcW w:w="3580" w:type="pct"/>
          </w:tcPr>
          <w:p w14:paraId="0294A327" w14:textId="65C79E2E" w:rsidR="002C00B3" w:rsidRPr="003610EC" w:rsidRDefault="002C00B3" w:rsidP="002C00B3">
            <w:pPr>
              <w:rPr>
                <w:color w:val="2F2F2F"/>
                <w:shd w:val="clear" w:color="auto" w:fill="FFFFFF"/>
              </w:rPr>
            </w:pPr>
            <w:r w:rsidRPr="009B1197">
              <w:rPr>
                <w:rtl/>
              </w:rPr>
              <w:t>استراتيجية تنسيق الجهود بين قطاعات الاتحاد الثلاثة</w:t>
            </w:r>
          </w:p>
        </w:tc>
        <w:tc>
          <w:tcPr>
            <w:tcW w:w="1178" w:type="pct"/>
            <w:vAlign w:val="center"/>
          </w:tcPr>
          <w:p w14:paraId="1B43B024" w14:textId="2E23050D" w:rsidR="002C00B3" w:rsidRPr="003610EC" w:rsidRDefault="00622D23" w:rsidP="002C00B3">
            <w:pPr>
              <w:jc w:val="center"/>
            </w:pPr>
            <w:hyperlink r:id="rId10" w:history="1">
              <w:r w:rsidR="002C00B3" w:rsidRPr="2A383488">
                <w:rPr>
                  <w:rStyle w:val="Hyperlink"/>
                  <w:lang w:val="en-CA"/>
                </w:rPr>
                <w:t>C24/27</w:t>
              </w:r>
            </w:hyperlink>
          </w:p>
        </w:tc>
      </w:tr>
      <w:tr w:rsidR="002C00B3" w:rsidRPr="003610EC" w14:paraId="2907F41E" w14:textId="77777777" w:rsidTr="00A82580">
        <w:trPr>
          <w:trHeight w:val="20"/>
          <w:jc w:val="center"/>
        </w:trPr>
        <w:tc>
          <w:tcPr>
            <w:tcW w:w="242" w:type="pct"/>
          </w:tcPr>
          <w:p w14:paraId="50E71D6F" w14:textId="77777777" w:rsidR="002C00B3" w:rsidRPr="003610EC" w:rsidRDefault="002C00B3" w:rsidP="002C00B3">
            <w:pPr>
              <w:rPr>
                <w:lang w:val="en-CA"/>
              </w:rPr>
            </w:pPr>
            <w:r w:rsidRPr="003610EC">
              <w:rPr>
                <w:lang w:val="en-CA"/>
              </w:rPr>
              <w:t>3</w:t>
            </w:r>
          </w:p>
        </w:tc>
        <w:tc>
          <w:tcPr>
            <w:tcW w:w="3580" w:type="pct"/>
          </w:tcPr>
          <w:p w14:paraId="4D610709" w14:textId="109D04F1" w:rsidR="002C00B3" w:rsidRPr="003610EC" w:rsidRDefault="002C00B3" w:rsidP="002C00B3">
            <w:pPr>
              <w:rPr>
                <w:color w:val="2F2F2F"/>
                <w:shd w:val="clear" w:color="auto" w:fill="FFFFFF"/>
                <w:lang w:bidi="ar-SY"/>
              </w:rPr>
            </w:pPr>
            <w:r w:rsidRPr="009B1197">
              <w:rPr>
                <w:rtl/>
              </w:rPr>
              <w:t>تقوية الحضور الإقليمي للاتحاد</w:t>
            </w:r>
          </w:p>
        </w:tc>
        <w:tc>
          <w:tcPr>
            <w:tcW w:w="1178" w:type="pct"/>
            <w:vAlign w:val="center"/>
          </w:tcPr>
          <w:p w14:paraId="1E57CAB3" w14:textId="6F7CD630" w:rsidR="002C00B3" w:rsidRPr="003610EC" w:rsidRDefault="00622D23" w:rsidP="002C00B3">
            <w:pPr>
              <w:jc w:val="center"/>
            </w:pPr>
            <w:hyperlink r:id="rId11" w:history="1">
              <w:r w:rsidR="002C00B3" w:rsidRPr="00D565CF">
                <w:rPr>
                  <w:rStyle w:val="Hyperlink"/>
                  <w:lang w:val="en-CA"/>
                </w:rPr>
                <w:t>C24/25</w:t>
              </w:r>
            </w:hyperlink>
            <w:r w:rsidR="002C00B3">
              <w:rPr>
                <w:rtl/>
                <w:lang w:val="en-CA"/>
              </w:rPr>
              <w:t xml:space="preserve"> و</w:t>
            </w:r>
            <w:hyperlink r:id="rId12" w:history="1">
              <w:r w:rsidR="002C00B3" w:rsidRPr="00D565CF">
                <w:rPr>
                  <w:rStyle w:val="Hyperlink"/>
                  <w:lang w:val="en-CA"/>
                </w:rPr>
                <w:t>C24/79</w:t>
              </w:r>
            </w:hyperlink>
            <w:r w:rsidR="002C00B3">
              <w:rPr>
                <w:rtl/>
                <w:lang w:val="en-CA"/>
              </w:rPr>
              <w:t xml:space="preserve"> و</w:t>
            </w:r>
            <w:hyperlink r:id="rId13" w:history="1">
              <w:r w:rsidR="002C00B3" w:rsidRPr="00D565CF">
                <w:rPr>
                  <w:rStyle w:val="Hyperlink"/>
                  <w:lang w:val="en-CA"/>
                </w:rPr>
                <w:t>C24/98</w:t>
              </w:r>
            </w:hyperlink>
            <w:r w:rsidR="002C00B3">
              <w:rPr>
                <w:rtl/>
                <w:lang w:val="en-CA"/>
              </w:rPr>
              <w:t xml:space="preserve"> و</w:t>
            </w:r>
            <w:hyperlink r:id="rId14" w:history="1">
              <w:r w:rsidR="002C00B3" w:rsidRPr="00D565CF">
                <w:rPr>
                  <w:rStyle w:val="Hyperlink"/>
                  <w:lang w:val="en-CA"/>
                </w:rPr>
                <w:t>C24/100</w:t>
              </w:r>
            </w:hyperlink>
          </w:p>
        </w:tc>
      </w:tr>
      <w:bookmarkEnd w:id="0"/>
    </w:tbl>
    <w:p w14:paraId="19BA0EA8" w14:textId="0B29D209" w:rsidR="00F50E3F" w:rsidRDefault="00F50E3F" w:rsidP="00907B08">
      <w:pPr>
        <w:rPr>
          <w:rtl/>
          <w:lang w:bidi="ar-EG"/>
        </w:rPr>
      </w:pPr>
      <w:r>
        <w:rPr>
          <w:rtl/>
          <w:lang w:bidi="ar-EG"/>
        </w:rPr>
        <w:br w:type="page"/>
      </w:r>
    </w:p>
    <w:p w14:paraId="41980C02" w14:textId="3F3C4C4D" w:rsidR="00FA1849" w:rsidRPr="002C00B3" w:rsidRDefault="00FA1849" w:rsidP="00FA1849">
      <w:pPr>
        <w:pStyle w:val="Heading1"/>
        <w:rPr>
          <w:rtl/>
        </w:rPr>
      </w:pPr>
      <w:r w:rsidRPr="002C00B3">
        <w:lastRenderedPageBreak/>
        <w:t>1</w:t>
      </w:r>
      <w:r w:rsidRPr="002C00B3">
        <w:rPr>
          <w:rtl/>
        </w:rPr>
        <w:tab/>
      </w:r>
      <w:r w:rsidR="00D52E1C" w:rsidRPr="002C00B3">
        <w:rPr>
          <w:rtl/>
        </w:rPr>
        <w:t xml:space="preserve">تحديث بشأن عملية التحول وخارطة طريق التحول (الوثيقتان </w:t>
      </w:r>
      <w:hyperlink r:id="rId15" w:history="1">
        <w:proofErr w:type="spellStart"/>
        <w:r w:rsidR="002C00B3" w:rsidRPr="002C00B3">
          <w:rPr>
            <w:rStyle w:val="Hyperlink"/>
            <w:rFonts w:cstheme="minorHAnsi"/>
          </w:rPr>
          <w:t>C24</w:t>
        </w:r>
        <w:proofErr w:type="spellEnd"/>
        <w:r w:rsidR="002C00B3" w:rsidRPr="002C00B3">
          <w:rPr>
            <w:rStyle w:val="Hyperlink"/>
            <w:rFonts w:cstheme="minorHAnsi"/>
          </w:rPr>
          <w:t>/52</w:t>
        </w:r>
      </w:hyperlink>
      <w:r w:rsidR="00D52E1C" w:rsidRPr="002C00B3">
        <w:rPr>
          <w:rtl/>
        </w:rPr>
        <w:t xml:space="preserve"> و</w:t>
      </w:r>
      <w:bookmarkStart w:id="1" w:name="_Hlk168413741"/>
      <w:bookmarkEnd w:id="1"/>
      <w:r w:rsidR="002C00B3" w:rsidRPr="002C00B3">
        <w:fldChar w:fldCharType="begin"/>
      </w:r>
      <w:r w:rsidR="002C00B3" w:rsidRPr="002C00B3">
        <w:instrText>HYPERLINK "https://www.itu.int/md/S24-CL-C-0073/en"</w:instrText>
      </w:r>
      <w:r w:rsidR="002C00B3" w:rsidRPr="002C00B3">
        <w:fldChar w:fldCharType="separate"/>
      </w:r>
      <w:proofErr w:type="spellStart"/>
      <w:r w:rsidR="002C00B3" w:rsidRPr="002C00B3">
        <w:rPr>
          <w:rStyle w:val="Hyperlink"/>
          <w:rFonts w:cstheme="minorHAnsi"/>
        </w:rPr>
        <w:t>C24</w:t>
      </w:r>
      <w:proofErr w:type="spellEnd"/>
      <w:r w:rsidR="002C00B3" w:rsidRPr="002C00B3">
        <w:rPr>
          <w:rStyle w:val="Hyperlink"/>
          <w:rFonts w:cstheme="minorHAnsi"/>
        </w:rPr>
        <w:t>/73</w:t>
      </w:r>
      <w:r w:rsidR="002C00B3" w:rsidRPr="002C00B3">
        <w:rPr>
          <w:rStyle w:val="Hyperlink"/>
          <w:rFonts w:cstheme="minorHAnsi"/>
        </w:rPr>
        <w:fldChar w:fldCharType="end"/>
      </w:r>
      <w:r w:rsidR="00D52E1C" w:rsidRPr="002C00B3">
        <w:rPr>
          <w:rFonts w:ascii="Simplified Arabic"/>
          <w:rtl/>
        </w:rPr>
        <w:t>)</w:t>
      </w:r>
    </w:p>
    <w:p w14:paraId="1036880A" w14:textId="484007D7" w:rsidR="003A270C" w:rsidRPr="002C00B3" w:rsidRDefault="000779EC" w:rsidP="002C00B3">
      <w:pPr>
        <w:rPr>
          <w:rtl/>
          <w:lang w:bidi="ar-SY"/>
        </w:rPr>
      </w:pPr>
      <w:r w:rsidRPr="002C00B3">
        <w:t>1.1</w:t>
      </w:r>
      <w:r w:rsidRPr="002C00B3">
        <w:rPr>
          <w:rtl/>
          <w:lang w:bidi="ar-SY"/>
        </w:rPr>
        <w:tab/>
      </w:r>
      <w:r w:rsidR="00D52E1C" w:rsidRPr="002C00B3">
        <w:rPr>
          <w:rtl/>
        </w:rPr>
        <w:t>قدم القائم بأعمال رئيس فريق التحول الوثيقة C24/52 التي تقدم معلومات محدثة عن حالة عملية التحول لتحقيق التميز التنظيمي؛ والوثيقة C24/73 التي تحدد خارطة طريق الاتحاد للتحول التنظيمي، استناداً إلى التحديث والمنهجية الواردين في الوثيقة C24/52. ويركز التحول على تحقيق نتائج محددة تبرز تحسينات الأداء في المنظمة التي تقاس بمؤشرات واضحة وقابلة للقياس.</w:t>
      </w:r>
    </w:p>
    <w:p w14:paraId="5202F47F" w14:textId="3B4B664F" w:rsidR="000779EC" w:rsidRPr="002C00B3" w:rsidRDefault="000779EC" w:rsidP="002C00B3">
      <w:pPr>
        <w:rPr>
          <w:rtl/>
        </w:rPr>
      </w:pPr>
      <w:r w:rsidRPr="002C00B3">
        <w:t>2.1</w:t>
      </w:r>
      <w:r w:rsidRPr="002C00B3">
        <w:rPr>
          <w:rtl/>
          <w:lang w:bidi="ar-SY"/>
        </w:rPr>
        <w:tab/>
      </w:r>
      <w:r w:rsidR="00D52E1C" w:rsidRPr="002C00B3">
        <w:rPr>
          <w:rtl/>
        </w:rPr>
        <w:t>أعرب العديد من أعضاء المجلس عن تقديرهم ودعمهم للوثائق، وعلقوا على تفاصيلها ووضوح الغرض منها والتركيز على التميز في الموارد البشرية والابتكار التنظيمي. وإن التقدم الذي أحرزته عملية التحول حتى الآن جدير بالثناء. وتم الترحيب بشكل خاص بتحسين المشتريات والاستفادة المثلى من الموارد المالية، الأمر الذي من شأنه أن يسهم في جعل الاتحاد أكثر جاذبية للشركاء والمانحين الجدد. ومن المهم أن تمول عملية التحول تمويلاً جيداً لكي تجسد طموحها وأهميتها الحاسمة بالنسبة للاتحاد من حيث تعزيز تقديم خدمات الاتحاد إلى الأعضاء.</w:t>
      </w:r>
    </w:p>
    <w:p w14:paraId="566AA020" w14:textId="1EDE6A81" w:rsidR="000779EC" w:rsidRPr="002C00B3" w:rsidRDefault="000779EC" w:rsidP="002C00B3">
      <w:pPr>
        <w:rPr>
          <w:rtl/>
        </w:rPr>
      </w:pPr>
      <w:r w:rsidRPr="002C00B3">
        <w:t>3.1</w:t>
      </w:r>
      <w:r w:rsidRPr="002C00B3">
        <w:rPr>
          <w:rtl/>
          <w:lang w:bidi="ar-SY"/>
        </w:rPr>
        <w:tab/>
      </w:r>
      <w:r w:rsidR="00D52E1C" w:rsidRPr="002C00B3">
        <w:rPr>
          <w:rtl/>
        </w:rPr>
        <w:t xml:space="preserve">شدد عدد من أعضاء المجلس على أن يُستمد تمويل عملية التحول، التي من المرجح أن يستغرق تنفيذها عدة سنوات وسيكون لها تأثير كبير على أنشطة الاتحاد، من الميزانية العادية وليس من الوفورات. وبالنظر إلى القيود المفروضة على الميزانية، سيكون من الضروري تحديد أولويات المبادرات من أجل تعظيم الفعالية، مع تقديم تقارير شاملة إلى المجلس وفريق العمل التابع للمجلس والمعني بالموارد المالية والبشرية </w:t>
      </w:r>
      <w:r w:rsidR="00D52E1C" w:rsidRPr="002C00B3">
        <w:t>(CWG-FHR)</w:t>
      </w:r>
      <w:r w:rsidR="00D52E1C" w:rsidRPr="002C00B3">
        <w:rPr>
          <w:rtl/>
        </w:rPr>
        <w:t>.</w:t>
      </w:r>
    </w:p>
    <w:p w14:paraId="1703B7E8" w14:textId="59643A5C" w:rsidR="00A61D27" w:rsidRPr="002C00B3" w:rsidRDefault="000779EC" w:rsidP="002C00B3">
      <w:pPr>
        <w:rPr>
          <w:lang w:bidi="ar-SY"/>
        </w:rPr>
      </w:pPr>
      <w:r w:rsidRPr="002C00B3">
        <w:t>4.1</w:t>
      </w:r>
      <w:r w:rsidRPr="002C00B3">
        <w:rPr>
          <w:rtl/>
          <w:lang w:bidi="ar-SY"/>
        </w:rPr>
        <w:tab/>
      </w:r>
      <w:r w:rsidR="00D52E1C" w:rsidRPr="002C00B3">
        <w:rPr>
          <w:rtl/>
        </w:rPr>
        <w:t>أثنى بعض أعضاء المجلس على إطلاق برنامج المهنيين الشباب والتركيز على التوظيف من أقل البلدان نمواً، التي تعاني حالياً من نقص التمثيل في الموظفين. وسيؤدي البرنامج إلى ضخ أفكار جديدة وتحسين نتائج عملية التحول. وبالمثل، كان تحويل الموقع الإلكتروني للاتحاد ذا أهمية حاسمة للتفاعل مع الشباب.</w:t>
      </w:r>
    </w:p>
    <w:p w14:paraId="01E5AC02" w14:textId="12E8BEC6" w:rsidR="000779EC" w:rsidRPr="002C00B3" w:rsidRDefault="000779EC" w:rsidP="002C00B3">
      <w:pPr>
        <w:rPr>
          <w:rtl/>
          <w:lang w:bidi="ar-SY"/>
        </w:rPr>
      </w:pPr>
      <w:r w:rsidRPr="002C00B3">
        <w:t>5.1</w:t>
      </w:r>
      <w:r w:rsidRPr="002C00B3">
        <w:rPr>
          <w:rtl/>
          <w:lang w:bidi="ar-SY"/>
        </w:rPr>
        <w:tab/>
      </w:r>
      <w:r w:rsidR="00D52E1C" w:rsidRPr="002C00B3">
        <w:rPr>
          <w:rtl/>
        </w:rPr>
        <w:t xml:space="preserve">قال أحد أعضاء المجلس إن مسؤوليات فريق التحول المبينة في الوثيقة C24/52 </w:t>
      </w:r>
      <w:r w:rsidR="00B63331">
        <w:rPr>
          <w:rFonts w:hint="cs"/>
          <w:rtl/>
        </w:rPr>
        <w:t>ت</w:t>
      </w:r>
      <w:r w:rsidR="00D52E1C" w:rsidRPr="002C00B3">
        <w:rPr>
          <w:rtl/>
        </w:rPr>
        <w:t xml:space="preserve">نبغي مواءمتها مع ولاية الفريق ونطاق عمل التحول </w:t>
      </w:r>
      <w:r w:rsidR="00B63331">
        <w:rPr>
          <w:rFonts w:hint="cs"/>
          <w:rtl/>
        </w:rPr>
        <w:t>وينبغي تقديم</w:t>
      </w:r>
      <w:r w:rsidR="00D52E1C" w:rsidRPr="002C00B3">
        <w:rPr>
          <w:rtl/>
        </w:rPr>
        <w:t xml:space="preserve"> وثيقة بشأن ولاية فريق التحول.</w:t>
      </w:r>
    </w:p>
    <w:p w14:paraId="1EFE3073" w14:textId="0BBF07A7" w:rsidR="009D53B0" w:rsidRPr="002C00B3" w:rsidRDefault="00D676E7" w:rsidP="002C00B3">
      <w:r w:rsidRPr="002C00B3">
        <w:t>6.1</w:t>
      </w:r>
      <w:r w:rsidRPr="002C00B3">
        <w:rPr>
          <w:rtl/>
          <w:lang w:bidi="ar-SY"/>
        </w:rPr>
        <w:tab/>
      </w:r>
      <w:r w:rsidR="00D52E1C" w:rsidRPr="002C00B3">
        <w:rPr>
          <w:rtl/>
        </w:rPr>
        <w:t xml:space="preserve">ورداً على الأسئلة العديدة التي طرحها أعضاء المجلس، قال القائم بأعمال رئيس فريق التحول، إن دور فريق التحول هو تحديد التحسينات اللازمة وتعزيز ورصد الأنشطة التحويلية التي تضطلع بها الأفرقة ذات الصلة في شتى دوائر الأمانة. وفي حين سيُستخدم الدعم الخارجي لبعض مبادرات عملية التحول، فإن غالبية العمل ستُنفذ داخلياً. وكانت مشاركة أصحاب المصلحة جزءا مهماً من العملية، ولا سيما في تأمين مهارات محددة في إدارة التغيير والاتصال لجعل عمليات الاتصالات الداخلية والخارجية أكثر منهجيةً. والتعامل مع مجلس الموظفين عنصر رئيسي، ووُضعت مقترحات لكل مبادرة لضمان حصول الموظفين على المهارات اللازمة للعمليات المعنية. وسيُنظم تقديم التقارير إلى المجلس وأفرقة عمله مع تقدم العملية. وستخضع خطة التحول لتقييم المخاطر من حيث المخاطر المتصلة بتحقيق الخطة والمخاطر الخارجية والداخلية على السواء. وهناك </w:t>
      </w:r>
      <w:r w:rsidR="00B63331">
        <w:rPr>
          <w:rFonts w:hint="cs"/>
          <w:rtl/>
        </w:rPr>
        <w:t xml:space="preserve">أيضاً </w:t>
      </w:r>
      <w:r w:rsidR="00D52E1C" w:rsidRPr="002C00B3">
        <w:rPr>
          <w:rtl/>
        </w:rPr>
        <w:t>تفاعل منتظم مع الشباب</w:t>
      </w:r>
      <w:r w:rsidR="00B63331">
        <w:rPr>
          <w:rFonts w:hint="cs"/>
          <w:rtl/>
        </w:rPr>
        <w:t xml:space="preserve"> كجزء من مشاركة أصحاب المصلحة</w:t>
      </w:r>
      <w:r w:rsidR="00D52E1C" w:rsidRPr="002C00B3">
        <w:rPr>
          <w:rtl/>
        </w:rPr>
        <w:t xml:space="preserve"> في الاتحاد.</w:t>
      </w:r>
    </w:p>
    <w:p w14:paraId="65497569" w14:textId="33898231" w:rsidR="00A61D27" w:rsidRPr="002C00B3" w:rsidRDefault="00A61D27" w:rsidP="002C00B3">
      <w:pPr>
        <w:rPr>
          <w:rtl/>
        </w:rPr>
      </w:pPr>
      <w:r w:rsidRPr="002C00B3">
        <w:rPr>
          <w:lang w:bidi="ar-SY"/>
        </w:rPr>
        <w:t>7.1</w:t>
      </w:r>
      <w:r w:rsidRPr="002C00B3">
        <w:rPr>
          <w:rtl/>
          <w:lang w:bidi="ar-SY"/>
        </w:rPr>
        <w:tab/>
      </w:r>
      <w:r w:rsidR="006065FF" w:rsidRPr="002C00B3">
        <w:rPr>
          <w:rtl/>
        </w:rPr>
        <w:t xml:space="preserve">فيما </w:t>
      </w:r>
      <w:r w:rsidR="00D52E1C" w:rsidRPr="002C00B3">
        <w:rPr>
          <w:rtl/>
        </w:rPr>
        <w:t xml:space="preserve">يخص المسائل المتعلقة بالتمويل، قال إنه نظراً لتصميم عملية التحول في منتصف دورة الميزانية، فإن الأموال المطلوبة لم تحدد بعد في الميزانية العادية. وأما مبلغ </w:t>
      </w:r>
      <w:r w:rsidR="002C00B3">
        <w:t>1 354 000</w:t>
      </w:r>
      <w:r w:rsidR="00D52E1C" w:rsidRPr="002C00B3">
        <w:rPr>
          <w:rtl/>
        </w:rPr>
        <w:t xml:space="preserve"> فرنك سويسري الوارد في الوثيقة C24/52 فيتعلق بتمويل جديد بانتظار الموافقة عليه ويُقصد به دعم عملية التحول حتى دورة الميزانية المقبلة. ولا توجد حالياً تقديرات للتكاليف الإجمالية للتحول: ستُقيم الاحتياجات خلال الفترة المقبلة بهدف إدراجها في عملية الميزانية العادية في المستقبل. وتوجد مصادر تمويل مختلفة في الاتحاد ككل يمكن استخدامها - بل يجري استخدامها بالفعل في بعض الحالات - في المبادرات المتعلقة بعملية التحول. ولا يمثل المبلغ المذكور</w:t>
      </w:r>
      <w:r w:rsidR="001E4C87">
        <w:rPr>
          <w:rFonts w:hint="cs"/>
          <w:rtl/>
        </w:rPr>
        <w:t>،</w:t>
      </w:r>
      <w:r w:rsidR="00D52E1C" w:rsidRPr="002C00B3">
        <w:rPr>
          <w:rtl/>
        </w:rPr>
        <w:t xml:space="preserve"> وهو </w:t>
      </w:r>
      <w:r w:rsidR="007A1F12">
        <w:t>700 000</w:t>
      </w:r>
      <w:r w:rsidR="00D52E1C" w:rsidRPr="002C00B3">
        <w:rPr>
          <w:rtl/>
        </w:rPr>
        <w:t xml:space="preserve"> فرنك سويسري</w:t>
      </w:r>
      <w:r w:rsidR="001E4C87">
        <w:rPr>
          <w:rFonts w:hint="cs"/>
          <w:rtl/>
          <w:lang w:bidi="ar-EG"/>
        </w:rPr>
        <w:t xml:space="preserve"> للأنظمة والأدوات،</w:t>
      </w:r>
      <w:r w:rsidR="00D52E1C" w:rsidRPr="002C00B3">
        <w:rPr>
          <w:rtl/>
        </w:rPr>
        <w:t xml:space="preserve"> إجمالي التمويل المطلوب للتدابير المتخذة فيما يتعلق بعمليات الأنظمة والأدوات، والذي لم يُقيّم بعد بالكامل، بل يمثل بالأحرى مبلغ التمويل الفائض المتاح حالياً. ويجب تحسين خارطة طريق التحول - والجداول الزمنية المرتبطة بها - في حدود التمويل المتاح حالياً.</w:t>
      </w:r>
    </w:p>
    <w:p w14:paraId="687C5224" w14:textId="04682DC9" w:rsidR="00D52E1C" w:rsidRPr="002C00B3" w:rsidRDefault="00A61D27" w:rsidP="002C00B3">
      <w:pPr>
        <w:rPr>
          <w:rtl/>
        </w:rPr>
      </w:pPr>
      <w:r w:rsidRPr="002C00B3">
        <w:t>8.1</w:t>
      </w:r>
      <w:r w:rsidRPr="002C00B3">
        <w:rPr>
          <w:rtl/>
          <w:lang w:bidi="ar-SY"/>
        </w:rPr>
        <w:tab/>
      </w:r>
      <w:r w:rsidR="00D52E1C" w:rsidRPr="002C00B3">
        <w:rPr>
          <w:rtl/>
        </w:rPr>
        <w:t xml:space="preserve">فيما يخص المسائل المتعلقة بالتحول الرقمي، أكد أن المقترحات الواردة في تقرير Ernst &amp; </w:t>
      </w:r>
      <w:proofErr w:type="spellStart"/>
      <w:r w:rsidR="00D52E1C" w:rsidRPr="002C00B3">
        <w:rPr>
          <w:rtl/>
        </w:rPr>
        <w:t>Young</w:t>
      </w:r>
      <w:proofErr w:type="spellEnd"/>
      <w:r w:rsidR="00D52E1C" w:rsidRPr="002C00B3">
        <w:rPr>
          <w:rtl/>
        </w:rPr>
        <w:t xml:space="preserve"> أخذها الاتحاد بعين الاعتبار، ولكن في حالة عملية التحول لن تُنفذ بشكل جماعي، لأن تنفيذ تحول رقمي شامل بمعزل عن غيره سيؤدي إلى نتائج عكسية؛ وستُنفذ على أساس كل مبادرة على حدة، بمجرد معرفة الأدوات الرقمية وغيرها من الأدوات التي تتطلبها كل عملية تحويل فردية، وبقدر ما تسمح به الأموال المتاحة. وهذا يفسر أيضاً سبب ظهور بعض الجداول الزمنية طويلة للغاية. وإن تحديث نظام إدارة الهوية والنفاذ جاهز، ولكن نظراً لأسباب عملية واضحة تم تأجيل إطلاقه إلى حين اختتام الأحداث والاجتماعات الرئيسية الأخيرة للاتحاد، بما في ذلك الدورة الحالية للمجلس.</w:t>
      </w:r>
    </w:p>
    <w:p w14:paraId="558799EA" w14:textId="13F487E8" w:rsidR="00D52E1C" w:rsidRPr="002C00B3" w:rsidRDefault="00D52E1C" w:rsidP="002C00B3">
      <w:pPr>
        <w:rPr>
          <w:rtl/>
        </w:rPr>
      </w:pPr>
      <w:r w:rsidRPr="002C00B3">
        <w:t>9.1</w:t>
      </w:r>
      <w:r w:rsidRPr="002C00B3">
        <w:rPr>
          <w:rtl/>
          <w:lang w:bidi="ar-SY"/>
        </w:rPr>
        <w:tab/>
      </w:r>
      <w:r w:rsidRPr="002C00B3">
        <w:rPr>
          <w:rtl/>
        </w:rPr>
        <w:t xml:space="preserve">وفيما يتعلق بالمؤشرات والمعايير المرجعية، استندت مؤشرات الأداء الرئيسية </w:t>
      </w:r>
      <w:r w:rsidRPr="002C00B3">
        <w:t>(KPI)</w:t>
      </w:r>
      <w:r w:rsidRPr="002C00B3">
        <w:rPr>
          <w:rtl/>
        </w:rPr>
        <w:t xml:space="preserve"> الواردة في ملحق الوثيقة</w:t>
      </w:r>
      <w:r w:rsidR="006065FF">
        <w:rPr>
          <w:rFonts w:hint="cs"/>
          <w:rtl/>
        </w:rPr>
        <w:t> </w:t>
      </w:r>
      <w:r w:rsidRPr="002C00B3">
        <w:rPr>
          <w:rtl/>
        </w:rPr>
        <w:t xml:space="preserve">C24/52 إلى </w:t>
      </w:r>
      <w:r w:rsidR="001E4C87">
        <w:rPr>
          <w:rFonts w:hint="cs"/>
          <w:rtl/>
        </w:rPr>
        <w:t>التدابير الشائعة المستخدَمة</w:t>
      </w:r>
      <w:r w:rsidRPr="002C00B3">
        <w:rPr>
          <w:rtl/>
        </w:rPr>
        <w:t xml:space="preserve"> في أنواع مختلفة من الكيانات المؤسسية. ويقاس بعضها باستعمال بيانات رقمية بينما يقاس البعض الآخر باستعمال استقصاءات الموظفين، حسب الاقتضاء. وسيُقيّم مدى إمكانية استخدام المعايير </w:t>
      </w:r>
      <w:r w:rsidRPr="002C00B3">
        <w:rPr>
          <w:rtl/>
        </w:rPr>
        <w:lastRenderedPageBreak/>
        <w:t>المرجعية استناداً إلى توافر مؤشرات مماثلة من منظمات أخرى ذات صلة سواء داخل منظومة الأمم المتحدة أو خارجها، وستُعدّل المؤشرات وفقاً لذلك. وبمجرد تحديد الأهداف المناسبة في الأشهر المقبلة، ستوفر لوحات المعلومات القائمة على مؤشرات الأداء الرئيسية معلومات عن التقدم المحرز في الخطة الشاملة للأعضاء على أساس مستمر.</w:t>
      </w:r>
    </w:p>
    <w:p w14:paraId="77B5F633" w14:textId="08F1E5C1" w:rsidR="00D52E1C" w:rsidRPr="002C00B3" w:rsidRDefault="00D52E1C" w:rsidP="007A1F12">
      <w:pPr>
        <w:rPr>
          <w:rtl/>
        </w:rPr>
      </w:pPr>
      <w:r w:rsidRPr="002C00B3">
        <w:t>10.1</w:t>
      </w:r>
      <w:r w:rsidRPr="002C00B3">
        <w:rPr>
          <w:rtl/>
          <w:lang w:bidi="ar-SY"/>
        </w:rPr>
        <w:tab/>
      </w:r>
      <w:r w:rsidRPr="002C00B3">
        <w:rPr>
          <w:rtl/>
        </w:rPr>
        <w:t>زودت مجموعة أدوات إدارة الأداء بالفعل المديرين بأدوات لإجراء تقييمات الأداء في نظام إدارة الأداء الحالي، والذي من المقرر استعراضه وتعديله مع التركيز على توفير حوافز للموظفين لأداء مهامهم بمستوى أعلى. ويجري العمل على تحسين أداء مكتب الخدمة دون زيادة ميزانيته. وتتجسد أهمية إطار المساءلة في كل من عملية التحول لكل مبادرة على حدة وفي استعراض الإدارة العام للقواعد والإجراءات والعدالة الداخلية والمساءلة؛ والعمل جار بالفعل لمواءمة إطار الرقابة مع أطر المساءلة الأخرى.</w:t>
      </w:r>
    </w:p>
    <w:p w14:paraId="2C84C110" w14:textId="3E325ABF" w:rsidR="00D52E1C" w:rsidRPr="002C00B3" w:rsidRDefault="00D52E1C" w:rsidP="007A1F12">
      <w:pPr>
        <w:rPr>
          <w:rtl/>
        </w:rPr>
      </w:pPr>
      <w:r w:rsidRPr="002C00B3">
        <w:t>11.1</w:t>
      </w:r>
      <w:r w:rsidRPr="002C00B3">
        <w:rPr>
          <w:rtl/>
          <w:lang w:bidi="ar-SY"/>
        </w:rPr>
        <w:tab/>
      </w:r>
      <w:r w:rsidRPr="002C00B3">
        <w:rPr>
          <w:rtl/>
        </w:rPr>
        <w:t>فيما يتعلق بتبسيط عملية التوظيف، قال إن عملية التحول تهدف إلى تسريع الوقت اللازم للتعيين من خلال إدخال تحسينات على العمليات الداخلية، دون تغيير قواعد وإجراءات التوظيف الفعلية أو إعاقة تطبيقها أو الحد من أعداد المتقدمين.</w:t>
      </w:r>
    </w:p>
    <w:p w14:paraId="0FFF601A" w14:textId="2716E72E" w:rsidR="00D52E1C" w:rsidRPr="002C00B3" w:rsidRDefault="00D52E1C" w:rsidP="007A1F12">
      <w:pPr>
        <w:rPr>
          <w:rtl/>
          <w:lang w:val="en-GB" w:eastAsia="zh-TW"/>
        </w:rPr>
      </w:pPr>
      <w:r w:rsidRPr="002C00B3">
        <w:t>12.1</w:t>
      </w:r>
      <w:r w:rsidRPr="002C00B3">
        <w:rPr>
          <w:rtl/>
          <w:lang w:bidi="ar-SY"/>
        </w:rPr>
        <w:tab/>
      </w:r>
      <w:r w:rsidRPr="006065FF">
        <w:rPr>
          <w:b/>
          <w:bCs/>
          <w:rtl/>
          <w:lang w:val="en-GB" w:eastAsia="zh-TW"/>
        </w:rPr>
        <w:t>أحاط</w:t>
      </w:r>
      <w:r w:rsidRPr="002C00B3">
        <w:rPr>
          <w:rtl/>
          <w:lang w:val="en-GB" w:eastAsia="zh-TW"/>
        </w:rPr>
        <w:t xml:space="preserve"> المجلس </w:t>
      </w:r>
      <w:r w:rsidRPr="002C00B3">
        <w:rPr>
          <w:b/>
          <w:bCs/>
          <w:rtl/>
          <w:lang w:val="en-GB" w:eastAsia="zh-TW"/>
        </w:rPr>
        <w:t xml:space="preserve">علماً </w:t>
      </w:r>
      <w:r w:rsidRPr="002C00B3">
        <w:rPr>
          <w:rtl/>
          <w:lang w:val="en-GB" w:eastAsia="zh-TW"/>
        </w:rPr>
        <w:t>بالتقدم المحرز حتى الآن في عملية التحول والآثار المالية المبينة في الفقرة 7 من الوثيقة C24/52، إلى جانب خارطة الطريق الواردة في الوثيقة C24/73.</w:t>
      </w:r>
    </w:p>
    <w:p w14:paraId="69E9D12D" w14:textId="3DAB07A6" w:rsidR="00D52E1C" w:rsidRPr="007A1F12" w:rsidRDefault="00D52E1C" w:rsidP="007A1F12">
      <w:pPr>
        <w:rPr>
          <w:spacing w:val="-2"/>
          <w:rtl/>
          <w:lang w:bidi="ar-SY"/>
        </w:rPr>
      </w:pPr>
      <w:r w:rsidRPr="007A1F12">
        <w:rPr>
          <w:spacing w:val="-2"/>
          <w:lang w:bidi="ar-SY"/>
        </w:rPr>
        <w:t>13.1</w:t>
      </w:r>
      <w:r w:rsidRPr="007A1F12">
        <w:rPr>
          <w:spacing w:val="-2"/>
          <w:rtl/>
          <w:lang w:bidi="ar-SY"/>
        </w:rPr>
        <w:tab/>
      </w:r>
      <w:r w:rsidRPr="007A1F12">
        <w:rPr>
          <w:spacing w:val="-2"/>
          <w:rtl/>
          <w:lang w:val="en-GB" w:eastAsia="zh-TW"/>
        </w:rPr>
        <w:t>قالت الأمينة العامة إنها تود أن تشكر أعضاء المجلس على تعليقاتهم ودعمهم لعملية التحول. وشملت مشاركة أصحاب المصلحة، التي كانت أساسية للعملية، المشاركة الداخلية مع جميع الموظفين والإدارة ولجنة التنسيق وكذلك المشاركة الخارجية مع الدول الأعضاء ومع الشركاء في منظومة الأمم المتحدة في سياق الأمم المتحدة 2.0. وأحيط علماً بطلبات زيادة الوضوح في العروض التقديمية المقبلة والحصول على مزيد من التقارير وتوضيح مؤشرات الأداء الرئيسية وتحديد المخاطر وإدارتها.</w:t>
      </w:r>
    </w:p>
    <w:p w14:paraId="01118B43" w14:textId="262E32B0" w:rsidR="00FA1849" w:rsidRPr="007A1F12" w:rsidRDefault="00FA1849" w:rsidP="007A1F12">
      <w:pPr>
        <w:pStyle w:val="Heading1"/>
        <w:rPr>
          <w:rtl/>
        </w:rPr>
      </w:pPr>
      <w:r w:rsidRPr="007A1F12">
        <w:t>2</w:t>
      </w:r>
      <w:r w:rsidRPr="007A1F12">
        <w:rPr>
          <w:rtl/>
        </w:rPr>
        <w:tab/>
      </w:r>
      <w:r w:rsidR="00D52E1C" w:rsidRPr="007A1F12">
        <w:rPr>
          <w:rtl/>
        </w:rPr>
        <w:t xml:space="preserve">استراتيجية تنسيق الجهود بين قطاعات الاتحاد الثلاثة (الوثيقة </w:t>
      </w:r>
      <w:hyperlink r:id="rId16">
        <w:r w:rsidR="007A1F12" w:rsidRPr="007A1F12">
          <w:rPr>
            <w:rStyle w:val="Hyperlink"/>
            <w:rFonts w:cstheme="minorBidi"/>
          </w:rPr>
          <w:t>C24/27</w:t>
        </w:r>
      </w:hyperlink>
      <w:r w:rsidR="00D52E1C" w:rsidRPr="007A1F12">
        <w:rPr>
          <w:rtl/>
        </w:rPr>
        <w:t>)</w:t>
      </w:r>
    </w:p>
    <w:p w14:paraId="247F1899" w14:textId="1BE4E80C" w:rsidR="00CD0A41" w:rsidRPr="002C00B3" w:rsidRDefault="00CD0A41" w:rsidP="002C00B3">
      <w:pPr>
        <w:rPr>
          <w:rtl/>
        </w:rPr>
      </w:pPr>
      <w:r w:rsidRPr="002C00B3">
        <w:t>1.2</w:t>
      </w:r>
      <w:r w:rsidRPr="002C00B3">
        <w:rPr>
          <w:rtl/>
          <w:lang w:bidi="ar-SY"/>
        </w:rPr>
        <w:tab/>
      </w:r>
      <w:r w:rsidR="00D52E1C" w:rsidRPr="002C00B3">
        <w:rPr>
          <w:rtl/>
          <w:lang w:val="en-GB" w:eastAsia="zh-TW"/>
        </w:rPr>
        <w:t>قدم ممثل الأمانة العامة الوثيقة C24/27 بشأن استراتيجية تنسيق الجهود بين قطاعات الاتحاد الثلاثة والأمانة العامة والتي تتضمن تقريراً عن تنفيذ القرار 191 (المرا</w:t>
      </w:r>
      <w:r w:rsidR="00431669">
        <w:rPr>
          <w:rFonts w:hint="cs"/>
          <w:rtl/>
          <w:lang w:val="en-GB" w:eastAsia="zh-TW"/>
        </w:rPr>
        <w:t>جَ</w:t>
      </w:r>
      <w:r w:rsidR="00D52E1C" w:rsidRPr="002C00B3">
        <w:rPr>
          <w:rtl/>
          <w:lang w:val="en-GB" w:eastAsia="zh-TW"/>
        </w:rPr>
        <w:t>ع في بوخارست، 2022) وعن الإجراءات المتخذة لتنظيم العمل لضمان إدارة التنسيق بين القطاعات على أفضل وجه، ولا سيما من خلال فريق المهام المعني بالتنسيق بين القطاعات (</w:t>
      </w:r>
      <w:r w:rsidR="00D52E1C" w:rsidRPr="002C00B3">
        <w:rPr>
          <w:lang w:eastAsia="zh-TW"/>
        </w:rPr>
        <w:t>ISC-TF</w:t>
      </w:r>
      <w:r w:rsidR="00D52E1C" w:rsidRPr="002C00B3">
        <w:rPr>
          <w:rtl/>
          <w:lang w:val="en-GB" w:eastAsia="zh-TW"/>
        </w:rPr>
        <w:t>). وترتبط الوثيقة بالتقرير السنوي للاتحاد (الوثيقة C24/35) والتقرير عن</w:t>
      </w:r>
      <w:r w:rsidR="00F620FB">
        <w:rPr>
          <w:rFonts w:hint="cs"/>
          <w:rtl/>
          <w:lang w:val="en-GB" w:eastAsia="zh-TW"/>
        </w:rPr>
        <w:t xml:space="preserve"> تنفيذ</w:t>
      </w:r>
      <w:r w:rsidR="00D52E1C" w:rsidRPr="002C00B3">
        <w:rPr>
          <w:rtl/>
          <w:lang w:val="en-GB" w:eastAsia="zh-TW"/>
        </w:rPr>
        <w:t xml:space="preserve"> مفهوم "الاتحاد الواحد" (الوثيقة C24/17). وتتضمن أيضاً إحاطة بشأن اجتماعات فريق التنسيق المشترك بين القطاعات (</w:t>
      </w:r>
      <w:r w:rsidR="00D52E1C" w:rsidRPr="002C00B3">
        <w:rPr>
          <w:lang w:eastAsia="zh-TW"/>
        </w:rPr>
        <w:t>ISCG</w:t>
      </w:r>
      <w:r w:rsidR="00D52E1C" w:rsidRPr="002C00B3">
        <w:rPr>
          <w:rtl/>
          <w:lang w:val="en-GB" w:eastAsia="zh-TW"/>
        </w:rPr>
        <w:t>) التي عقدت في عام 2024 برئاسة السيد فابيو بيجي.</w:t>
      </w:r>
    </w:p>
    <w:p w14:paraId="3935F487" w14:textId="13E2D334" w:rsidR="00A61D27" w:rsidRPr="002C00B3" w:rsidRDefault="00CD0A41" w:rsidP="002C00B3">
      <w:pPr>
        <w:rPr>
          <w:rtl/>
          <w:lang w:val="en-GB" w:eastAsia="zh-TW"/>
        </w:rPr>
      </w:pPr>
      <w:r w:rsidRPr="002C00B3">
        <w:t>2.2</w:t>
      </w:r>
      <w:r w:rsidRPr="002C00B3">
        <w:rPr>
          <w:rtl/>
          <w:lang w:bidi="ar-SY"/>
        </w:rPr>
        <w:tab/>
      </w:r>
      <w:r w:rsidR="00D52E1C" w:rsidRPr="002C00B3">
        <w:rPr>
          <w:rtl/>
          <w:lang w:val="en-GB" w:eastAsia="zh-TW"/>
        </w:rPr>
        <w:t xml:space="preserve">قدم رئيس فريق التنسيق المشترك بين </w:t>
      </w:r>
      <w:r w:rsidR="003527D9" w:rsidRPr="002C00B3">
        <w:rPr>
          <w:rtl/>
          <w:lang w:val="en-GB" w:eastAsia="zh-TW"/>
        </w:rPr>
        <w:t>القطاعات (</w:t>
      </w:r>
      <w:r w:rsidR="003527D9" w:rsidRPr="002C00B3">
        <w:rPr>
          <w:lang w:eastAsia="zh-TW"/>
        </w:rPr>
        <w:t>ISCG</w:t>
      </w:r>
      <w:r w:rsidR="003527D9" w:rsidRPr="002C00B3">
        <w:rPr>
          <w:rtl/>
          <w:lang w:val="en-GB" w:eastAsia="zh-TW"/>
        </w:rPr>
        <w:t>)</w:t>
      </w:r>
      <w:r w:rsidR="00D52E1C" w:rsidRPr="002C00B3">
        <w:rPr>
          <w:rtl/>
          <w:lang w:val="en-GB" w:eastAsia="zh-TW"/>
        </w:rPr>
        <w:t xml:space="preserve"> معلومات محدثة عن عمل الفريق. وواصل الفريق العمل على الأولويات </w:t>
      </w:r>
      <w:r w:rsidR="00F620FB">
        <w:rPr>
          <w:rFonts w:hint="cs"/>
          <w:rtl/>
          <w:lang w:val="en-GB" w:eastAsia="zh-TW"/>
        </w:rPr>
        <w:t>المحورية</w:t>
      </w:r>
      <w:r w:rsidR="00D52E1C" w:rsidRPr="002C00B3">
        <w:rPr>
          <w:rtl/>
          <w:lang w:val="en-GB" w:eastAsia="zh-TW"/>
        </w:rPr>
        <w:t xml:space="preserve"> المتعلقة بإمكانية النفاذ وتغير المناخ والمشاركة عن ب</w:t>
      </w:r>
      <w:r w:rsidR="006065FF">
        <w:rPr>
          <w:rFonts w:hint="cs"/>
          <w:rtl/>
          <w:lang w:val="en-GB" w:eastAsia="zh-TW"/>
        </w:rPr>
        <w:t>ُ</w:t>
      </w:r>
      <w:r w:rsidR="00D52E1C" w:rsidRPr="002C00B3">
        <w:rPr>
          <w:rtl/>
          <w:lang w:val="en-GB" w:eastAsia="zh-TW"/>
        </w:rPr>
        <w:t>عد، مع تعيين منسق لكل موضوع. ووافق في اجتماعه الأخير على تعيين منسق رابع لتغطية موضوع التحول الرقمي المستدام. و</w:t>
      </w:r>
      <w:r w:rsidR="00F620FB">
        <w:rPr>
          <w:rFonts w:hint="cs"/>
          <w:rtl/>
          <w:lang w:val="en-GB" w:eastAsia="zh-TW"/>
        </w:rPr>
        <w:t>ت</w:t>
      </w:r>
      <w:r w:rsidR="00D52E1C" w:rsidRPr="002C00B3">
        <w:rPr>
          <w:rtl/>
          <w:lang w:val="en-GB" w:eastAsia="zh-TW"/>
        </w:rPr>
        <w:t>شمل القضايا المحددة التي تناولها الفريق تنسيق الموقع الإلكتروني للاتحاد؛ وجداول التقابل بين أنشطة القطاعات الثلاثة والأمانة العامة وقرارات المؤتمرات والجمعيات المختلفة؛ وتحسين آليات تعليق القطاعات على الخطة الاستراتيجية.</w:t>
      </w:r>
    </w:p>
    <w:p w14:paraId="04E2831A" w14:textId="79516872" w:rsidR="00D52E1C" w:rsidRPr="002C00B3" w:rsidRDefault="00D52E1C" w:rsidP="002C00B3">
      <w:pPr>
        <w:rPr>
          <w:rtl/>
          <w:lang w:val="en-GB" w:eastAsia="zh-TW"/>
        </w:rPr>
      </w:pPr>
      <w:r w:rsidRPr="002C00B3">
        <w:rPr>
          <w:lang w:eastAsia="zh-TW"/>
        </w:rPr>
        <w:t>3.2</w:t>
      </w:r>
      <w:r w:rsidRPr="002C00B3">
        <w:rPr>
          <w:rtl/>
          <w:lang w:eastAsia="zh-TW" w:bidi="ar-SY"/>
        </w:rPr>
        <w:tab/>
      </w:r>
      <w:r w:rsidRPr="002C00B3">
        <w:rPr>
          <w:rtl/>
          <w:lang w:val="en-GB" w:eastAsia="zh-TW"/>
        </w:rPr>
        <w:t>شدد عدة أعضاء على أهمية التنسيق وأعربوا عن تقديرهم للعمل المنجز حتى الآن وأيدوا استمراره. وقدمت عملية التقابل صورة أوسع وأوضح للقرارات الصادرة عن القطاعات الثلاثة مما يساعد في وضع استراتيجية مقترحة لمعالجة العدد المتزايد من المجالات ذات الاهتمام المشترك وتجنب الازدواجية وتسهيل عمل فريق العمل التابع للمجلس والمعني بالموارد المالية والبشرية.</w:t>
      </w:r>
    </w:p>
    <w:p w14:paraId="530D6600" w14:textId="509D860D" w:rsidR="00D52E1C" w:rsidRPr="002C00B3" w:rsidRDefault="00D52E1C" w:rsidP="002C00B3">
      <w:pPr>
        <w:rPr>
          <w:rtl/>
          <w:lang w:val="en-GB" w:eastAsia="zh-TW"/>
        </w:rPr>
      </w:pPr>
      <w:r w:rsidRPr="002C00B3">
        <w:rPr>
          <w:lang w:eastAsia="zh-TW"/>
        </w:rPr>
        <w:t>4.2</w:t>
      </w:r>
      <w:r w:rsidRPr="002C00B3">
        <w:rPr>
          <w:rtl/>
          <w:lang w:eastAsia="zh-TW" w:bidi="ar-SY"/>
        </w:rPr>
        <w:tab/>
      </w:r>
      <w:r w:rsidRPr="002C00B3">
        <w:rPr>
          <w:rtl/>
          <w:lang w:val="en-GB" w:eastAsia="zh-TW"/>
        </w:rPr>
        <w:t xml:space="preserve">سلط أعضاء المجلس الضوء كذلك على أهمية التنسيق بين القطاعات في كل مبادرة من مبادرات الاتحاد، بما في ذلك العمل الرقمي المراعي للبيئة وتحالف الابتكار وريادة الأعمال من أجل التحول الرقمي وسد الفجوة </w:t>
      </w:r>
      <w:proofErr w:type="spellStart"/>
      <w:r w:rsidRPr="002C00B3">
        <w:rPr>
          <w:rtl/>
          <w:lang w:val="en-GB" w:eastAsia="zh-TW"/>
        </w:rPr>
        <w:t>التقييسية</w:t>
      </w:r>
      <w:proofErr w:type="spellEnd"/>
      <w:r w:rsidRPr="002C00B3">
        <w:rPr>
          <w:rtl/>
          <w:lang w:val="en-GB" w:eastAsia="zh-TW"/>
        </w:rPr>
        <w:t xml:space="preserve">. وحث أحد أعضاء المجلس على تعزيز الفريق الذي يركز على التحول الرقمي المستدام وزيادة تسليط الضوء على أعماله في الموقع الإلكتروني. وطلب أحد أعضاء المجلس مطابقة المواضيع مع مؤشرات الأداء الرئيسية وتحديد المخاطر التي قد تنشأ عن عدم التنسيق بين القطاعات الثلاثة. وينبغي إجراء مزيد من التحليل لدور المكاتب الإقليمية في تنسيق العمل. </w:t>
      </w:r>
      <w:r w:rsidR="006065FF">
        <w:rPr>
          <w:rFonts w:hint="cs"/>
          <w:rtl/>
          <w:lang w:val="en-GB" w:eastAsia="zh-TW"/>
        </w:rPr>
        <w:t>وأشار</w:t>
      </w:r>
      <w:r w:rsidRPr="002C00B3">
        <w:rPr>
          <w:rtl/>
          <w:lang w:val="en-GB" w:eastAsia="zh-TW"/>
        </w:rPr>
        <w:t xml:space="preserve"> بعض أعضاء المجلس إلى أن العمل لا يزال يُنفذ بشكل منفصل: مع تحسين تنسيق الجهود بين القطاعات الثلاثة، يمكن تجنب الازدواجية وتقاسم التمويل والموارد بشكل أكثر فعالية. وينبغي النظر في التنسيق بين فريق المهام المعني بالتنسيق بين القطاعات وفريق التنسيق بين القطاعات من أجل تحسين تكامل أعمالهما.</w:t>
      </w:r>
    </w:p>
    <w:p w14:paraId="1DD59925" w14:textId="360759B9" w:rsidR="00D52E1C" w:rsidRPr="002C00B3" w:rsidRDefault="00D52E1C" w:rsidP="002C00B3">
      <w:pPr>
        <w:rPr>
          <w:rtl/>
          <w:lang w:val="en-GB" w:eastAsia="zh-TW"/>
        </w:rPr>
      </w:pPr>
      <w:r w:rsidRPr="002C00B3">
        <w:rPr>
          <w:lang w:eastAsia="zh-TW"/>
        </w:rPr>
        <w:t>5.2</w:t>
      </w:r>
      <w:r w:rsidRPr="002C00B3">
        <w:rPr>
          <w:rtl/>
          <w:lang w:eastAsia="zh-TW" w:bidi="ar-SY"/>
        </w:rPr>
        <w:tab/>
      </w:r>
      <w:r w:rsidRPr="002C00B3">
        <w:rPr>
          <w:rtl/>
          <w:lang w:val="en-GB" w:eastAsia="zh-TW"/>
        </w:rPr>
        <w:t xml:space="preserve">قال ممثل الأمانة العامة، رداً على تعليقات أعضاء المجلس وأسئلتهم، إن المعلومات الكاملة عن المجالات ذات الاهتمام المشترك المحددة من خلال عمليات التقابل تظهر في الموقع الإلكتروني للاتحاد من الصفحة الرئيسية للأمانة العامة تحت علامة التبويب "التنسيق بين القطاعات". وفيما يتعلق بأدوار المكاتب الإقليمية، فإن مديري المكاتب الإقليمية هم أعضاء في الفريق </w:t>
      </w:r>
      <w:r w:rsidRPr="002C00B3">
        <w:rPr>
          <w:lang w:eastAsia="zh-TW"/>
        </w:rPr>
        <w:t>ISC-TF</w:t>
      </w:r>
      <w:r w:rsidRPr="002C00B3">
        <w:rPr>
          <w:rtl/>
          <w:lang w:val="en-GB" w:eastAsia="zh-TW"/>
        </w:rPr>
        <w:t xml:space="preserve"> وبالتالي يشاركون بشكل كامل في المناقشات. وفيما يتعلق بالمخاطر، حُددت تدابير التخفيف من حدة </w:t>
      </w:r>
      <w:r w:rsidRPr="002C00B3">
        <w:rPr>
          <w:rtl/>
          <w:lang w:val="en-GB" w:eastAsia="zh-TW"/>
        </w:rPr>
        <w:lastRenderedPageBreak/>
        <w:t>المخاطر المتصلة بالتنسيق بين القطاعات في الوثيقة C24/49 بشأن تعزيز إدارة المخاطر ونظام الرقابة الداخلية. واستُعرضت مسألة وضع منصة موحدة للاجتماعات عن ب</w:t>
      </w:r>
      <w:r w:rsidR="006065FF">
        <w:rPr>
          <w:rFonts w:hint="cs"/>
          <w:rtl/>
          <w:lang w:val="en-GB" w:eastAsia="zh-TW"/>
        </w:rPr>
        <w:t>ُ</w:t>
      </w:r>
      <w:r w:rsidRPr="002C00B3">
        <w:rPr>
          <w:rtl/>
          <w:lang w:val="en-GB" w:eastAsia="zh-TW"/>
        </w:rPr>
        <w:t>عد في إطار فريق التنسيق بين القطاعات؛ ويمكن الاطلاع على مزيد من المعلومات في التقرير عن المشاركة عن ب</w:t>
      </w:r>
      <w:r w:rsidR="006065FF">
        <w:rPr>
          <w:rFonts w:hint="cs"/>
          <w:rtl/>
          <w:lang w:val="en-GB" w:eastAsia="zh-TW"/>
        </w:rPr>
        <w:t>ُ</w:t>
      </w:r>
      <w:r w:rsidRPr="002C00B3">
        <w:rPr>
          <w:rtl/>
          <w:lang w:val="en-GB" w:eastAsia="zh-TW"/>
        </w:rPr>
        <w:t>عد تماشياً مع تنفيذ القرار 167 (المرا</w:t>
      </w:r>
      <w:r w:rsidR="00F70D09">
        <w:rPr>
          <w:rFonts w:hint="cs"/>
          <w:rtl/>
          <w:lang w:val="en-GB" w:eastAsia="zh-TW"/>
        </w:rPr>
        <w:t>جَ</w:t>
      </w:r>
      <w:r w:rsidRPr="002C00B3">
        <w:rPr>
          <w:rtl/>
          <w:lang w:val="en-GB" w:eastAsia="zh-TW"/>
        </w:rPr>
        <w:t>ع في بوخارست، 2022) في الوثيقة C24/61.</w:t>
      </w:r>
    </w:p>
    <w:p w14:paraId="126EDB83" w14:textId="6312ED00" w:rsidR="00D52E1C" w:rsidRPr="002C00B3" w:rsidRDefault="00D52E1C" w:rsidP="002C00B3">
      <w:pPr>
        <w:rPr>
          <w:rtl/>
          <w:lang w:val="en-GB" w:eastAsia="zh-TW"/>
        </w:rPr>
      </w:pPr>
      <w:r w:rsidRPr="002C00B3">
        <w:rPr>
          <w:lang w:eastAsia="zh-TW"/>
        </w:rPr>
        <w:t>6.2</w:t>
      </w:r>
      <w:r w:rsidRPr="002C00B3">
        <w:rPr>
          <w:rtl/>
          <w:lang w:eastAsia="zh-TW" w:bidi="ar-SY"/>
        </w:rPr>
        <w:tab/>
      </w:r>
      <w:r w:rsidRPr="006065FF">
        <w:rPr>
          <w:b/>
          <w:bCs/>
          <w:rtl/>
          <w:lang w:val="en-GB" w:eastAsia="zh-TW"/>
        </w:rPr>
        <w:t>وأحاط</w:t>
      </w:r>
      <w:r w:rsidRPr="002C00B3">
        <w:rPr>
          <w:rtl/>
          <w:lang w:val="en-GB" w:eastAsia="zh-TW"/>
        </w:rPr>
        <w:t xml:space="preserve"> المجلس </w:t>
      </w:r>
      <w:r w:rsidRPr="002C00B3">
        <w:rPr>
          <w:b/>
          <w:bCs/>
          <w:rtl/>
          <w:lang w:val="en-GB" w:eastAsia="zh-TW"/>
        </w:rPr>
        <w:t xml:space="preserve">علماً </w:t>
      </w:r>
      <w:r w:rsidRPr="002C00B3">
        <w:rPr>
          <w:rtl/>
          <w:lang w:val="en-GB" w:eastAsia="zh-TW"/>
        </w:rPr>
        <w:t>بالوثيقة C27/24.</w:t>
      </w:r>
    </w:p>
    <w:p w14:paraId="78D68C07" w14:textId="27CD917D" w:rsidR="00D52E1C" w:rsidRPr="002C00B3" w:rsidRDefault="00D52E1C" w:rsidP="002C00B3">
      <w:pPr>
        <w:rPr>
          <w:rtl/>
          <w:lang w:bidi="ar-SY"/>
        </w:rPr>
      </w:pPr>
      <w:r w:rsidRPr="002C00B3">
        <w:rPr>
          <w:lang w:eastAsia="zh-TW"/>
        </w:rPr>
        <w:t>7.2</w:t>
      </w:r>
      <w:r w:rsidRPr="002C00B3">
        <w:rPr>
          <w:rtl/>
          <w:lang w:eastAsia="zh-TW" w:bidi="ar-SY"/>
        </w:rPr>
        <w:tab/>
      </w:r>
      <w:r w:rsidRPr="002C00B3">
        <w:rPr>
          <w:rtl/>
          <w:lang w:val="en-GB" w:eastAsia="zh-TW"/>
        </w:rPr>
        <w:t>أحاط نائب الأمينة العامة علماً مع التقدير بالتعليقات الواردة بشأن التنسيق بين القطاعات والاهتمام الذي أبداه أعضاء المجلس بالموضوع. ولم تكن المهمة سهلة، كما يتضح من قائمة القرارات المتزايدة والقائمة المقابلة للمواضيع المشتركة المتاحة في الموقع الإلكتروني للاتحاد. ويعمل فريق المهام المعني بالتنسيق بين القطاعات بصورة جيدة وتم تبسيط عمله من خلال تشكيل واضح وجدول أعمال مركز وتعاون جيد مع فريق التنسيق بين القطاعات.</w:t>
      </w:r>
    </w:p>
    <w:p w14:paraId="19183759" w14:textId="026C2921" w:rsidR="00FA1849" w:rsidRPr="00F70D09" w:rsidRDefault="00FA1849" w:rsidP="00F70D09">
      <w:pPr>
        <w:pStyle w:val="Heading1"/>
        <w:rPr>
          <w:rtl/>
        </w:rPr>
      </w:pPr>
      <w:r w:rsidRPr="00F70D09">
        <w:t>3</w:t>
      </w:r>
      <w:r w:rsidRPr="00F70D09">
        <w:rPr>
          <w:rtl/>
        </w:rPr>
        <w:tab/>
      </w:r>
      <w:r w:rsidR="00D52E1C" w:rsidRPr="00F70D09">
        <w:rPr>
          <w:rtl/>
        </w:rPr>
        <w:t xml:space="preserve">تقوية الحضور الإقليمي للاتحاد (الوثائق </w:t>
      </w:r>
      <w:hyperlink r:id="rId17" w:history="1">
        <w:r w:rsidR="00F70D09" w:rsidRPr="00F70D09">
          <w:rPr>
            <w:rStyle w:val="Hyperlink"/>
          </w:rPr>
          <w:t>C24/25</w:t>
        </w:r>
      </w:hyperlink>
      <w:r w:rsidR="00D52E1C" w:rsidRPr="00F70D09">
        <w:rPr>
          <w:rtl/>
        </w:rPr>
        <w:t xml:space="preserve"> و</w:t>
      </w:r>
      <w:hyperlink r:id="rId18" w:history="1">
        <w:r w:rsidR="00F70D09" w:rsidRPr="00F70D09">
          <w:rPr>
            <w:rStyle w:val="Hyperlink"/>
          </w:rPr>
          <w:t>C24/79</w:t>
        </w:r>
      </w:hyperlink>
      <w:r w:rsidR="00D52E1C" w:rsidRPr="00F70D09">
        <w:rPr>
          <w:rtl/>
        </w:rPr>
        <w:t xml:space="preserve"> و</w:t>
      </w:r>
      <w:hyperlink r:id="rId19" w:history="1">
        <w:r w:rsidR="00F70D09" w:rsidRPr="00F70D09">
          <w:rPr>
            <w:rStyle w:val="Hyperlink"/>
          </w:rPr>
          <w:t>C24/98</w:t>
        </w:r>
      </w:hyperlink>
      <w:r w:rsidR="00D52E1C" w:rsidRPr="00F70D09">
        <w:rPr>
          <w:rtl/>
        </w:rPr>
        <w:t xml:space="preserve"> و</w:t>
      </w:r>
      <w:hyperlink r:id="rId20" w:history="1">
        <w:r w:rsidR="00F70D09" w:rsidRPr="00F70D09">
          <w:rPr>
            <w:rStyle w:val="Hyperlink"/>
          </w:rPr>
          <w:t>C24/100</w:t>
        </w:r>
      </w:hyperlink>
      <w:r w:rsidR="00D52E1C" w:rsidRPr="00F70D09">
        <w:rPr>
          <w:rtl/>
        </w:rPr>
        <w:t>)</w:t>
      </w:r>
    </w:p>
    <w:p w14:paraId="5C511405" w14:textId="63765341" w:rsidR="00CD0A41" w:rsidRPr="002C00B3" w:rsidRDefault="00D3408A" w:rsidP="002C00B3">
      <w:pPr>
        <w:rPr>
          <w:rtl/>
        </w:rPr>
      </w:pPr>
      <w:r w:rsidRPr="002C00B3">
        <w:t>1.3</w:t>
      </w:r>
      <w:r w:rsidRPr="002C00B3">
        <w:rPr>
          <w:rtl/>
          <w:lang w:bidi="ar-SY"/>
        </w:rPr>
        <w:tab/>
      </w:r>
      <w:r w:rsidR="002370EC" w:rsidRPr="002C00B3">
        <w:rPr>
          <w:rtl/>
          <w:lang w:bidi="ar-SY"/>
        </w:rPr>
        <w:t>‏</w:t>
      </w:r>
      <w:r w:rsidR="00A61D27" w:rsidRPr="002C00B3">
        <w:rPr>
          <w:rtl/>
        </w:rPr>
        <w:t xml:space="preserve"> </w:t>
      </w:r>
      <w:r w:rsidR="00D52E1C" w:rsidRPr="002C00B3">
        <w:rPr>
          <w:rtl/>
          <w:lang w:val="en-GB" w:eastAsia="zh-TW"/>
        </w:rPr>
        <w:t>قال القائم بأعمال نائب مدير مكتب تنمية الاتصالات، إن الوثيقة C24/25 تتضمن تقريراً عن مساهمة الحضور الإقليمي للاتحاد في الوفاء بولاية الاتحاد. وتقدم معلومات عن العمل الإقليمي من أجل تنفيذ الخطة الاستراتيجية للاتحاد وخطة عمل كيغالي والمبادرات الإقليمية؛ وكذلك بشأن تنفيذ المكاتب الميدانية للاتحاد لأنشطة على أرض الواقع، يمكن الاطلاع على تفاصيلها في الفقرات 3.3-</w:t>
      </w:r>
      <w:r w:rsidR="006065FF">
        <w:rPr>
          <w:rFonts w:hint="cs"/>
          <w:rtl/>
          <w:lang w:val="en-GB" w:eastAsia="zh-TW"/>
        </w:rPr>
        <w:t>8.3</w:t>
      </w:r>
      <w:r w:rsidR="00D52E1C" w:rsidRPr="002C00B3">
        <w:rPr>
          <w:rtl/>
          <w:lang w:val="en-GB" w:eastAsia="zh-TW"/>
        </w:rPr>
        <w:t xml:space="preserve"> من الوثيقة بالنسبة لمكتب الاتصالات الراديوية ومكتب تقييس الاتصالات والأمانة العامة وفي وثيقة الفريق الاستشاري لتنمية الاتصالات المشار إليها في الفقرة 2.3 بالنسبة لمكتب تنمية الاتصالات. وتواصل المكاتب الإقليمية ومكاتب المناطق التابعة للاتحاد القيام بدور مزدوج هام في التنفيذ والمتابعة. واجتذبت ستة منتديات إقليمية للتنمية عقدها الاتحاد في عامي 2023 و2024 أكثر من </w:t>
      </w:r>
      <w:r w:rsidR="00F70D09">
        <w:rPr>
          <w:lang w:val="en-GB" w:eastAsia="zh-TW"/>
        </w:rPr>
        <w:t>1 500</w:t>
      </w:r>
      <w:r w:rsidR="00D52E1C" w:rsidRPr="002C00B3">
        <w:rPr>
          <w:rtl/>
          <w:lang w:val="en-GB" w:eastAsia="zh-TW"/>
        </w:rPr>
        <w:t xml:space="preserve"> من أصحاب المصلحة في جميع أنحاء العالم، مما وفر منصة فعالة لمناقشة تنفيذ مبادرات الاتحاد. وكان من بين الأجزاء الهامة في المنتديات موائد مستديرة توفيقية لتحالف الشراكة من أجل التوصيل (P2C) حيث قدم أصحاب المصلحة تعهداتهم.</w:t>
      </w:r>
    </w:p>
    <w:p w14:paraId="246495F1" w14:textId="2E07D87A" w:rsidR="003A270C" w:rsidRPr="002C00B3" w:rsidRDefault="00D3408A" w:rsidP="002C00B3">
      <w:pPr>
        <w:rPr>
          <w:rtl/>
          <w:lang w:bidi="ar-SY"/>
        </w:rPr>
      </w:pPr>
      <w:r w:rsidRPr="002C00B3">
        <w:t>2.3</w:t>
      </w:r>
      <w:r w:rsidRPr="002C00B3">
        <w:rPr>
          <w:rtl/>
          <w:lang w:bidi="ar-SY"/>
        </w:rPr>
        <w:tab/>
      </w:r>
      <w:r w:rsidR="004C2972" w:rsidRPr="002C00B3">
        <w:rPr>
          <w:rtl/>
          <w:lang w:bidi="ar-SY"/>
        </w:rPr>
        <w:t>‏</w:t>
      </w:r>
      <w:r w:rsidR="00A61D27" w:rsidRPr="002C00B3">
        <w:rPr>
          <w:rtl/>
        </w:rPr>
        <w:t xml:space="preserve"> </w:t>
      </w:r>
      <w:r w:rsidR="00D52E1C" w:rsidRPr="002C00B3">
        <w:rPr>
          <w:rtl/>
          <w:lang w:val="en-GB" w:eastAsia="zh-TW"/>
        </w:rPr>
        <w:t>قدم عضو المجلس من أستراليا مساهمة ترد في الوثيقة C24/79 بشأن تعزيز الكفاءة والفعالية في عمليات المكاتب الإقليمية ومكاتب المناطق. وإن المكاتب الإقليمية ومكاتب المناطق في طليعة عمل الاتحاد وهي حاسمة في تقديم المساعدة على المستوى الق</w:t>
      </w:r>
      <w:r w:rsidR="006065FF">
        <w:rPr>
          <w:rFonts w:hint="cs"/>
          <w:rtl/>
          <w:lang w:val="en-GB" w:eastAsia="zh-TW"/>
        </w:rPr>
        <w:t>ُ</w:t>
      </w:r>
      <w:r w:rsidR="00D52E1C" w:rsidRPr="002C00B3">
        <w:rPr>
          <w:rtl/>
          <w:lang w:val="en-GB" w:eastAsia="zh-TW"/>
        </w:rPr>
        <w:t>طري ومشاريع بناء القدرات في جميع المناطق، ولذلك لا</w:t>
      </w:r>
      <w:r w:rsidR="006065FF">
        <w:rPr>
          <w:rFonts w:hint="cs"/>
          <w:rtl/>
          <w:lang w:val="en-GB" w:eastAsia="zh-TW"/>
        </w:rPr>
        <w:t> </w:t>
      </w:r>
      <w:r w:rsidR="00D52E1C" w:rsidRPr="002C00B3">
        <w:rPr>
          <w:rtl/>
          <w:lang w:val="en-GB" w:eastAsia="zh-TW"/>
        </w:rPr>
        <w:t>بد من مواصلة تحسينها لضمان وصول أكبر قدر ممكن من التمويل والموارد إلى أرض الواقع ويجب أن تكون عنصراً أساسياً في خطط التحول في الاتحاد. وفي الوثيقة المقدمة، عرضت أستراليا تجربتها في تقديم بعض مجالات التركيز لتنظر فيها الأمانة. ورحبت أستراليا أيضاً بالوثيقتين C24/98 وC24/100 ذواتي الصلة المقدمتين من المكسيك.</w:t>
      </w:r>
    </w:p>
    <w:p w14:paraId="3F4D543A" w14:textId="2623E137" w:rsidR="003A270C" w:rsidRPr="002C00B3" w:rsidRDefault="00D3408A" w:rsidP="002C00B3">
      <w:pPr>
        <w:rPr>
          <w:rtl/>
        </w:rPr>
      </w:pPr>
      <w:r w:rsidRPr="002C00B3">
        <w:t>3.3</w:t>
      </w:r>
      <w:r w:rsidRPr="002C00B3">
        <w:rPr>
          <w:rtl/>
          <w:lang w:bidi="ar-SY"/>
        </w:rPr>
        <w:tab/>
      </w:r>
      <w:r w:rsidR="00962891" w:rsidRPr="002C00B3">
        <w:rPr>
          <w:rtl/>
          <w:lang w:bidi="ar-SY"/>
        </w:rPr>
        <w:t>‏</w:t>
      </w:r>
      <w:r w:rsidR="00A61D27" w:rsidRPr="002C00B3">
        <w:rPr>
          <w:rtl/>
        </w:rPr>
        <w:t xml:space="preserve"> </w:t>
      </w:r>
      <w:r w:rsidR="00D52E1C" w:rsidRPr="002C00B3">
        <w:rPr>
          <w:rtl/>
          <w:lang w:val="en-GB" w:eastAsia="zh-TW"/>
        </w:rPr>
        <w:t>قدمت عضوة المجلس من المكسيك الوثيقة C24/98 التي تقدم سلسلة من المقترحات المتعلقة بمستوى التمويل وتخصيصه للمكاتب الإقليمية، اعترافاً بالحاجة الهامة إلى تقوية الحضور الإقليمي؛ وزيادة استقلاليته وإضفاء الطابع اللامركزي على صنع القرار، لا سيما فيما يتعلق بتنفيذ المشاريع والأحداث والأنشطة؛ والتخصص التقني للموظفين في المكاتب الإقليمية؛ وتحديد جهات الاتصال للقطاعات الثلاثة في المكاتب الإقليمية، وتقديم تقارير إلى المدير الإقليمي؛ وتحديد التوقعات للمكاتب الإقليمية؛ وزيادة المشاركة في أنشطة المكاتب الإقليمية ومشاريعها ومبادراتها وتنسيقها والتواصل بشأنها.</w:t>
      </w:r>
    </w:p>
    <w:p w14:paraId="1F60060E" w14:textId="54EDF8CB" w:rsidR="00A61D27" w:rsidRPr="002C00B3" w:rsidRDefault="00A61D27" w:rsidP="002C00B3">
      <w:pPr>
        <w:rPr>
          <w:rtl/>
        </w:rPr>
      </w:pPr>
      <w:r w:rsidRPr="002C00B3">
        <w:rPr>
          <w:lang w:bidi="ar-SY"/>
        </w:rPr>
        <w:t>4.3</w:t>
      </w:r>
      <w:r w:rsidRPr="002C00B3">
        <w:rPr>
          <w:rtl/>
          <w:lang w:bidi="ar-SY"/>
        </w:rPr>
        <w:tab/>
      </w:r>
      <w:r w:rsidR="00D52E1C" w:rsidRPr="002C00B3">
        <w:rPr>
          <w:rtl/>
          <w:lang w:val="en-GB" w:eastAsia="zh-TW"/>
        </w:rPr>
        <w:t>أكد عدد من أعضاء المجلس ومراقب واحد، مستشهدين بأمثلة، على قيمة المكاتب الميدانية ومساهمتها في المشاريع والبرامج المحلية دعماً للتوصيلية الهادفة والتحول الرقمي.</w:t>
      </w:r>
    </w:p>
    <w:p w14:paraId="31CB4EDA" w14:textId="16351646" w:rsidR="00A61D27" w:rsidRPr="00B96308" w:rsidRDefault="00E234EA" w:rsidP="002C00B3">
      <w:pPr>
        <w:rPr>
          <w:spacing w:val="-2"/>
          <w:rtl/>
        </w:rPr>
      </w:pPr>
      <w:r w:rsidRPr="00B96308">
        <w:rPr>
          <w:spacing w:val="-2"/>
        </w:rPr>
        <w:t>5</w:t>
      </w:r>
      <w:r w:rsidR="00A61D27" w:rsidRPr="00B96308">
        <w:rPr>
          <w:spacing w:val="-2"/>
        </w:rPr>
        <w:t>.3</w:t>
      </w:r>
      <w:r w:rsidR="00A61D27" w:rsidRPr="00B96308">
        <w:rPr>
          <w:spacing w:val="-2"/>
          <w:rtl/>
          <w:lang w:bidi="ar-SY"/>
        </w:rPr>
        <w:tab/>
      </w:r>
      <w:r w:rsidR="00D52E1C" w:rsidRPr="00B96308">
        <w:rPr>
          <w:spacing w:val="-2"/>
          <w:rtl/>
          <w:lang w:val="en-GB" w:eastAsia="zh-TW"/>
        </w:rPr>
        <w:t xml:space="preserve">أعرب أعضاء المجلس عن تأييدهم الواسع للدعوة إلى تقوية الحضور الإقليمي للاتحاد وللمساهمات المقدمة من أستراليا والمكسيك. وأيد عدد من أعضاء المجلس الدعوة إلى مزيد من الاستقلالية، وأشاروا إلى أن تحسين الكفاءة التشغيلية سينتج عن تحسين الاتصالات والعمليات بين المقر الرئيسي والمكاتب الإقليمية. واتفق العديد من الأعضاء على أن تكون لدى المكاتب الإقليمية القدرة على تنفيذ المشاريع وتلبية الاحتياجات المحددة للبلدان في مناطقها. وتشمل التحسينات المطلوبة مؤشرات الأداء الرئيسية وإعداد التقارير المالية السليمة والشفافة والتمويل الكافي، بما في ذلك مكاتب المناطق على وجه التحديد. وأوصى أحد أعضاء المجلس بوضع مبادئ توجيهية من أجل توسيع التعاون بين الاتحاد والبلدان لتعزيز التعاون وإمكانية اجتذاب المزيد من المساهمات الطوعية لتخطيط المشاريع وتنفيذها. </w:t>
      </w:r>
      <w:proofErr w:type="gramStart"/>
      <w:r w:rsidR="00D52E1C" w:rsidRPr="006065FF">
        <w:rPr>
          <w:spacing w:val="-2"/>
          <w:rtl/>
          <w:lang w:val="en-GB" w:eastAsia="zh-TW"/>
        </w:rPr>
        <w:t>واسترعي</w:t>
      </w:r>
      <w:proofErr w:type="gramEnd"/>
      <w:r w:rsidR="00D52E1C" w:rsidRPr="00B96308">
        <w:rPr>
          <w:spacing w:val="-2"/>
          <w:rtl/>
          <w:lang w:val="en-GB" w:eastAsia="zh-TW"/>
        </w:rPr>
        <w:t xml:space="preserve"> الانتباه إلى أن بعض المناطق ستستفيد من التعاون دون الإقليمي، وإلى التحديات الخاصة التي يطرحها التواصل في المناطق التي يُتحدث فيها بأكثر من لغة رسمية واحدة من لغات الاتحاد.</w:t>
      </w:r>
    </w:p>
    <w:p w14:paraId="79652F35" w14:textId="3F5CF949" w:rsidR="00A61D27" w:rsidRPr="002C00B3" w:rsidRDefault="00E234EA" w:rsidP="002C00B3">
      <w:pPr>
        <w:rPr>
          <w:lang w:val="ar-SA" w:eastAsia="zh-TW" w:bidi="ar-SY"/>
        </w:rPr>
      </w:pPr>
      <w:r w:rsidRPr="002C00B3">
        <w:t>6.3</w:t>
      </w:r>
      <w:r w:rsidRPr="002C00B3">
        <w:rPr>
          <w:rtl/>
          <w:lang w:bidi="ar-SY"/>
        </w:rPr>
        <w:tab/>
      </w:r>
      <w:r w:rsidR="00D52E1C" w:rsidRPr="002C00B3">
        <w:rPr>
          <w:rtl/>
          <w:lang w:val="en-GB" w:eastAsia="zh-TW"/>
        </w:rPr>
        <w:t xml:space="preserve">أيد أعضاء المجلس الدعوة إلى تعميم مفهوم "الاتحاد الواحد" في تقديم الخدمات في المكاتب الإقليمية، مع زيادة التركيز على مسائل قطاعي الاتصالات الراديوية وتقييس الاتصالات. ودعا أحد أعضاء المجلس إلى تعبئة قطاعات الاتحاد داخل المكاتب الإقليمية من أجل تعزيز الدور الذي تؤديه المكاتب، على الرغم من أن من المفهوم أن هذه المقترحات ستترتب عليها </w:t>
      </w:r>
      <w:r w:rsidR="00D52E1C" w:rsidRPr="002C00B3">
        <w:rPr>
          <w:rtl/>
          <w:lang w:val="en-GB" w:eastAsia="zh-TW"/>
        </w:rPr>
        <w:lastRenderedPageBreak/>
        <w:t>آثار على التكاليف. وأيدت عضوة أخرى في المجلس وجهة النظر التي تفيد بأن تُمثّل القطاعات الثلاثة جميعها بالتساوي في المكاتب الإقليمية وسعت إلى فهم العملية التي يتم من خلالها توزيع الموظفين على المكاتب المختلفة.</w:t>
      </w:r>
    </w:p>
    <w:p w14:paraId="39D0F6F8" w14:textId="4AD1650F" w:rsidR="00A61D27" w:rsidRPr="002C00B3" w:rsidRDefault="00A61D27" w:rsidP="002C00B3">
      <w:pPr>
        <w:rPr>
          <w:lang w:val="ar-SA" w:eastAsia="zh-TW" w:bidi="en-GB"/>
        </w:rPr>
      </w:pPr>
      <w:r w:rsidRPr="002C00B3">
        <w:rPr>
          <w:rtl/>
        </w:rPr>
        <w:t>3</w:t>
      </w:r>
      <w:r w:rsidRPr="002C00B3">
        <w:t>.</w:t>
      </w:r>
      <w:r w:rsidRPr="002C00B3">
        <w:rPr>
          <w:rtl/>
        </w:rPr>
        <w:t>7</w:t>
      </w:r>
      <w:r w:rsidRPr="002C00B3">
        <w:rPr>
          <w:rtl/>
        </w:rPr>
        <w:tab/>
      </w:r>
      <w:r w:rsidR="00D52E1C" w:rsidRPr="002C00B3">
        <w:rPr>
          <w:rtl/>
          <w:lang w:val="en-GB" w:eastAsia="zh-TW"/>
        </w:rPr>
        <w:t>أشار أعضاء المجلس إلى أن القرار 25 (المراج</w:t>
      </w:r>
      <w:r w:rsidR="00A13BD6">
        <w:rPr>
          <w:rFonts w:hint="cs"/>
          <w:rtl/>
          <w:lang w:val="en-GB" w:eastAsia="zh-TW"/>
        </w:rPr>
        <w:t>َ</w:t>
      </w:r>
      <w:r w:rsidR="00D52E1C" w:rsidRPr="002C00B3">
        <w:rPr>
          <w:rtl/>
          <w:lang w:val="en-GB" w:eastAsia="zh-TW"/>
        </w:rPr>
        <w:t xml:space="preserve">ع في بوخارست، 2022) ينص على أن يستعرض الاتحاد الحضور الإقليمي عندما يطلب منه المجلس ذلك، وأشار أحد أعضاء المجلس، وأيده عضوان آخران في المجلس، إلى أن هذا الطلب قُدّم وسجل رسمياً في دورة المجلس لعام 2023 ولكن يبدو أنه لم يُتخذ إجراء بشأنه بعد. وكان من الممكن إجراء الاستعراض في الوقت المناسب وبما يتماشى مع أهداف التحول التي حددتها الإدارة. وسيكون من المفيد الحصول على معلومات محدثة عن حالة الاستعراض والتعبير عن التزام راسخ في المحضر الموجز للمجلس في دورته لعام 2024 باستكمال الاستعراض وتقديم تقرير إلى المجلس في دورته لعام 2025. وسيكون من </w:t>
      </w:r>
      <w:proofErr w:type="spellStart"/>
      <w:r w:rsidR="00D52E1C" w:rsidRPr="002C00B3">
        <w:rPr>
          <w:rtl/>
          <w:lang w:val="en-GB" w:eastAsia="zh-TW"/>
        </w:rPr>
        <w:t>المستصوب</w:t>
      </w:r>
      <w:proofErr w:type="spellEnd"/>
      <w:r w:rsidR="00D52E1C" w:rsidRPr="002C00B3">
        <w:rPr>
          <w:rtl/>
          <w:lang w:val="en-GB" w:eastAsia="zh-TW"/>
        </w:rPr>
        <w:t>، إن أمكن، تقديم تقارير في مراحل مبكرة إلى فريق (أفرقة) عمل المجلس ذات الصلة.</w:t>
      </w:r>
    </w:p>
    <w:p w14:paraId="209F6588" w14:textId="160C2AF1" w:rsidR="00A61D27" w:rsidRPr="002C00B3" w:rsidRDefault="00A61D27" w:rsidP="002C00B3">
      <w:pPr>
        <w:rPr>
          <w:lang w:val="ar-SA" w:eastAsia="zh-TW" w:bidi="en-GB"/>
        </w:rPr>
      </w:pPr>
      <w:r w:rsidRPr="002C00B3">
        <w:rPr>
          <w:rtl/>
        </w:rPr>
        <w:t>3</w:t>
      </w:r>
      <w:r w:rsidRPr="002C00B3">
        <w:t>.</w:t>
      </w:r>
      <w:r w:rsidRPr="002C00B3">
        <w:rPr>
          <w:rtl/>
        </w:rPr>
        <w:t>8</w:t>
      </w:r>
      <w:r w:rsidRPr="002C00B3">
        <w:rPr>
          <w:rtl/>
        </w:rPr>
        <w:tab/>
      </w:r>
      <w:r w:rsidR="00D52E1C" w:rsidRPr="002C00B3">
        <w:rPr>
          <w:rtl/>
          <w:lang w:val="en-GB" w:eastAsia="zh-TW"/>
        </w:rPr>
        <w:t>وأعرب عضو المجلس من الهند عن اعتزازه بمركز الابتكار الذي افتتح في مكتب المنطقة في نيودلهي. وتشمل الجوانب التي تتطلب اهتمام إدارة الاتحاد عدم تعيين رئيس لمكتب المنطقة التابع للاتحاد في نيودلهي لأكثر من سنة ونصف السنة، مما أثر على عدد الأنشطة التي نُفذت. وعلى الرغم من تنفيذ عدد من الأنشطة المتنوعة المرحب بها في مركز الابتكار، بما في ذلك إدارة المخلفات الإلكترونية، والصحة الرقمية، وأنظمة الإنذار المبكر، هناك حاجة إلى المزيد.</w:t>
      </w:r>
    </w:p>
    <w:p w14:paraId="1E06D94A" w14:textId="3F1473AE" w:rsidR="00A61D27" w:rsidRPr="002C00B3" w:rsidRDefault="00A61D27" w:rsidP="002C00B3">
      <w:pPr>
        <w:rPr>
          <w:rtl/>
        </w:rPr>
      </w:pPr>
      <w:r w:rsidRPr="002C00B3">
        <w:rPr>
          <w:rtl/>
        </w:rPr>
        <w:t>3</w:t>
      </w:r>
      <w:r w:rsidRPr="002C00B3">
        <w:t>.</w:t>
      </w:r>
      <w:r w:rsidRPr="002C00B3">
        <w:rPr>
          <w:rtl/>
        </w:rPr>
        <w:t>9</w:t>
      </w:r>
      <w:r w:rsidRPr="002C00B3">
        <w:rPr>
          <w:rtl/>
        </w:rPr>
        <w:tab/>
      </w:r>
      <w:r w:rsidR="00D52E1C" w:rsidRPr="002C00B3">
        <w:rPr>
          <w:rtl/>
          <w:lang w:val="en-GB" w:eastAsia="zh-TW"/>
        </w:rPr>
        <w:t>وقال عضو المجلس من بولندا، متحدثاً بالنيابة عن 16 بلداً، إنه يفهم أن مكتب موسكو يعتزم تنظيم ورشة عمل بالتعاون مع طرف ثالث دعم نشاطاً ينتهك ميثاق الأمم المتحدة. وتمثل المكاتب الإقليمية الاتحاد ككل في كل منطقة من المناطق المعنية ومن المهم أن تتماشى أنشطتها مع قيم ومبادئ الاتحاد وميثاق الأمم المتحدة. وطلب من الأمينة العامة ضمان التزام المكاتب الإقليمية التزاماً صارماً بالمبادئ التوجيهية الداخلية للاتحاد عند اختيار الشركاء للأحداث وممارسة العناية الواجبة، ولا سيما عند التخطيط لإشراك أطراف ثالثة. وأعربت عضوة المجلس من بلغاريا عن تأييد وفدها للموقف الذي أعربت عنه البلدان الستة عشر.</w:t>
      </w:r>
    </w:p>
    <w:p w14:paraId="141CE4D7" w14:textId="509875EC" w:rsidR="00A61D27" w:rsidRPr="002C00B3" w:rsidRDefault="00A61D27" w:rsidP="002C00B3">
      <w:pPr>
        <w:rPr>
          <w:rtl/>
          <w:lang w:val="en-GB" w:eastAsia="zh-TW"/>
        </w:rPr>
      </w:pPr>
      <w:r w:rsidRPr="002C00B3">
        <w:t>10.</w:t>
      </w:r>
      <w:r w:rsidRPr="002C00B3">
        <w:rPr>
          <w:lang w:bidi="ar-SY"/>
        </w:rPr>
        <w:t>3</w:t>
      </w:r>
      <w:r w:rsidRPr="002C00B3">
        <w:rPr>
          <w:rtl/>
          <w:lang w:bidi="ar-SY"/>
        </w:rPr>
        <w:tab/>
      </w:r>
      <w:r w:rsidR="00D52E1C" w:rsidRPr="002C00B3">
        <w:rPr>
          <w:rtl/>
          <w:lang w:val="en-GB" w:eastAsia="zh-TW"/>
        </w:rPr>
        <w:t>قال الرئيس إن ممثل مكتب تنمية الاتصالات سيجيب على الأسئلة المطروحة في الجلسة العامة التالية.</w:t>
      </w:r>
    </w:p>
    <w:p w14:paraId="1AA6DFE0" w14:textId="494F094E" w:rsidR="00D52E1C" w:rsidRPr="00D52E1C" w:rsidRDefault="00D52E1C" w:rsidP="00D52E1C">
      <w:pPr>
        <w:spacing w:after="720"/>
        <w:rPr>
          <w:lang w:bidi="ar-SY"/>
        </w:rPr>
      </w:pPr>
      <w:r>
        <w:rPr>
          <w:lang w:eastAsia="zh-TW"/>
        </w:rPr>
        <w:t>11.1</w:t>
      </w:r>
      <w:r>
        <w:rPr>
          <w:rtl/>
          <w:lang w:eastAsia="zh-TW" w:bidi="ar-SY"/>
        </w:rPr>
        <w:tab/>
      </w:r>
      <w:r w:rsidRPr="006065FF">
        <w:rPr>
          <w:b/>
          <w:bCs/>
          <w:rtl/>
          <w:lang w:val="en-GB" w:eastAsia="zh-TW"/>
        </w:rPr>
        <w:t>واتُّفق</w:t>
      </w:r>
      <w:r w:rsidRPr="00BD7AA5">
        <w:rPr>
          <w:rtl/>
          <w:lang w:val="en-GB" w:eastAsia="zh-TW"/>
        </w:rPr>
        <w:t xml:space="preserve"> على ذلك.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03843" w14:paraId="6627B7D1" w14:textId="77777777" w:rsidTr="00E03843">
        <w:tc>
          <w:tcPr>
            <w:tcW w:w="4814" w:type="dxa"/>
          </w:tcPr>
          <w:p w14:paraId="1425214D" w14:textId="14954189" w:rsidR="00E03843" w:rsidRDefault="00E03843" w:rsidP="00E03843">
            <w:pPr>
              <w:jc w:val="left"/>
              <w:rPr>
                <w:rtl/>
                <w:lang w:bidi="ar-SY"/>
              </w:rPr>
            </w:pPr>
            <w:r>
              <w:rPr>
                <w:rFonts w:hint="cs"/>
                <w:rtl/>
                <w:lang w:bidi="ar-SY"/>
              </w:rPr>
              <w:t>الأمينة العامة</w:t>
            </w:r>
            <w:r>
              <w:rPr>
                <w:rtl/>
                <w:lang w:bidi="ar-SY"/>
              </w:rPr>
              <w:br/>
            </w:r>
            <w:r>
              <w:rPr>
                <w:rFonts w:hint="cs"/>
                <w:rtl/>
                <w:lang w:bidi="ar-SY"/>
              </w:rPr>
              <w:t xml:space="preserve">د. </w:t>
            </w:r>
            <w:proofErr w:type="spellStart"/>
            <w:r>
              <w:rPr>
                <w:rFonts w:hint="cs"/>
                <w:rtl/>
                <w:lang w:bidi="ar-SY"/>
              </w:rPr>
              <w:t>بوغدان</w:t>
            </w:r>
            <w:proofErr w:type="spellEnd"/>
            <w:r>
              <w:rPr>
                <w:rFonts w:hint="cs"/>
                <w:rtl/>
                <w:lang w:bidi="ar-SY"/>
              </w:rPr>
              <w:t>-مارتن</w:t>
            </w:r>
          </w:p>
        </w:tc>
        <w:tc>
          <w:tcPr>
            <w:tcW w:w="4815" w:type="dxa"/>
          </w:tcPr>
          <w:p w14:paraId="6F7B3EDE" w14:textId="447E5D37" w:rsidR="00E03843" w:rsidRDefault="00E03843" w:rsidP="00123DFC">
            <w:pPr>
              <w:rPr>
                <w:rtl/>
                <w:lang w:bidi="ar-SY"/>
              </w:rPr>
            </w:pPr>
            <w:r>
              <w:rPr>
                <w:rFonts w:hint="cs"/>
                <w:rtl/>
                <w:lang w:bidi="ar-SY"/>
              </w:rPr>
              <w:t>الرئيس:</w:t>
            </w:r>
            <w:r>
              <w:rPr>
                <w:rtl/>
                <w:lang w:bidi="ar-SY"/>
              </w:rPr>
              <w:br/>
            </w:r>
            <w:r>
              <w:rPr>
                <w:rFonts w:hint="cs"/>
                <w:rtl/>
                <w:lang w:bidi="ar-SY"/>
              </w:rPr>
              <w:t xml:space="preserve">ف. </w:t>
            </w:r>
            <w:proofErr w:type="spellStart"/>
            <w:r>
              <w:rPr>
                <w:rFonts w:hint="cs"/>
                <w:rtl/>
                <w:lang w:bidi="ar-SY"/>
              </w:rPr>
              <w:t>سوفاج</w:t>
            </w:r>
            <w:proofErr w:type="spellEnd"/>
          </w:p>
        </w:tc>
      </w:tr>
    </w:tbl>
    <w:p w14:paraId="1C11626C" w14:textId="2A85D780" w:rsidR="00F50E3F" w:rsidRPr="00907B08" w:rsidRDefault="00F50E3F" w:rsidP="00622D23">
      <w:pPr>
        <w:spacing w:before="600"/>
        <w:jc w:val="center"/>
        <w:rPr>
          <w:sz w:val="24"/>
          <w:szCs w:val="24"/>
          <w:rtl/>
        </w:rPr>
      </w:pPr>
    </w:p>
    <w:sectPr w:rsidR="00F50E3F" w:rsidRPr="00907B08" w:rsidSect="006C3242">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0F101" w14:textId="77777777" w:rsidR="0050663D" w:rsidRDefault="0050663D" w:rsidP="006C3242">
      <w:pPr>
        <w:spacing w:before="0" w:line="240" w:lineRule="auto"/>
      </w:pPr>
      <w:r>
        <w:separator/>
      </w:r>
    </w:p>
  </w:endnote>
  <w:endnote w:type="continuationSeparator" w:id="0">
    <w:p w14:paraId="3656E2F5" w14:textId="77777777" w:rsidR="0050663D" w:rsidRDefault="0050663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16BCF77" w14:textId="77777777" w:rsidTr="00357086">
      <w:trPr>
        <w:jc w:val="center"/>
      </w:trPr>
      <w:tc>
        <w:tcPr>
          <w:tcW w:w="868" w:type="pct"/>
          <w:vAlign w:val="center"/>
        </w:tcPr>
        <w:p w14:paraId="696ACC32"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1288802" w14:textId="5EFF49E4"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431669">
            <w:rPr>
              <w:rFonts w:ascii="Calibri" w:hAnsi="Calibri" w:cs="Arial"/>
              <w:bCs/>
              <w:color w:val="7F7F7F"/>
              <w:sz w:val="18"/>
            </w:rPr>
            <w:t>111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AF6998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002EDC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9A7B063" w14:textId="77777777" w:rsidTr="00F50E3F">
      <w:trPr>
        <w:jc w:val="center"/>
      </w:trPr>
      <w:tc>
        <w:tcPr>
          <w:tcW w:w="868" w:type="pct"/>
          <w:vAlign w:val="center"/>
        </w:tcPr>
        <w:p w14:paraId="2433AB2A" w14:textId="77777777" w:rsidR="007B0AA0" w:rsidRPr="007B0AA0" w:rsidRDefault="00622D23"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D3A1FE7" w14:textId="55B036A7"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2C00B3">
            <w:rPr>
              <w:rFonts w:ascii="Calibri" w:hAnsi="Calibri" w:cs="Arial"/>
              <w:bCs/>
              <w:color w:val="7F7F7F"/>
              <w:sz w:val="18"/>
            </w:rPr>
            <w:t>111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E6E33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126A607"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AB9B" w14:textId="77777777" w:rsidR="0050663D" w:rsidRDefault="0050663D" w:rsidP="006C3242">
      <w:pPr>
        <w:spacing w:before="0" w:line="240" w:lineRule="auto"/>
      </w:pPr>
      <w:r>
        <w:separator/>
      </w:r>
    </w:p>
  </w:footnote>
  <w:footnote w:type="continuationSeparator" w:id="0">
    <w:p w14:paraId="643B7112" w14:textId="77777777" w:rsidR="0050663D" w:rsidRDefault="0050663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BDD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4F4B74" wp14:editId="020E7B8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48D1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0A4DFF4" wp14:editId="5030502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D"/>
    <w:rsid w:val="00002738"/>
    <w:rsid w:val="0003181F"/>
    <w:rsid w:val="00033AE3"/>
    <w:rsid w:val="0004276B"/>
    <w:rsid w:val="000478D5"/>
    <w:rsid w:val="00047AE9"/>
    <w:rsid w:val="00050117"/>
    <w:rsid w:val="0006392C"/>
    <w:rsid w:val="0006468A"/>
    <w:rsid w:val="000779EC"/>
    <w:rsid w:val="00090574"/>
    <w:rsid w:val="0009186A"/>
    <w:rsid w:val="0009528C"/>
    <w:rsid w:val="000A6040"/>
    <w:rsid w:val="000C1C0E"/>
    <w:rsid w:val="000C548A"/>
    <w:rsid w:val="000E69AD"/>
    <w:rsid w:val="000F0BE4"/>
    <w:rsid w:val="000F7A66"/>
    <w:rsid w:val="00103076"/>
    <w:rsid w:val="00103E39"/>
    <w:rsid w:val="001044B9"/>
    <w:rsid w:val="00105FDB"/>
    <w:rsid w:val="00123DFC"/>
    <w:rsid w:val="00136EDC"/>
    <w:rsid w:val="001375BD"/>
    <w:rsid w:val="00147689"/>
    <w:rsid w:val="00150498"/>
    <w:rsid w:val="001719A7"/>
    <w:rsid w:val="0019548E"/>
    <w:rsid w:val="00195B5F"/>
    <w:rsid w:val="001A45E3"/>
    <w:rsid w:val="001C0169"/>
    <w:rsid w:val="001C0919"/>
    <w:rsid w:val="001D1D50"/>
    <w:rsid w:val="001D6745"/>
    <w:rsid w:val="001E446E"/>
    <w:rsid w:val="001E4C87"/>
    <w:rsid w:val="001F2A62"/>
    <w:rsid w:val="001F4FF2"/>
    <w:rsid w:val="0020311A"/>
    <w:rsid w:val="0020382C"/>
    <w:rsid w:val="00207498"/>
    <w:rsid w:val="002154EE"/>
    <w:rsid w:val="00226931"/>
    <w:rsid w:val="002276D2"/>
    <w:rsid w:val="0023283D"/>
    <w:rsid w:val="002370EC"/>
    <w:rsid w:val="002507C0"/>
    <w:rsid w:val="0026373E"/>
    <w:rsid w:val="00271C43"/>
    <w:rsid w:val="00290728"/>
    <w:rsid w:val="002978F4"/>
    <w:rsid w:val="002A582B"/>
    <w:rsid w:val="002B028D"/>
    <w:rsid w:val="002B06AB"/>
    <w:rsid w:val="002C00B3"/>
    <w:rsid w:val="002C3EBC"/>
    <w:rsid w:val="002D0A36"/>
    <w:rsid w:val="002D1074"/>
    <w:rsid w:val="002E1992"/>
    <w:rsid w:val="002E6541"/>
    <w:rsid w:val="00303857"/>
    <w:rsid w:val="0032050D"/>
    <w:rsid w:val="00334924"/>
    <w:rsid w:val="003409BC"/>
    <w:rsid w:val="003527D9"/>
    <w:rsid w:val="00357185"/>
    <w:rsid w:val="003610EC"/>
    <w:rsid w:val="00365D26"/>
    <w:rsid w:val="003766D1"/>
    <w:rsid w:val="00377AC7"/>
    <w:rsid w:val="00380BCB"/>
    <w:rsid w:val="00383829"/>
    <w:rsid w:val="00387876"/>
    <w:rsid w:val="003947AF"/>
    <w:rsid w:val="00395078"/>
    <w:rsid w:val="003A270C"/>
    <w:rsid w:val="003C0F85"/>
    <w:rsid w:val="003C75BC"/>
    <w:rsid w:val="003D0175"/>
    <w:rsid w:val="003F47C1"/>
    <w:rsid w:val="003F4B29"/>
    <w:rsid w:val="00401C32"/>
    <w:rsid w:val="00416D91"/>
    <w:rsid w:val="0042686F"/>
    <w:rsid w:val="00431669"/>
    <w:rsid w:val="004317D8"/>
    <w:rsid w:val="00434183"/>
    <w:rsid w:val="00443869"/>
    <w:rsid w:val="00447F32"/>
    <w:rsid w:val="00474601"/>
    <w:rsid w:val="00476EA0"/>
    <w:rsid w:val="00482211"/>
    <w:rsid w:val="00482357"/>
    <w:rsid w:val="004928E8"/>
    <w:rsid w:val="004B14F7"/>
    <w:rsid w:val="004B2F72"/>
    <w:rsid w:val="004B5A41"/>
    <w:rsid w:val="004B7334"/>
    <w:rsid w:val="004C2972"/>
    <w:rsid w:val="004C4CA0"/>
    <w:rsid w:val="004C7A59"/>
    <w:rsid w:val="004D1BA4"/>
    <w:rsid w:val="004D7EAC"/>
    <w:rsid w:val="004E11DC"/>
    <w:rsid w:val="004E5C49"/>
    <w:rsid w:val="004F5FFF"/>
    <w:rsid w:val="0050128E"/>
    <w:rsid w:val="0050663D"/>
    <w:rsid w:val="00525DDD"/>
    <w:rsid w:val="00537673"/>
    <w:rsid w:val="005409AC"/>
    <w:rsid w:val="0055516A"/>
    <w:rsid w:val="00562A38"/>
    <w:rsid w:val="005743C1"/>
    <w:rsid w:val="00575014"/>
    <w:rsid w:val="0058491B"/>
    <w:rsid w:val="00592EA5"/>
    <w:rsid w:val="005A3170"/>
    <w:rsid w:val="005B6C06"/>
    <w:rsid w:val="005C748C"/>
    <w:rsid w:val="005D4206"/>
    <w:rsid w:val="005E3836"/>
    <w:rsid w:val="005E452F"/>
    <w:rsid w:val="005F25A4"/>
    <w:rsid w:val="00600784"/>
    <w:rsid w:val="006065FF"/>
    <w:rsid w:val="00622D23"/>
    <w:rsid w:val="006429A5"/>
    <w:rsid w:val="00642E87"/>
    <w:rsid w:val="00654EE4"/>
    <w:rsid w:val="00665222"/>
    <w:rsid w:val="00671113"/>
    <w:rsid w:val="00677396"/>
    <w:rsid w:val="0069200F"/>
    <w:rsid w:val="006A308A"/>
    <w:rsid w:val="006A65CB"/>
    <w:rsid w:val="006C3242"/>
    <w:rsid w:val="006C7CC0"/>
    <w:rsid w:val="006D2B12"/>
    <w:rsid w:val="006D644B"/>
    <w:rsid w:val="006D6C45"/>
    <w:rsid w:val="006E5E42"/>
    <w:rsid w:val="006F63F7"/>
    <w:rsid w:val="00701FB9"/>
    <w:rsid w:val="007025C7"/>
    <w:rsid w:val="0070395F"/>
    <w:rsid w:val="00706D7A"/>
    <w:rsid w:val="00722F0D"/>
    <w:rsid w:val="00737842"/>
    <w:rsid w:val="0074420E"/>
    <w:rsid w:val="0075551E"/>
    <w:rsid w:val="007641BA"/>
    <w:rsid w:val="007653BA"/>
    <w:rsid w:val="007661FA"/>
    <w:rsid w:val="00773E30"/>
    <w:rsid w:val="00783E26"/>
    <w:rsid w:val="007928FD"/>
    <w:rsid w:val="007939C2"/>
    <w:rsid w:val="007940D2"/>
    <w:rsid w:val="007A058C"/>
    <w:rsid w:val="007A1F12"/>
    <w:rsid w:val="007A36EF"/>
    <w:rsid w:val="007A60FA"/>
    <w:rsid w:val="007B0AA0"/>
    <w:rsid w:val="007B3BBB"/>
    <w:rsid w:val="007B4EA6"/>
    <w:rsid w:val="007C3BC7"/>
    <w:rsid w:val="007C3BCD"/>
    <w:rsid w:val="007C4B7E"/>
    <w:rsid w:val="007D4ACF"/>
    <w:rsid w:val="007D7E36"/>
    <w:rsid w:val="007E45B4"/>
    <w:rsid w:val="007E4B13"/>
    <w:rsid w:val="007E7649"/>
    <w:rsid w:val="007F0787"/>
    <w:rsid w:val="007F771B"/>
    <w:rsid w:val="00810B7B"/>
    <w:rsid w:val="008118A9"/>
    <w:rsid w:val="00821689"/>
    <w:rsid w:val="0082358A"/>
    <w:rsid w:val="008235CD"/>
    <w:rsid w:val="008247DE"/>
    <w:rsid w:val="00825223"/>
    <w:rsid w:val="00833356"/>
    <w:rsid w:val="008339C0"/>
    <w:rsid w:val="00840B10"/>
    <w:rsid w:val="008507A5"/>
    <w:rsid w:val="008513CB"/>
    <w:rsid w:val="00853649"/>
    <w:rsid w:val="0087171D"/>
    <w:rsid w:val="008845F2"/>
    <w:rsid w:val="00890BEC"/>
    <w:rsid w:val="008A7F84"/>
    <w:rsid w:val="008B79AC"/>
    <w:rsid w:val="008C2F5C"/>
    <w:rsid w:val="008D6B50"/>
    <w:rsid w:val="008D7597"/>
    <w:rsid w:val="008F277D"/>
    <w:rsid w:val="0090043E"/>
    <w:rsid w:val="00907B08"/>
    <w:rsid w:val="0091702E"/>
    <w:rsid w:val="00921947"/>
    <w:rsid w:val="00923B0C"/>
    <w:rsid w:val="0094021C"/>
    <w:rsid w:val="00952F86"/>
    <w:rsid w:val="00962891"/>
    <w:rsid w:val="00974B51"/>
    <w:rsid w:val="009804FD"/>
    <w:rsid w:val="00982B28"/>
    <w:rsid w:val="009B22F2"/>
    <w:rsid w:val="009C5160"/>
    <w:rsid w:val="009D313F"/>
    <w:rsid w:val="009D4B31"/>
    <w:rsid w:val="009D53B0"/>
    <w:rsid w:val="009E2586"/>
    <w:rsid w:val="009E5137"/>
    <w:rsid w:val="009E6C10"/>
    <w:rsid w:val="00A00B67"/>
    <w:rsid w:val="00A01DA6"/>
    <w:rsid w:val="00A13BD6"/>
    <w:rsid w:val="00A2377E"/>
    <w:rsid w:val="00A36F7D"/>
    <w:rsid w:val="00A47A5A"/>
    <w:rsid w:val="00A61D27"/>
    <w:rsid w:val="00A6683B"/>
    <w:rsid w:val="00A7011F"/>
    <w:rsid w:val="00A7220E"/>
    <w:rsid w:val="00A75F46"/>
    <w:rsid w:val="00A87F11"/>
    <w:rsid w:val="00A97F94"/>
    <w:rsid w:val="00AA7EA2"/>
    <w:rsid w:val="00AE22F5"/>
    <w:rsid w:val="00B03099"/>
    <w:rsid w:val="00B05BC8"/>
    <w:rsid w:val="00B244A9"/>
    <w:rsid w:val="00B34D3C"/>
    <w:rsid w:val="00B42469"/>
    <w:rsid w:val="00B42961"/>
    <w:rsid w:val="00B46D71"/>
    <w:rsid w:val="00B52C7B"/>
    <w:rsid w:val="00B6080B"/>
    <w:rsid w:val="00B63331"/>
    <w:rsid w:val="00B64B47"/>
    <w:rsid w:val="00B65563"/>
    <w:rsid w:val="00B75B22"/>
    <w:rsid w:val="00B80B0C"/>
    <w:rsid w:val="00B84B59"/>
    <w:rsid w:val="00B91B14"/>
    <w:rsid w:val="00B9270E"/>
    <w:rsid w:val="00B95654"/>
    <w:rsid w:val="00B95A65"/>
    <w:rsid w:val="00B96308"/>
    <w:rsid w:val="00BA783D"/>
    <w:rsid w:val="00BC2430"/>
    <w:rsid w:val="00BC3741"/>
    <w:rsid w:val="00BD4442"/>
    <w:rsid w:val="00BE3572"/>
    <w:rsid w:val="00C0021A"/>
    <w:rsid w:val="00C002DE"/>
    <w:rsid w:val="00C049FB"/>
    <w:rsid w:val="00C12191"/>
    <w:rsid w:val="00C364FD"/>
    <w:rsid w:val="00C51744"/>
    <w:rsid w:val="00C53B70"/>
    <w:rsid w:val="00C53BF8"/>
    <w:rsid w:val="00C629FA"/>
    <w:rsid w:val="00C65941"/>
    <w:rsid w:val="00C66157"/>
    <w:rsid w:val="00C674FE"/>
    <w:rsid w:val="00C67501"/>
    <w:rsid w:val="00C71F3D"/>
    <w:rsid w:val="00C75633"/>
    <w:rsid w:val="00CA050F"/>
    <w:rsid w:val="00CA346D"/>
    <w:rsid w:val="00CA72B6"/>
    <w:rsid w:val="00CC06E4"/>
    <w:rsid w:val="00CC391C"/>
    <w:rsid w:val="00CD0A41"/>
    <w:rsid w:val="00CD758E"/>
    <w:rsid w:val="00CD7824"/>
    <w:rsid w:val="00CE2EE1"/>
    <w:rsid w:val="00CE3349"/>
    <w:rsid w:val="00CE34E5"/>
    <w:rsid w:val="00CE36E5"/>
    <w:rsid w:val="00CE464C"/>
    <w:rsid w:val="00CF1783"/>
    <w:rsid w:val="00CF27F5"/>
    <w:rsid w:val="00CF3FFD"/>
    <w:rsid w:val="00D10CCF"/>
    <w:rsid w:val="00D13941"/>
    <w:rsid w:val="00D17B66"/>
    <w:rsid w:val="00D21BDA"/>
    <w:rsid w:val="00D3408A"/>
    <w:rsid w:val="00D43BD1"/>
    <w:rsid w:val="00D51570"/>
    <w:rsid w:val="00D52E1C"/>
    <w:rsid w:val="00D566FF"/>
    <w:rsid w:val="00D63735"/>
    <w:rsid w:val="00D6514E"/>
    <w:rsid w:val="00D676E7"/>
    <w:rsid w:val="00D72AD8"/>
    <w:rsid w:val="00D77D0F"/>
    <w:rsid w:val="00D845B3"/>
    <w:rsid w:val="00DA1CF0"/>
    <w:rsid w:val="00DC1E02"/>
    <w:rsid w:val="00DC24B4"/>
    <w:rsid w:val="00DC2A1E"/>
    <w:rsid w:val="00DC40E6"/>
    <w:rsid w:val="00DC5FB0"/>
    <w:rsid w:val="00DD0F10"/>
    <w:rsid w:val="00DD786F"/>
    <w:rsid w:val="00DF16DC"/>
    <w:rsid w:val="00DF5903"/>
    <w:rsid w:val="00E03843"/>
    <w:rsid w:val="00E2114F"/>
    <w:rsid w:val="00E234EA"/>
    <w:rsid w:val="00E31236"/>
    <w:rsid w:val="00E32234"/>
    <w:rsid w:val="00E45211"/>
    <w:rsid w:val="00E473C5"/>
    <w:rsid w:val="00E5155C"/>
    <w:rsid w:val="00E52D14"/>
    <w:rsid w:val="00E56CB1"/>
    <w:rsid w:val="00E61BE8"/>
    <w:rsid w:val="00E66B32"/>
    <w:rsid w:val="00E67CE3"/>
    <w:rsid w:val="00E70849"/>
    <w:rsid w:val="00E769E8"/>
    <w:rsid w:val="00E829D1"/>
    <w:rsid w:val="00E85A35"/>
    <w:rsid w:val="00E92863"/>
    <w:rsid w:val="00E95304"/>
    <w:rsid w:val="00E95327"/>
    <w:rsid w:val="00EA16DC"/>
    <w:rsid w:val="00EA41AA"/>
    <w:rsid w:val="00EB402E"/>
    <w:rsid w:val="00EB796D"/>
    <w:rsid w:val="00EC52D3"/>
    <w:rsid w:val="00ED18A3"/>
    <w:rsid w:val="00ED278D"/>
    <w:rsid w:val="00EF1A40"/>
    <w:rsid w:val="00F00F02"/>
    <w:rsid w:val="00F058DC"/>
    <w:rsid w:val="00F11167"/>
    <w:rsid w:val="00F24FC4"/>
    <w:rsid w:val="00F2676C"/>
    <w:rsid w:val="00F30C74"/>
    <w:rsid w:val="00F363FE"/>
    <w:rsid w:val="00F50E3F"/>
    <w:rsid w:val="00F620FB"/>
    <w:rsid w:val="00F70D09"/>
    <w:rsid w:val="00F727FC"/>
    <w:rsid w:val="00F73EE5"/>
    <w:rsid w:val="00F84366"/>
    <w:rsid w:val="00F85089"/>
    <w:rsid w:val="00F86D6D"/>
    <w:rsid w:val="00F928AF"/>
    <w:rsid w:val="00F974C5"/>
    <w:rsid w:val="00FA1849"/>
    <w:rsid w:val="00FA6F46"/>
    <w:rsid w:val="00FC4592"/>
    <w:rsid w:val="00FD3F8A"/>
    <w:rsid w:val="00FD4770"/>
    <w:rsid w:val="00FD527F"/>
    <w:rsid w:val="00FE5872"/>
    <w:rsid w:val="00FE5E32"/>
    <w:rsid w:val="00FE6C37"/>
    <w:rsid w:val="00FE7FCA"/>
    <w:rsid w:val="00FF5B68"/>
    <w:rsid w:val="00FF7B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9D507"/>
  <w15:chartTrackingRefBased/>
  <w15:docId w15:val="{82B6ED39-320A-451A-B319-23499FED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3610EC"/>
    <w:rPr>
      <w:color w:val="954F72" w:themeColor="followedHyperlink"/>
      <w:u w:val="single"/>
    </w:rPr>
  </w:style>
  <w:style w:type="character" w:styleId="UnresolvedMention">
    <w:name w:val="Unresolved Mention"/>
    <w:basedOn w:val="DefaultParagraphFont"/>
    <w:uiPriority w:val="99"/>
    <w:semiHidden/>
    <w:unhideWhenUsed/>
    <w:rsid w:val="00FA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52/en" TargetMode="External"/><Relationship Id="rId13" Type="http://schemas.openxmlformats.org/officeDocument/2006/relationships/hyperlink" Target="https://www.itu.int/md/S24-CL-C-0098/en" TargetMode="External"/><Relationship Id="rId18" Type="http://schemas.openxmlformats.org/officeDocument/2006/relationships/hyperlink" Target="https://www.itu.int/md/S24-CL-C-0079/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4-CL-C-0079/en" TargetMode="External"/><Relationship Id="rId17" Type="http://schemas.openxmlformats.org/officeDocument/2006/relationships/hyperlink" Target="https://www.itu.int/md/S24-CL-C-0025/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4-CL-C-0027/en" TargetMode="External"/><Relationship Id="rId20" Type="http://schemas.openxmlformats.org/officeDocument/2006/relationships/hyperlink" Target="https://www.itu.int/md/S24-CL-C-010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25/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4-CL-C-0052/en" TargetMode="External"/><Relationship Id="rId23" Type="http://schemas.openxmlformats.org/officeDocument/2006/relationships/footer" Target="footer2.xml"/><Relationship Id="rId10" Type="http://schemas.openxmlformats.org/officeDocument/2006/relationships/hyperlink" Target="https://www.itu.int/md/S24-CL-C-0027/en" TargetMode="External"/><Relationship Id="rId19" Type="http://schemas.openxmlformats.org/officeDocument/2006/relationships/hyperlink" Target="https://www.itu.int/md/S24-CL-C-0098/en" TargetMode="External"/><Relationship Id="rId4" Type="http://schemas.openxmlformats.org/officeDocument/2006/relationships/settings" Target="settings.xml"/><Relationship Id="rId9" Type="http://schemas.openxmlformats.org/officeDocument/2006/relationships/hyperlink" Target="https://www.itu.int/md/S24-CL-C-0073/en" TargetMode="External"/><Relationship Id="rId14" Type="http://schemas.openxmlformats.org/officeDocument/2006/relationships/hyperlink" Target="https://www.itu.int/md/S24-CL-C-0100/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ITU Council 2024</dc:subject>
  <cp:keywords>C2024, C24, Council-24</cp:keywords>
  <dc:description/>
  <cp:revision>2</cp:revision>
  <dcterms:created xsi:type="dcterms:W3CDTF">2024-09-04T06:22:00Z</dcterms:created>
  <dcterms:modified xsi:type="dcterms:W3CDTF">2024-09-04T06:22:00Z</dcterms:modified>
  <cp:category>Conference document</cp:category>
</cp:coreProperties>
</file>