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1002E" w14:paraId="0043AC80" w14:textId="77777777" w:rsidTr="00AD3606">
        <w:trPr>
          <w:cantSplit/>
          <w:trHeight w:val="23"/>
        </w:trPr>
        <w:tc>
          <w:tcPr>
            <w:tcW w:w="3969" w:type="dxa"/>
            <w:vMerge w:val="restart"/>
            <w:tcMar>
              <w:left w:w="0" w:type="dxa"/>
            </w:tcMar>
          </w:tcPr>
          <w:p w14:paraId="60A806D3" w14:textId="33A86F31" w:rsidR="00AD3606" w:rsidRPr="00D1002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367610A" w:rsidR="00AD3606" w:rsidRPr="00D1002E" w:rsidRDefault="00AD3606" w:rsidP="00472BAD">
            <w:pPr>
              <w:tabs>
                <w:tab w:val="left" w:pos="851"/>
              </w:tabs>
              <w:spacing w:before="0" w:line="240" w:lineRule="atLeast"/>
              <w:jc w:val="right"/>
              <w:rPr>
                <w:b/>
              </w:rPr>
            </w:pPr>
            <w:r w:rsidRPr="00D1002E">
              <w:rPr>
                <w:b/>
              </w:rPr>
              <w:t>Document C2</w:t>
            </w:r>
            <w:r w:rsidR="00E23618" w:rsidRPr="00D1002E">
              <w:rPr>
                <w:b/>
              </w:rPr>
              <w:t>4</w:t>
            </w:r>
            <w:r w:rsidRPr="00D1002E">
              <w:rPr>
                <w:b/>
              </w:rPr>
              <w:t>/</w:t>
            </w:r>
            <w:r w:rsidR="009D4F14" w:rsidRPr="00D1002E">
              <w:rPr>
                <w:b/>
              </w:rPr>
              <w:t>110</w:t>
            </w:r>
            <w:r w:rsidRPr="00D1002E">
              <w:rPr>
                <w:b/>
              </w:rPr>
              <w:t>-E</w:t>
            </w:r>
          </w:p>
        </w:tc>
      </w:tr>
      <w:tr w:rsidR="00AD3606" w:rsidRPr="00D1002E" w14:paraId="789B45BA" w14:textId="77777777" w:rsidTr="00AD3606">
        <w:trPr>
          <w:cantSplit/>
        </w:trPr>
        <w:tc>
          <w:tcPr>
            <w:tcW w:w="3969" w:type="dxa"/>
            <w:vMerge/>
          </w:tcPr>
          <w:p w14:paraId="3F3D4E17" w14:textId="77777777" w:rsidR="00AD3606" w:rsidRPr="00D1002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CAC4FEA" w:rsidR="00AD3606" w:rsidRPr="00D1002E" w:rsidRDefault="009B5302" w:rsidP="00AD3606">
            <w:pPr>
              <w:tabs>
                <w:tab w:val="left" w:pos="851"/>
              </w:tabs>
              <w:spacing w:before="0"/>
              <w:jc w:val="right"/>
              <w:rPr>
                <w:b/>
              </w:rPr>
            </w:pPr>
            <w:r>
              <w:rPr>
                <w:b/>
              </w:rPr>
              <w:t>29</w:t>
            </w:r>
            <w:r w:rsidR="00DF1D53">
              <w:rPr>
                <w:b/>
              </w:rPr>
              <w:t xml:space="preserve"> August</w:t>
            </w:r>
            <w:r w:rsidR="00DF1D53" w:rsidRPr="00D1002E">
              <w:rPr>
                <w:b/>
              </w:rPr>
              <w:t xml:space="preserve"> </w:t>
            </w:r>
            <w:r w:rsidR="00AD3606" w:rsidRPr="00D1002E">
              <w:rPr>
                <w:b/>
              </w:rPr>
              <w:t>202</w:t>
            </w:r>
            <w:r w:rsidR="00E23618" w:rsidRPr="00D1002E">
              <w:rPr>
                <w:b/>
              </w:rPr>
              <w:t>4</w:t>
            </w:r>
          </w:p>
        </w:tc>
      </w:tr>
      <w:tr w:rsidR="00AD3606" w:rsidRPr="00D1002E" w14:paraId="58A84C4A" w14:textId="77777777" w:rsidTr="00AD3606">
        <w:trPr>
          <w:cantSplit/>
          <w:trHeight w:val="23"/>
        </w:trPr>
        <w:tc>
          <w:tcPr>
            <w:tcW w:w="3969" w:type="dxa"/>
            <w:vMerge/>
          </w:tcPr>
          <w:p w14:paraId="77CEDDAA" w14:textId="77777777" w:rsidR="00AD3606" w:rsidRPr="00D1002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D1002E" w:rsidRDefault="00AD3606" w:rsidP="00AD3606">
            <w:pPr>
              <w:tabs>
                <w:tab w:val="left" w:pos="851"/>
              </w:tabs>
              <w:spacing w:before="0" w:line="240" w:lineRule="atLeast"/>
              <w:jc w:val="right"/>
              <w:rPr>
                <w:b/>
              </w:rPr>
            </w:pPr>
            <w:r w:rsidRPr="00D1002E">
              <w:rPr>
                <w:b/>
              </w:rPr>
              <w:t>Original: English</w:t>
            </w:r>
          </w:p>
        </w:tc>
      </w:tr>
      <w:tr w:rsidR="00472BAD" w:rsidRPr="00D1002E" w14:paraId="12C5EF5F" w14:textId="77777777" w:rsidTr="00AD3606">
        <w:trPr>
          <w:cantSplit/>
          <w:trHeight w:val="23"/>
        </w:trPr>
        <w:tc>
          <w:tcPr>
            <w:tcW w:w="3969" w:type="dxa"/>
          </w:tcPr>
          <w:p w14:paraId="4B839BA2" w14:textId="77777777" w:rsidR="00472BAD" w:rsidRPr="00D1002E" w:rsidRDefault="00472BAD" w:rsidP="00AD3606">
            <w:pPr>
              <w:tabs>
                <w:tab w:val="left" w:pos="851"/>
              </w:tabs>
              <w:spacing w:line="240" w:lineRule="atLeast"/>
              <w:rPr>
                <w:b/>
              </w:rPr>
            </w:pPr>
          </w:p>
        </w:tc>
        <w:tc>
          <w:tcPr>
            <w:tcW w:w="5245" w:type="dxa"/>
          </w:tcPr>
          <w:p w14:paraId="12F66D25" w14:textId="77777777" w:rsidR="00472BAD" w:rsidRPr="00D1002E" w:rsidRDefault="00472BAD" w:rsidP="00AD3606">
            <w:pPr>
              <w:tabs>
                <w:tab w:val="left" w:pos="851"/>
              </w:tabs>
              <w:spacing w:before="0" w:line="240" w:lineRule="atLeast"/>
              <w:jc w:val="right"/>
              <w:rPr>
                <w:b/>
              </w:rPr>
            </w:pPr>
          </w:p>
        </w:tc>
      </w:tr>
      <w:tr w:rsidR="007244B9" w:rsidRPr="00D1002E" w14:paraId="54F40449" w14:textId="77777777">
        <w:trPr>
          <w:cantSplit/>
          <w:trHeight w:val="23"/>
        </w:trPr>
        <w:tc>
          <w:tcPr>
            <w:tcW w:w="9214" w:type="dxa"/>
            <w:gridSpan w:val="2"/>
          </w:tcPr>
          <w:p w14:paraId="26A57B8C" w14:textId="77777777" w:rsidR="007244B9" w:rsidRPr="00784DC3"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784DC3">
              <w:rPr>
                <w:b/>
                <w:bCs/>
                <w:sz w:val="34"/>
                <w:szCs w:val="34"/>
              </w:rPr>
              <w:t>SUMMARY RECORD</w:t>
            </w:r>
          </w:p>
          <w:p w14:paraId="35817936" w14:textId="77777777" w:rsidR="007244B9" w:rsidRPr="00784DC3"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784DC3">
              <w:rPr>
                <w:b/>
                <w:bCs/>
                <w:sz w:val="34"/>
                <w:szCs w:val="34"/>
              </w:rPr>
              <w:t>OF THE</w:t>
            </w:r>
          </w:p>
          <w:p w14:paraId="3C599D4A" w14:textId="4313CDCE" w:rsidR="007244B9" w:rsidRPr="00D1002E" w:rsidRDefault="007244B9" w:rsidP="008F42DC">
            <w:pPr>
              <w:tabs>
                <w:tab w:val="left" w:pos="851"/>
              </w:tabs>
              <w:spacing w:after="240" w:line="240" w:lineRule="atLeast"/>
              <w:jc w:val="center"/>
              <w:rPr>
                <w:b/>
              </w:rPr>
            </w:pPr>
            <w:r w:rsidRPr="00784DC3">
              <w:rPr>
                <w:b/>
                <w:bCs/>
                <w:sz w:val="34"/>
                <w:szCs w:val="34"/>
              </w:rPr>
              <w:t>INAUGURAL PLENARY MEETING</w:t>
            </w:r>
          </w:p>
        </w:tc>
      </w:tr>
      <w:tr w:rsidR="007244B9" w:rsidRPr="00D1002E" w14:paraId="66DF5894" w14:textId="77777777">
        <w:trPr>
          <w:cantSplit/>
          <w:trHeight w:val="23"/>
        </w:trPr>
        <w:tc>
          <w:tcPr>
            <w:tcW w:w="9214" w:type="dxa"/>
            <w:gridSpan w:val="2"/>
          </w:tcPr>
          <w:p w14:paraId="75F88B8B" w14:textId="77777777" w:rsidR="007244B9" w:rsidRPr="00784DC3" w:rsidRDefault="007244B9"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784DC3">
              <w:t>Tuesday, 4 June 2024, from 0930 to 1240 hours</w:t>
            </w:r>
          </w:p>
          <w:p w14:paraId="7C47BB0A" w14:textId="5B0E3C8B" w:rsidR="007244B9" w:rsidRPr="00D1002E" w:rsidRDefault="007244B9" w:rsidP="007244B9">
            <w:pPr>
              <w:tabs>
                <w:tab w:val="left" w:pos="851"/>
              </w:tabs>
              <w:spacing w:after="240" w:line="240" w:lineRule="atLeast"/>
              <w:jc w:val="center"/>
              <w:rPr>
                <w:b/>
              </w:rPr>
            </w:pPr>
            <w:r w:rsidRPr="00784DC3">
              <w:rPr>
                <w:b/>
                <w:bCs/>
              </w:rPr>
              <w:t>Chair</w:t>
            </w:r>
            <w:r w:rsidRPr="00784DC3">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D1002E" w14:paraId="14B76029" w14:textId="77777777" w:rsidTr="007244B9">
        <w:tc>
          <w:tcPr>
            <w:tcW w:w="242" w:type="pct"/>
          </w:tcPr>
          <w:p w14:paraId="7F154504" w14:textId="77777777" w:rsidR="007244B9" w:rsidRPr="00784DC3" w:rsidRDefault="007244B9" w:rsidP="007244B9">
            <w:pPr>
              <w:spacing w:before="480"/>
              <w:rPr>
                <w:b/>
                <w:bCs/>
                <w:szCs w:val="24"/>
              </w:rPr>
            </w:pPr>
            <w:bookmarkStart w:id="8" w:name="_Hlk141438382"/>
            <w:bookmarkStart w:id="9" w:name="_Hlk133421428"/>
            <w:bookmarkEnd w:id="2"/>
            <w:bookmarkEnd w:id="7"/>
            <w:r w:rsidRPr="00784DC3">
              <w:rPr>
                <w:b/>
                <w:bCs/>
                <w:szCs w:val="24"/>
              </w:rPr>
              <w:br w:type="page"/>
            </w:r>
            <w:r w:rsidRPr="00784DC3">
              <w:rPr>
                <w:b/>
                <w:bCs/>
                <w:szCs w:val="24"/>
              </w:rPr>
              <w:br w:type="page"/>
            </w:r>
          </w:p>
        </w:tc>
        <w:tc>
          <w:tcPr>
            <w:tcW w:w="3580" w:type="pct"/>
            <w:hideMark/>
          </w:tcPr>
          <w:p w14:paraId="6E059BF8" w14:textId="77777777" w:rsidR="007244B9" w:rsidRPr="00784DC3" w:rsidRDefault="007244B9" w:rsidP="007244B9">
            <w:pPr>
              <w:spacing w:before="480" w:after="120"/>
              <w:rPr>
                <w:b/>
                <w:bCs/>
                <w:szCs w:val="24"/>
              </w:rPr>
            </w:pPr>
            <w:r w:rsidRPr="00784DC3">
              <w:rPr>
                <w:b/>
                <w:bCs/>
                <w:szCs w:val="24"/>
              </w:rPr>
              <w:t>Subjects discussed</w:t>
            </w:r>
          </w:p>
        </w:tc>
        <w:tc>
          <w:tcPr>
            <w:tcW w:w="1178" w:type="pct"/>
            <w:hideMark/>
          </w:tcPr>
          <w:p w14:paraId="683D5A20" w14:textId="71B986A5" w:rsidR="007244B9" w:rsidRPr="00784DC3" w:rsidRDefault="007244B9" w:rsidP="00CB0F82">
            <w:pPr>
              <w:spacing w:before="480"/>
              <w:jc w:val="center"/>
              <w:rPr>
                <w:b/>
                <w:bCs/>
                <w:szCs w:val="24"/>
              </w:rPr>
            </w:pPr>
            <w:r w:rsidRPr="00784DC3">
              <w:rPr>
                <w:b/>
                <w:bCs/>
                <w:szCs w:val="24"/>
              </w:rPr>
              <w:t>Documents</w:t>
            </w:r>
          </w:p>
        </w:tc>
      </w:tr>
      <w:tr w:rsidR="007244B9" w:rsidRPr="00D1002E" w14:paraId="21752EA8" w14:textId="77777777" w:rsidTr="007244B9">
        <w:trPr>
          <w:trHeight w:val="20"/>
        </w:trPr>
        <w:tc>
          <w:tcPr>
            <w:tcW w:w="242" w:type="pct"/>
            <w:hideMark/>
          </w:tcPr>
          <w:p w14:paraId="59F0B2E6" w14:textId="77777777" w:rsidR="007244B9" w:rsidRPr="00784DC3" w:rsidRDefault="007244B9" w:rsidP="007244B9">
            <w:pPr>
              <w:spacing w:before="80" w:after="80"/>
              <w:rPr>
                <w:sz w:val="22"/>
                <w:szCs w:val="22"/>
              </w:rPr>
            </w:pPr>
            <w:r w:rsidRPr="00784DC3">
              <w:rPr>
                <w:sz w:val="22"/>
                <w:szCs w:val="22"/>
              </w:rPr>
              <w:t>1</w:t>
            </w:r>
          </w:p>
        </w:tc>
        <w:tc>
          <w:tcPr>
            <w:tcW w:w="3580" w:type="pct"/>
          </w:tcPr>
          <w:p w14:paraId="020C0FA1" w14:textId="77777777" w:rsidR="007244B9" w:rsidRPr="00784DC3" w:rsidRDefault="007244B9" w:rsidP="007244B9">
            <w:pPr>
              <w:spacing w:before="80" w:after="80"/>
              <w:rPr>
                <w:sz w:val="22"/>
                <w:szCs w:val="22"/>
              </w:rPr>
            </w:pPr>
            <w:r w:rsidRPr="00784DC3">
              <w:rPr>
                <w:sz w:val="22"/>
                <w:szCs w:val="22"/>
              </w:rPr>
              <w:t>Opening remarks by the Secretary-General</w:t>
            </w:r>
          </w:p>
        </w:tc>
        <w:tc>
          <w:tcPr>
            <w:tcW w:w="1178" w:type="pct"/>
          </w:tcPr>
          <w:p w14:paraId="23C04073" w14:textId="77777777" w:rsidR="007244B9" w:rsidRPr="00784DC3" w:rsidRDefault="007244B9" w:rsidP="007244B9">
            <w:pPr>
              <w:jc w:val="center"/>
              <w:rPr>
                <w:sz w:val="22"/>
                <w:szCs w:val="22"/>
              </w:rPr>
            </w:pPr>
            <w:r w:rsidRPr="00784DC3">
              <w:rPr>
                <w:sz w:val="22"/>
                <w:szCs w:val="22"/>
              </w:rPr>
              <w:t>-</w:t>
            </w:r>
          </w:p>
        </w:tc>
      </w:tr>
      <w:tr w:rsidR="007244B9" w:rsidRPr="00D1002E" w14:paraId="77207D0F" w14:textId="77777777" w:rsidTr="007244B9">
        <w:trPr>
          <w:trHeight w:val="20"/>
        </w:trPr>
        <w:tc>
          <w:tcPr>
            <w:tcW w:w="242" w:type="pct"/>
            <w:hideMark/>
          </w:tcPr>
          <w:p w14:paraId="278BBA53" w14:textId="77777777" w:rsidR="007244B9" w:rsidRPr="00784DC3" w:rsidRDefault="007244B9" w:rsidP="007244B9">
            <w:pPr>
              <w:spacing w:before="80" w:after="80"/>
              <w:rPr>
                <w:sz w:val="22"/>
                <w:szCs w:val="22"/>
              </w:rPr>
            </w:pPr>
            <w:r w:rsidRPr="00784DC3">
              <w:rPr>
                <w:sz w:val="22"/>
                <w:szCs w:val="22"/>
              </w:rPr>
              <w:t>2</w:t>
            </w:r>
          </w:p>
        </w:tc>
        <w:tc>
          <w:tcPr>
            <w:tcW w:w="3580" w:type="pct"/>
          </w:tcPr>
          <w:p w14:paraId="3677CD15" w14:textId="77777777" w:rsidR="007244B9" w:rsidRPr="00784DC3" w:rsidRDefault="007244B9" w:rsidP="007244B9">
            <w:pPr>
              <w:spacing w:before="80" w:after="80"/>
              <w:rPr>
                <w:sz w:val="22"/>
                <w:szCs w:val="22"/>
              </w:rPr>
            </w:pPr>
            <w:r w:rsidRPr="00784DC3">
              <w:rPr>
                <w:sz w:val="22"/>
                <w:szCs w:val="22"/>
              </w:rPr>
              <w:t>Election of the chair and vice-chair of the Council</w:t>
            </w:r>
          </w:p>
        </w:tc>
        <w:tc>
          <w:tcPr>
            <w:tcW w:w="1178" w:type="pct"/>
            <w:vAlign w:val="center"/>
          </w:tcPr>
          <w:p w14:paraId="2D036AAF" w14:textId="77777777" w:rsidR="007244B9" w:rsidRPr="00784DC3" w:rsidRDefault="007244B9" w:rsidP="007244B9">
            <w:pPr>
              <w:jc w:val="center"/>
              <w:rPr>
                <w:sz w:val="22"/>
                <w:szCs w:val="22"/>
              </w:rPr>
            </w:pPr>
            <w:r w:rsidRPr="00784DC3">
              <w:rPr>
                <w:sz w:val="22"/>
                <w:szCs w:val="22"/>
              </w:rPr>
              <w:t>-</w:t>
            </w:r>
          </w:p>
        </w:tc>
      </w:tr>
      <w:tr w:rsidR="007244B9" w:rsidRPr="00D1002E" w14:paraId="5460EF34" w14:textId="77777777" w:rsidTr="007244B9">
        <w:trPr>
          <w:trHeight w:val="20"/>
        </w:trPr>
        <w:tc>
          <w:tcPr>
            <w:tcW w:w="242" w:type="pct"/>
            <w:hideMark/>
          </w:tcPr>
          <w:p w14:paraId="346A9F36" w14:textId="77777777" w:rsidR="007244B9" w:rsidRPr="00784DC3" w:rsidRDefault="007244B9" w:rsidP="007244B9">
            <w:pPr>
              <w:spacing w:before="80" w:after="80"/>
              <w:rPr>
                <w:sz w:val="22"/>
                <w:szCs w:val="22"/>
              </w:rPr>
            </w:pPr>
            <w:r w:rsidRPr="00784DC3">
              <w:rPr>
                <w:sz w:val="22"/>
                <w:szCs w:val="22"/>
              </w:rPr>
              <w:t>3</w:t>
            </w:r>
          </w:p>
        </w:tc>
        <w:tc>
          <w:tcPr>
            <w:tcW w:w="3580" w:type="pct"/>
          </w:tcPr>
          <w:p w14:paraId="796AB0B5" w14:textId="77777777" w:rsidR="007244B9" w:rsidRPr="00784DC3" w:rsidRDefault="007244B9" w:rsidP="007244B9">
            <w:pPr>
              <w:spacing w:before="80" w:after="80"/>
              <w:rPr>
                <w:bCs/>
                <w:sz w:val="22"/>
                <w:szCs w:val="22"/>
              </w:rPr>
            </w:pPr>
            <w:r w:rsidRPr="00784DC3">
              <w:rPr>
                <w:bCs/>
                <w:sz w:val="22"/>
                <w:szCs w:val="22"/>
              </w:rPr>
              <w:t>Address by the Chair of the Council</w:t>
            </w:r>
          </w:p>
        </w:tc>
        <w:tc>
          <w:tcPr>
            <w:tcW w:w="1178" w:type="pct"/>
          </w:tcPr>
          <w:p w14:paraId="0D0A04A5" w14:textId="77777777" w:rsidR="007244B9" w:rsidRPr="00784DC3" w:rsidRDefault="007244B9" w:rsidP="007244B9">
            <w:pPr>
              <w:jc w:val="center"/>
              <w:rPr>
                <w:sz w:val="22"/>
                <w:szCs w:val="22"/>
              </w:rPr>
            </w:pPr>
            <w:r w:rsidRPr="00784DC3">
              <w:rPr>
                <w:sz w:val="22"/>
                <w:szCs w:val="22"/>
              </w:rPr>
              <w:t>-</w:t>
            </w:r>
          </w:p>
        </w:tc>
      </w:tr>
      <w:tr w:rsidR="007244B9" w:rsidRPr="00D1002E" w14:paraId="2C992FF3" w14:textId="77777777" w:rsidTr="007244B9">
        <w:trPr>
          <w:trHeight w:val="20"/>
        </w:trPr>
        <w:tc>
          <w:tcPr>
            <w:tcW w:w="242" w:type="pct"/>
            <w:hideMark/>
          </w:tcPr>
          <w:p w14:paraId="25C57FC0" w14:textId="77777777" w:rsidR="007244B9" w:rsidRPr="00784DC3" w:rsidRDefault="007244B9" w:rsidP="007244B9">
            <w:pPr>
              <w:spacing w:before="80" w:after="80"/>
              <w:rPr>
                <w:sz w:val="22"/>
                <w:szCs w:val="22"/>
              </w:rPr>
            </w:pPr>
            <w:r w:rsidRPr="00784DC3">
              <w:rPr>
                <w:sz w:val="22"/>
                <w:szCs w:val="22"/>
              </w:rPr>
              <w:t>4</w:t>
            </w:r>
          </w:p>
        </w:tc>
        <w:tc>
          <w:tcPr>
            <w:tcW w:w="3580" w:type="pct"/>
          </w:tcPr>
          <w:p w14:paraId="24C2A4C5" w14:textId="77777777" w:rsidR="007244B9" w:rsidRPr="00784DC3" w:rsidRDefault="007244B9" w:rsidP="007244B9">
            <w:pPr>
              <w:spacing w:before="80" w:after="80"/>
              <w:rPr>
                <w:bCs/>
                <w:sz w:val="22"/>
                <w:szCs w:val="22"/>
              </w:rPr>
            </w:pPr>
            <w:r w:rsidRPr="00784DC3">
              <w:rPr>
                <w:bCs/>
                <w:sz w:val="22"/>
                <w:szCs w:val="22"/>
              </w:rPr>
              <w:t>Chair and vice-chairs of the Standing Committee on Administration and Management</w:t>
            </w:r>
          </w:p>
        </w:tc>
        <w:tc>
          <w:tcPr>
            <w:tcW w:w="1178" w:type="pct"/>
          </w:tcPr>
          <w:p w14:paraId="5A37DFFF" w14:textId="77777777" w:rsidR="007244B9" w:rsidRPr="00784DC3" w:rsidRDefault="007244B9" w:rsidP="007244B9">
            <w:pPr>
              <w:jc w:val="center"/>
              <w:rPr>
                <w:sz w:val="22"/>
                <w:szCs w:val="22"/>
              </w:rPr>
            </w:pPr>
            <w:r w:rsidRPr="00784DC3">
              <w:rPr>
                <w:sz w:val="22"/>
                <w:szCs w:val="22"/>
              </w:rPr>
              <w:t>-</w:t>
            </w:r>
          </w:p>
        </w:tc>
      </w:tr>
      <w:tr w:rsidR="007244B9" w:rsidRPr="00D1002E" w14:paraId="1322FB85" w14:textId="77777777" w:rsidTr="007244B9">
        <w:trPr>
          <w:trHeight w:val="20"/>
        </w:trPr>
        <w:tc>
          <w:tcPr>
            <w:tcW w:w="242" w:type="pct"/>
            <w:hideMark/>
          </w:tcPr>
          <w:p w14:paraId="0BD14FDA" w14:textId="77777777" w:rsidR="007244B9" w:rsidRPr="00784DC3" w:rsidRDefault="007244B9" w:rsidP="007244B9">
            <w:pPr>
              <w:spacing w:before="80" w:after="80"/>
              <w:rPr>
                <w:sz w:val="22"/>
                <w:szCs w:val="22"/>
              </w:rPr>
            </w:pPr>
            <w:r w:rsidRPr="00784DC3">
              <w:rPr>
                <w:sz w:val="22"/>
                <w:szCs w:val="22"/>
              </w:rPr>
              <w:t>5</w:t>
            </w:r>
          </w:p>
        </w:tc>
        <w:tc>
          <w:tcPr>
            <w:tcW w:w="3580" w:type="pct"/>
          </w:tcPr>
          <w:p w14:paraId="77F1181D" w14:textId="77777777" w:rsidR="007244B9" w:rsidRPr="00784DC3" w:rsidRDefault="007244B9" w:rsidP="007244B9">
            <w:pPr>
              <w:spacing w:before="80" w:after="80"/>
              <w:rPr>
                <w:bCs/>
                <w:sz w:val="22"/>
                <w:szCs w:val="22"/>
              </w:rPr>
            </w:pPr>
            <w:r w:rsidRPr="00784DC3">
              <w:rPr>
                <w:bCs/>
                <w:sz w:val="22"/>
                <w:szCs w:val="22"/>
              </w:rPr>
              <w:t>Address by the Secretary-General on the state of the Union</w:t>
            </w:r>
          </w:p>
        </w:tc>
        <w:tc>
          <w:tcPr>
            <w:tcW w:w="1178" w:type="pct"/>
          </w:tcPr>
          <w:p w14:paraId="7736FA08" w14:textId="77777777" w:rsidR="007244B9" w:rsidRPr="00784DC3" w:rsidRDefault="007244B9" w:rsidP="007244B9">
            <w:pPr>
              <w:jc w:val="center"/>
              <w:rPr>
                <w:sz w:val="22"/>
                <w:szCs w:val="22"/>
              </w:rPr>
            </w:pPr>
            <w:r w:rsidRPr="00784DC3">
              <w:rPr>
                <w:sz w:val="22"/>
                <w:szCs w:val="22"/>
              </w:rPr>
              <w:t>-</w:t>
            </w:r>
          </w:p>
        </w:tc>
        <w:bookmarkEnd w:id="8"/>
      </w:tr>
      <w:tr w:rsidR="007244B9" w:rsidRPr="00D1002E" w14:paraId="5B5A5F9A" w14:textId="77777777" w:rsidTr="007244B9">
        <w:trPr>
          <w:trHeight w:val="20"/>
        </w:trPr>
        <w:tc>
          <w:tcPr>
            <w:tcW w:w="242" w:type="pct"/>
          </w:tcPr>
          <w:p w14:paraId="4017E579" w14:textId="77777777" w:rsidR="007244B9" w:rsidRPr="00784DC3" w:rsidRDefault="007244B9" w:rsidP="007244B9">
            <w:pPr>
              <w:spacing w:before="80" w:after="80"/>
              <w:rPr>
                <w:sz w:val="22"/>
                <w:szCs w:val="22"/>
              </w:rPr>
            </w:pPr>
            <w:r w:rsidRPr="00784DC3">
              <w:rPr>
                <w:sz w:val="22"/>
                <w:szCs w:val="22"/>
              </w:rPr>
              <w:t>6</w:t>
            </w:r>
          </w:p>
        </w:tc>
        <w:tc>
          <w:tcPr>
            <w:tcW w:w="3580" w:type="pct"/>
          </w:tcPr>
          <w:p w14:paraId="6FCB29B9" w14:textId="77777777" w:rsidR="007244B9" w:rsidRPr="00784DC3" w:rsidRDefault="007244B9" w:rsidP="007244B9">
            <w:pPr>
              <w:spacing w:before="80" w:after="80"/>
              <w:rPr>
                <w:bCs/>
                <w:sz w:val="22"/>
                <w:szCs w:val="22"/>
              </w:rPr>
            </w:pPr>
            <w:r w:rsidRPr="00784DC3">
              <w:rPr>
                <w:bCs/>
                <w:sz w:val="22"/>
                <w:szCs w:val="22"/>
              </w:rPr>
              <w:t xml:space="preserve">Approval of the agenda of the 2024 session of the Council </w:t>
            </w:r>
          </w:p>
        </w:tc>
        <w:tc>
          <w:tcPr>
            <w:tcW w:w="1178" w:type="pct"/>
          </w:tcPr>
          <w:p w14:paraId="600C8515" w14:textId="5EDF00E9" w:rsidR="007244B9" w:rsidRPr="00784DC3" w:rsidRDefault="009B5302" w:rsidP="007244B9">
            <w:pPr>
              <w:jc w:val="center"/>
              <w:rPr>
                <w:sz w:val="22"/>
                <w:szCs w:val="22"/>
              </w:rPr>
            </w:pPr>
            <w:hyperlink r:id="rId11" w:history="1">
              <w:r w:rsidR="007244B9" w:rsidRPr="00784DC3">
                <w:rPr>
                  <w:rStyle w:val="Hyperlink"/>
                  <w:sz w:val="22"/>
                  <w:szCs w:val="22"/>
                </w:rPr>
                <w:t>C24/1(Rev.2)</w:t>
              </w:r>
            </w:hyperlink>
          </w:p>
        </w:tc>
      </w:tr>
      <w:tr w:rsidR="007244B9" w:rsidRPr="00D1002E" w14:paraId="515A3934" w14:textId="77777777" w:rsidTr="007244B9">
        <w:trPr>
          <w:trHeight w:val="20"/>
        </w:trPr>
        <w:tc>
          <w:tcPr>
            <w:tcW w:w="242" w:type="pct"/>
          </w:tcPr>
          <w:p w14:paraId="35128325" w14:textId="77777777" w:rsidR="007244B9" w:rsidRPr="00784DC3" w:rsidRDefault="007244B9" w:rsidP="007244B9">
            <w:pPr>
              <w:spacing w:before="80" w:after="80"/>
              <w:rPr>
                <w:sz w:val="22"/>
                <w:szCs w:val="22"/>
              </w:rPr>
            </w:pPr>
            <w:r w:rsidRPr="00784DC3">
              <w:rPr>
                <w:sz w:val="22"/>
                <w:szCs w:val="22"/>
              </w:rPr>
              <w:t>7</w:t>
            </w:r>
          </w:p>
        </w:tc>
        <w:tc>
          <w:tcPr>
            <w:tcW w:w="3580" w:type="pct"/>
          </w:tcPr>
          <w:p w14:paraId="223DE102" w14:textId="77777777" w:rsidR="007244B9" w:rsidRPr="00784DC3" w:rsidRDefault="007244B9" w:rsidP="007244B9">
            <w:pPr>
              <w:spacing w:before="80" w:after="80"/>
              <w:rPr>
                <w:bCs/>
                <w:sz w:val="22"/>
                <w:szCs w:val="22"/>
              </w:rPr>
            </w:pPr>
            <w:r w:rsidRPr="00784DC3">
              <w:rPr>
                <w:bCs/>
                <w:sz w:val="22"/>
                <w:szCs w:val="22"/>
              </w:rPr>
              <w:t>Allocation of documents</w:t>
            </w:r>
          </w:p>
        </w:tc>
        <w:tc>
          <w:tcPr>
            <w:tcW w:w="1178" w:type="pct"/>
          </w:tcPr>
          <w:p w14:paraId="3AEDD6E7" w14:textId="12169D0A" w:rsidR="007244B9" w:rsidRPr="00784DC3" w:rsidRDefault="009B5302" w:rsidP="007244B9">
            <w:pPr>
              <w:jc w:val="center"/>
              <w:rPr>
                <w:sz w:val="22"/>
                <w:szCs w:val="22"/>
              </w:rPr>
            </w:pPr>
            <w:hyperlink r:id="rId12" w:history="1">
              <w:r w:rsidR="007244B9" w:rsidRPr="00784DC3">
                <w:rPr>
                  <w:rStyle w:val="Hyperlink"/>
                  <w:sz w:val="22"/>
                  <w:szCs w:val="22"/>
                </w:rPr>
                <w:t>C24/DT/1</w:t>
              </w:r>
            </w:hyperlink>
          </w:p>
        </w:tc>
      </w:tr>
      <w:tr w:rsidR="007244B9" w:rsidRPr="00D1002E" w14:paraId="50C1F30E" w14:textId="77777777" w:rsidTr="007244B9">
        <w:trPr>
          <w:trHeight w:val="20"/>
        </w:trPr>
        <w:tc>
          <w:tcPr>
            <w:tcW w:w="242" w:type="pct"/>
          </w:tcPr>
          <w:p w14:paraId="0D515F34" w14:textId="77777777" w:rsidR="007244B9" w:rsidRPr="00784DC3" w:rsidRDefault="007244B9" w:rsidP="007244B9">
            <w:pPr>
              <w:spacing w:before="80" w:after="80"/>
              <w:rPr>
                <w:sz w:val="22"/>
                <w:szCs w:val="22"/>
              </w:rPr>
            </w:pPr>
            <w:r w:rsidRPr="00784DC3">
              <w:rPr>
                <w:sz w:val="22"/>
                <w:szCs w:val="22"/>
              </w:rPr>
              <w:t>8</w:t>
            </w:r>
          </w:p>
        </w:tc>
        <w:tc>
          <w:tcPr>
            <w:tcW w:w="3580" w:type="pct"/>
          </w:tcPr>
          <w:p w14:paraId="05BE032B" w14:textId="77777777" w:rsidR="007244B9" w:rsidRPr="00784DC3" w:rsidRDefault="007244B9" w:rsidP="007244B9">
            <w:pPr>
              <w:spacing w:before="80" w:after="80"/>
              <w:rPr>
                <w:bCs/>
                <w:sz w:val="22"/>
                <w:szCs w:val="22"/>
              </w:rPr>
            </w:pPr>
            <w:r w:rsidRPr="00784DC3">
              <w:rPr>
                <w:bCs/>
                <w:sz w:val="22"/>
                <w:szCs w:val="22"/>
              </w:rPr>
              <w:t>Time-management plan</w:t>
            </w:r>
          </w:p>
        </w:tc>
        <w:tc>
          <w:tcPr>
            <w:tcW w:w="1178" w:type="pct"/>
          </w:tcPr>
          <w:p w14:paraId="658C41B7" w14:textId="1D2CCA9C" w:rsidR="007244B9" w:rsidRPr="00784DC3" w:rsidRDefault="009B5302" w:rsidP="007244B9">
            <w:pPr>
              <w:jc w:val="center"/>
              <w:rPr>
                <w:sz w:val="22"/>
                <w:szCs w:val="22"/>
              </w:rPr>
            </w:pPr>
            <w:hyperlink r:id="rId13" w:history="1">
              <w:r w:rsidR="007244B9" w:rsidRPr="00784DC3">
                <w:rPr>
                  <w:rStyle w:val="Hyperlink"/>
                  <w:sz w:val="22"/>
                  <w:szCs w:val="22"/>
                </w:rPr>
                <w:t>C24/DT/2(Rev.3)</w:t>
              </w:r>
            </w:hyperlink>
          </w:p>
        </w:tc>
      </w:tr>
      <w:tr w:rsidR="007244B9" w:rsidRPr="00D1002E" w14:paraId="44458E22" w14:textId="77777777" w:rsidTr="007244B9">
        <w:trPr>
          <w:trHeight w:val="20"/>
        </w:trPr>
        <w:tc>
          <w:tcPr>
            <w:tcW w:w="242" w:type="pct"/>
          </w:tcPr>
          <w:p w14:paraId="3B96374E" w14:textId="77777777" w:rsidR="007244B9" w:rsidRPr="00784DC3" w:rsidRDefault="007244B9" w:rsidP="007244B9">
            <w:pPr>
              <w:spacing w:before="80" w:after="80"/>
              <w:rPr>
                <w:sz w:val="22"/>
                <w:szCs w:val="22"/>
              </w:rPr>
            </w:pPr>
            <w:r w:rsidRPr="00784DC3">
              <w:rPr>
                <w:sz w:val="22"/>
                <w:szCs w:val="22"/>
              </w:rPr>
              <w:t>9</w:t>
            </w:r>
          </w:p>
        </w:tc>
        <w:tc>
          <w:tcPr>
            <w:tcW w:w="3580" w:type="pct"/>
          </w:tcPr>
          <w:p w14:paraId="0CD46F4D" w14:textId="77777777" w:rsidR="007244B9" w:rsidRPr="00784DC3" w:rsidRDefault="007244B9" w:rsidP="007244B9">
            <w:pPr>
              <w:spacing w:before="80" w:after="80"/>
              <w:rPr>
                <w:bCs/>
                <w:sz w:val="22"/>
                <w:szCs w:val="22"/>
              </w:rPr>
            </w:pPr>
            <w:r w:rsidRPr="00784DC3">
              <w:rPr>
                <w:bCs/>
                <w:sz w:val="22"/>
                <w:szCs w:val="22"/>
              </w:rPr>
              <w:t>Organizational matters</w:t>
            </w:r>
          </w:p>
        </w:tc>
        <w:tc>
          <w:tcPr>
            <w:tcW w:w="1178" w:type="pct"/>
          </w:tcPr>
          <w:p w14:paraId="4CBE86C8" w14:textId="77777777" w:rsidR="007244B9" w:rsidRPr="00784DC3" w:rsidRDefault="007244B9" w:rsidP="007244B9">
            <w:pPr>
              <w:jc w:val="center"/>
              <w:rPr>
                <w:sz w:val="22"/>
                <w:szCs w:val="22"/>
              </w:rPr>
            </w:pPr>
            <w:r w:rsidRPr="00784DC3">
              <w:rPr>
                <w:sz w:val="22"/>
                <w:szCs w:val="22"/>
              </w:rPr>
              <w:t>-</w:t>
            </w:r>
          </w:p>
        </w:tc>
      </w:tr>
      <w:tr w:rsidR="007244B9" w:rsidRPr="00D1002E" w14:paraId="417E6C8A" w14:textId="77777777" w:rsidTr="007244B9">
        <w:trPr>
          <w:trHeight w:val="20"/>
        </w:trPr>
        <w:tc>
          <w:tcPr>
            <w:tcW w:w="242" w:type="pct"/>
          </w:tcPr>
          <w:p w14:paraId="3B6A8246" w14:textId="77777777" w:rsidR="007244B9" w:rsidRPr="00784DC3" w:rsidRDefault="007244B9" w:rsidP="007244B9">
            <w:pPr>
              <w:spacing w:before="80" w:after="80"/>
              <w:rPr>
                <w:sz w:val="22"/>
                <w:szCs w:val="22"/>
              </w:rPr>
            </w:pPr>
            <w:r w:rsidRPr="00784DC3">
              <w:rPr>
                <w:sz w:val="22"/>
                <w:szCs w:val="22"/>
              </w:rPr>
              <w:t>10</w:t>
            </w:r>
          </w:p>
        </w:tc>
        <w:tc>
          <w:tcPr>
            <w:tcW w:w="3580" w:type="pct"/>
          </w:tcPr>
          <w:p w14:paraId="00147BB2" w14:textId="77777777" w:rsidR="007244B9" w:rsidRPr="00784DC3" w:rsidRDefault="007244B9" w:rsidP="007244B9">
            <w:pPr>
              <w:spacing w:before="80" w:after="80"/>
              <w:rPr>
                <w:bCs/>
                <w:sz w:val="22"/>
                <w:szCs w:val="22"/>
              </w:rPr>
            </w:pPr>
            <w:r w:rsidRPr="00784DC3">
              <w:rPr>
                <w:bCs/>
                <w:sz w:val="22"/>
                <w:szCs w:val="22"/>
              </w:rPr>
              <w:t>Report on the implementation of the strategic plan and the activities of the Union for 2023-2024</w:t>
            </w:r>
          </w:p>
        </w:tc>
        <w:tc>
          <w:tcPr>
            <w:tcW w:w="1178" w:type="pct"/>
          </w:tcPr>
          <w:p w14:paraId="2CD9FAFC" w14:textId="521AFF15" w:rsidR="007244B9" w:rsidRPr="00784DC3" w:rsidRDefault="009B5302" w:rsidP="007244B9">
            <w:pPr>
              <w:jc w:val="center"/>
              <w:rPr>
                <w:sz w:val="22"/>
                <w:szCs w:val="22"/>
              </w:rPr>
            </w:pPr>
            <w:hyperlink r:id="rId14" w:history="1">
              <w:r w:rsidR="007244B9" w:rsidRPr="00784DC3">
                <w:rPr>
                  <w:rStyle w:val="Hyperlink"/>
                  <w:sz w:val="22"/>
                  <w:szCs w:val="22"/>
                </w:rPr>
                <w:t>C24/35</w:t>
              </w:r>
            </w:hyperlink>
          </w:p>
        </w:tc>
      </w:tr>
      <w:tr w:rsidR="007244B9" w:rsidRPr="00D1002E" w14:paraId="399F2068" w14:textId="77777777" w:rsidTr="007244B9">
        <w:trPr>
          <w:trHeight w:val="20"/>
        </w:trPr>
        <w:tc>
          <w:tcPr>
            <w:tcW w:w="242" w:type="pct"/>
          </w:tcPr>
          <w:p w14:paraId="2A16CD31" w14:textId="77777777" w:rsidR="007244B9" w:rsidRPr="00784DC3" w:rsidRDefault="007244B9" w:rsidP="007244B9">
            <w:pPr>
              <w:spacing w:before="80" w:after="80"/>
              <w:rPr>
                <w:sz w:val="22"/>
                <w:szCs w:val="22"/>
              </w:rPr>
            </w:pPr>
            <w:r w:rsidRPr="00784DC3">
              <w:rPr>
                <w:sz w:val="22"/>
                <w:szCs w:val="22"/>
              </w:rPr>
              <w:t>11</w:t>
            </w:r>
          </w:p>
        </w:tc>
        <w:tc>
          <w:tcPr>
            <w:tcW w:w="3580" w:type="pct"/>
          </w:tcPr>
          <w:p w14:paraId="47CA8939" w14:textId="77777777" w:rsidR="007244B9" w:rsidRPr="00784DC3" w:rsidRDefault="007244B9" w:rsidP="007244B9">
            <w:pPr>
              <w:spacing w:before="80" w:after="80"/>
              <w:rPr>
                <w:bCs/>
                <w:sz w:val="22"/>
                <w:szCs w:val="22"/>
              </w:rPr>
            </w:pPr>
            <w:r w:rsidRPr="00784DC3">
              <w:rPr>
                <w:bCs/>
                <w:sz w:val="22"/>
                <w:szCs w:val="22"/>
              </w:rPr>
              <w:t>Operational plan for the Union for 2025-2028</w:t>
            </w:r>
          </w:p>
        </w:tc>
        <w:tc>
          <w:tcPr>
            <w:tcW w:w="1178" w:type="pct"/>
          </w:tcPr>
          <w:p w14:paraId="3FFF20EE" w14:textId="104F5051" w:rsidR="007244B9" w:rsidRPr="00784DC3" w:rsidRDefault="009B5302" w:rsidP="007244B9">
            <w:pPr>
              <w:jc w:val="center"/>
              <w:rPr>
                <w:sz w:val="22"/>
                <w:szCs w:val="22"/>
              </w:rPr>
            </w:pPr>
            <w:hyperlink r:id="rId15" w:history="1">
              <w:r w:rsidR="007244B9" w:rsidRPr="00784DC3">
                <w:rPr>
                  <w:rStyle w:val="Hyperlink"/>
                  <w:sz w:val="22"/>
                  <w:szCs w:val="22"/>
                </w:rPr>
                <w:t>C24/28</w:t>
              </w:r>
            </w:hyperlink>
          </w:p>
        </w:tc>
      </w:tr>
      <w:tr w:rsidR="007244B9" w:rsidRPr="00D1002E" w14:paraId="42502D60" w14:textId="77777777" w:rsidTr="007244B9">
        <w:trPr>
          <w:trHeight w:val="20"/>
        </w:trPr>
        <w:tc>
          <w:tcPr>
            <w:tcW w:w="242" w:type="pct"/>
          </w:tcPr>
          <w:p w14:paraId="28AAF65F" w14:textId="77777777" w:rsidR="007244B9" w:rsidRPr="00784DC3" w:rsidRDefault="007244B9" w:rsidP="007244B9">
            <w:pPr>
              <w:spacing w:before="80" w:after="80"/>
              <w:rPr>
                <w:sz w:val="22"/>
                <w:szCs w:val="22"/>
              </w:rPr>
            </w:pPr>
            <w:r w:rsidRPr="00784DC3">
              <w:rPr>
                <w:sz w:val="22"/>
                <w:szCs w:val="22"/>
              </w:rPr>
              <w:t>12</w:t>
            </w:r>
          </w:p>
        </w:tc>
        <w:tc>
          <w:tcPr>
            <w:tcW w:w="3580" w:type="pct"/>
          </w:tcPr>
          <w:p w14:paraId="41BA6404" w14:textId="77777777" w:rsidR="007244B9" w:rsidRPr="00784DC3" w:rsidRDefault="007244B9" w:rsidP="007244B9">
            <w:pPr>
              <w:spacing w:before="80" w:after="80"/>
              <w:rPr>
                <w:bCs/>
                <w:sz w:val="22"/>
                <w:szCs w:val="22"/>
              </w:rPr>
            </w:pPr>
            <w:r w:rsidRPr="00784DC3">
              <w:rPr>
                <w:bCs/>
                <w:sz w:val="22"/>
                <w:szCs w:val="22"/>
              </w:rPr>
              <w:t>Announcement by the councillor from Uganda concerning the Global Symposium for Regulators (GSR-24)</w:t>
            </w:r>
          </w:p>
        </w:tc>
        <w:tc>
          <w:tcPr>
            <w:tcW w:w="1178" w:type="pct"/>
          </w:tcPr>
          <w:p w14:paraId="269BCE90" w14:textId="77777777" w:rsidR="007244B9" w:rsidRPr="00784DC3" w:rsidRDefault="007244B9" w:rsidP="007244B9">
            <w:pPr>
              <w:jc w:val="center"/>
              <w:rPr>
                <w:sz w:val="22"/>
                <w:szCs w:val="22"/>
              </w:rPr>
            </w:pPr>
            <w:r w:rsidRPr="00784DC3">
              <w:rPr>
                <w:sz w:val="22"/>
                <w:szCs w:val="22"/>
              </w:rPr>
              <w:t>-</w:t>
            </w:r>
          </w:p>
        </w:tc>
      </w:tr>
    </w:tbl>
    <w:p w14:paraId="4C958790" w14:textId="77777777" w:rsidR="007244B9" w:rsidRPr="00784DC3" w:rsidRDefault="007244B9"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784DC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84DC3">
        <w:br w:type="page"/>
      </w:r>
    </w:p>
    <w:bookmarkEnd w:id="5"/>
    <w:bookmarkEnd w:id="9"/>
    <w:p w14:paraId="026352FD" w14:textId="77777777" w:rsidR="00177DFC" w:rsidRPr="00784DC3" w:rsidRDefault="00177DFC" w:rsidP="00177DFC">
      <w:pPr>
        <w:tabs>
          <w:tab w:val="clear" w:pos="567"/>
          <w:tab w:val="clear" w:pos="1134"/>
          <w:tab w:val="clear" w:pos="1701"/>
          <w:tab w:val="clear" w:pos="2268"/>
          <w:tab w:val="clear" w:pos="2835"/>
        </w:tabs>
        <w:snapToGrid w:val="0"/>
        <w:spacing w:before="240" w:after="120"/>
        <w:jc w:val="both"/>
        <w:outlineLvl w:val="0"/>
        <w:rPr>
          <w:rFonts w:asciiTheme="minorHAnsi" w:eastAsia="SimSun" w:hAnsiTheme="minorHAnsi"/>
          <w:b/>
          <w:sz w:val="28"/>
          <w:szCs w:val="28"/>
        </w:rPr>
      </w:pPr>
      <w:r w:rsidRPr="00784DC3">
        <w:rPr>
          <w:rFonts w:asciiTheme="minorHAnsi" w:eastAsia="SimSun" w:hAnsiTheme="minorHAnsi"/>
          <w:b/>
          <w:sz w:val="28"/>
          <w:szCs w:val="28"/>
        </w:rPr>
        <w:lastRenderedPageBreak/>
        <w:t>1</w:t>
      </w:r>
      <w:r w:rsidRPr="00784DC3">
        <w:rPr>
          <w:rFonts w:asciiTheme="minorHAnsi" w:eastAsia="SimSun" w:hAnsiTheme="minorHAnsi"/>
          <w:b/>
          <w:sz w:val="28"/>
          <w:szCs w:val="28"/>
        </w:rPr>
        <w:tab/>
        <w:t>Opening remarks by the Secretary-General</w:t>
      </w:r>
    </w:p>
    <w:p w14:paraId="377361B1" w14:textId="77777777" w:rsidR="00177DFC" w:rsidRPr="00784DC3" w:rsidRDefault="00177DFC" w:rsidP="00177DFC">
      <w:pPr>
        <w:keepNext/>
        <w:tabs>
          <w:tab w:val="clear" w:pos="567"/>
          <w:tab w:val="clear" w:pos="1134"/>
          <w:tab w:val="clear" w:pos="1701"/>
          <w:tab w:val="clear" w:pos="2268"/>
          <w:tab w:val="clear" w:pos="2835"/>
        </w:tabs>
        <w:snapToGrid w:val="0"/>
        <w:spacing w:after="120"/>
        <w:jc w:val="both"/>
        <w:rPr>
          <w:rFonts w:eastAsia="SimSun"/>
          <w:szCs w:val="24"/>
        </w:rPr>
      </w:pPr>
      <w:r w:rsidRPr="00784DC3">
        <w:rPr>
          <w:rFonts w:eastAsia="SimSun"/>
          <w:szCs w:val="24"/>
        </w:rPr>
        <w:t>1.1</w:t>
      </w:r>
      <w:r w:rsidRPr="00784DC3">
        <w:rPr>
          <w:rFonts w:eastAsia="SimSun"/>
          <w:szCs w:val="24"/>
        </w:rPr>
        <w:tab/>
        <w:t>The Secretary-General welcomed all delegates and declared the 2024 session of the Council open.</w:t>
      </w:r>
    </w:p>
    <w:p w14:paraId="60779C77" w14:textId="77777777" w:rsidR="00177DFC" w:rsidRPr="00784DC3" w:rsidRDefault="00177DFC" w:rsidP="00177DFC">
      <w:pPr>
        <w:tabs>
          <w:tab w:val="clear" w:pos="567"/>
          <w:tab w:val="clear" w:pos="1134"/>
          <w:tab w:val="clear" w:pos="1701"/>
          <w:tab w:val="clear" w:pos="2268"/>
          <w:tab w:val="clear" w:pos="2835"/>
        </w:tabs>
        <w:snapToGrid w:val="0"/>
        <w:spacing w:before="240" w:after="120"/>
        <w:jc w:val="both"/>
        <w:outlineLvl w:val="0"/>
        <w:rPr>
          <w:rFonts w:asciiTheme="minorHAnsi" w:eastAsia="SimSun" w:hAnsiTheme="minorHAnsi"/>
          <w:b/>
          <w:sz w:val="28"/>
          <w:szCs w:val="28"/>
        </w:rPr>
      </w:pPr>
      <w:r w:rsidRPr="00784DC3">
        <w:rPr>
          <w:rFonts w:asciiTheme="minorHAnsi" w:eastAsia="SimSun" w:hAnsiTheme="minorHAnsi"/>
          <w:b/>
          <w:sz w:val="28"/>
          <w:szCs w:val="28"/>
        </w:rPr>
        <w:t>2</w:t>
      </w:r>
      <w:r w:rsidRPr="00784DC3">
        <w:rPr>
          <w:rFonts w:asciiTheme="minorHAnsi" w:eastAsia="SimSun" w:hAnsiTheme="minorHAnsi"/>
          <w:b/>
          <w:sz w:val="28"/>
          <w:szCs w:val="28"/>
        </w:rPr>
        <w:tab/>
        <w:t>Election of the chair and vice-chair of the Council</w:t>
      </w:r>
    </w:p>
    <w:p w14:paraId="67BA77EA" w14:textId="28508B0E" w:rsidR="00177DFC" w:rsidRPr="00784DC3" w:rsidRDefault="00177DFC" w:rsidP="00177DFC">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784DC3">
        <w:rPr>
          <w:rFonts w:asciiTheme="minorHAnsi" w:eastAsia="SimSun" w:hAnsiTheme="minorHAnsi"/>
          <w:szCs w:val="24"/>
        </w:rPr>
        <w:t>2.1</w:t>
      </w:r>
      <w:r w:rsidRPr="00784DC3">
        <w:rPr>
          <w:rFonts w:asciiTheme="minorHAnsi" w:eastAsia="SimSun" w:hAnsiTheme="minorHAnsi"/>
          <w:szCs w:val="24"/>
        </w:rPr>
        <w:tab/>
        <w:t xml:space="preserve">The Secretary-General proposed that </w:t>
      </w:r>
      <w:r w:rsidRPr="00784DC3">
        <w:rPr>
          <w:rFonts w:eastAsia="SimSun"/>
          <w:spacing w:val="-4"/>
          <w:szCs w:val="24"/>
        </w:rPr>
        <w:t>Mr Frédéric Sauvage (France)</w:t>
      </w:r>
      <w:r w:rsidRPr="00784DC3">
        <w:rPr>
          <w:rFonts w:asciiTheme="minorHAnsi" w:eastAsia="SimSun" w:hAnsiTheme="minorHAnsi"/>
          <w:szCs w:val="24"/>
        </w:rPr>
        <w:t>, who had served as vice-chair of the Council at its 2023 session and as acting chair of the Council since the retirement of Mr</w:t>
      </w:r>
      <w:r w:rsidR="00DF1D53">
        <w:rPr>
          <w:rFonts w:asciiTheme="minorHAnsi" w:eastAsia="SimSun" w:hAnsiTheme="minorHAnsi"/>
          <w:szCs w:val="24"/>
        </w:rPr>
        <w:t xml:space="preserve"> </w:t>
      </w:r>
      <w:r w:rsidRPr="00784DC3">
        <w:rPr>
          <w:rFonts w:asciiTheme="minorHAnsi" w:eastAsia="SimSun" w:hAnsiTheme="minorHAnsi"/>
          <w:szCs w:val="24"/>
        </w:rPr>
        <w:t>César Martinez (Paraguay) in December 2023, be elected chair of the Council for its 2024 session.</w:t>
      </w:r>
    </w:p>
    <w:p w14:paraId="7797416B" w14:textId="77777777" w:rsidR="00177DFC" w:rsidRPr="00784DC3" w:rsidRDefault="00177DFC" w:rsidP="00177DFC">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784DC3">
        <w:rPr>
          <w:rFonts w:eastAsia="SimSun"/>
          <w:spacing w:val="-4"/>
          <w:szCs w:val="24"/>
        </w:rPr>
        <w:t>2.2</w:t>
      </w:r>
      <w:r w:rsidRPr="00784DC3">
        <w:rPr>
          <w:rFonts w:eastAsia="SimSun"/>
          <w:spacing w:val="-4"/>
          <w:szCs w:val="24"/>
        </w:rPr>
        <w:tab/>
        <w:t>Mr Frédéric Sauvage (France)</w:t>
      </w:r>
      <w:r w:rsidRPr="00784DC3">
        <w:rPr>
          <w:rFonts w:asciiTheme="minorHAnsi" w:eastAsia="SimSun" w:hAnsiTheme="minorHAnsi"/>
          <w:szCs w:val="24"/>
        </w:rPr>
        <w:t xml:space="preserve"> was </w:t>
      </w:r>
      <w:r w:rsidRPr="00784DC3">
        <w:rPr>
          <w:rFonts w:asciiTheme="minorHAnsi" w:eastAsia="SimSun" w:hAnsiTheme="minorHAnsi"/>
          <w:b/>
          <w:bCs/>
          <w:szCs w:val="24"/>
        </w:rPr>
        <w:t>elected</w:t>
      </w:r>
      <w:r w:rsidRPr="00784DC3">
        <w:rPr>
          <w:rFonts w:asciiTheme="minorHAnsi" w:eastAsia="SimSun" w:hAnsiTheme="minorHAnsi"/>
          <w:szCs w:val="24"/>
        </w:rPr>
        <w:t xml:space="preserve"> chair of the Council by acclamation.</w:t>
      </w:r>
    </w:p>
    <w:p w14:paraId="00B597EB" w14:textId="4B81B8CA" w:rsidR="00177DFC" w:rsidRPr="00784DC3" w:rsidRDefault="00177DFC" w:rsidP="00177DFC">
      <w:pPr>
        <w:tabs>
          <w:tab w:val="clear" w:pos="567"/>
          <w:tab w:val="clear" w:pos="1134"/>
          <w:tab w:val="clear" w:pos="1701"/>
          <w:tab w:val="clear" w:pos="2268"/>
          <w:tab w:val="clear" w:pos="2835"/>
        </w:tabs>
        <w:snapToGrid w:val="0"/>
        <w:spacing w:after="120"/>
        <w:jc w:val="both"/>
        <w:rPr>
          <w:rFonts w:eastAsia="SimSun"/>
          <w:bCs/>
          <w:szCs w:val="24"/>
        </w:rPr>
      </w:pPr>
      <w:r w:rsidRPr="00784DC3">
        <w:rPr>
          <w:rFonts w:asciiTheme="minorHAnsi" w:eastAsia="SimSun" w:hAnsiTheme="minorHAnsi"/>
          <w:bCs/>
          <w:szCs w:val="24"/>
        </w:rPr>
        <w:t>2.3</w:t>
      </w:r>
      <w:r w:rsidRPr="00784DC3">
        <w:rPr>
          <w:rFonts w:asciiTheme="minorHAnsi" w:eastAsia="SimSun" w:hAnsiTheme="minorHAnsi"/>
          <w:bCs/>
          <w:szCs w:val="24"/>
        </w:rPr>
        <w:tab/>
        <w:t>In keeping with the principles of rotation and equitable geographical distribution, the vice-chair of the Council would be from Region C. Romania had nominated Ms Cristiana Flutur.</w:t>
      </w:r>
    </w:p>
    <w:p w14:paraId="5191B12A" w14:textId="77777777" w:rsidR="00177DFC" w:rsidRPr="00784DC3" w:rsidRDefault="00177DFC" w:rsidP="00177DFC">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784DC3">
        <w:rPr>
          <w:rFonts w:asciiTheme="minorHAnsi" w:eastAsia="SimSun" w:hAnsiTheme="minorHAnsi"/>
          <w:szCs w:val="24"/>
        </w:rPr>
        <w:t>2.4</w:t>
      </w:r>
      <w:r w:rsidRPr="00784DC3">
        <w:rPr>
          <w:rFonts w:asciiTheme="minorHAnsi" w:eastAsia="SimSun" w:hAnsiTheme="minorHAnsi"/>
          <w:szCs w:val="24"/>
        </w:rPr>
        <w:tab/>
        <w:t xml:space="preserve">Ms Cristiana Flutur (Romania) was </w:t>
      </w:r>
      <w:r w:rsidRPr="00784DC3">
        <w:rPr>
          <w:rFonts w:asciiTheme="minorHAnsi" w:eastAsia="SimSun" w:hAnsiTheme="minorHAnsi"/>
          <w:b/>
          <w:bCs/>
          <w:szCs w:val="24"/>
        </w:rPr>
        <w:t>elected</w:t>
      </w:r>
      <w:r w:rsidRPr="00784DC3">
        <w:rPr>
          <w:rFonts w:asciiTheme="minorHAnsi" w:eastAsia="SimSun" w:hAnsiTheme="minorHAnsi"/>
          <w:szCs w:val="24"/>
        </w:rPr>
        <w:t xml:space="preserve"> vice-chair of the Council by acclamation.</w:t>
      </w:r>
    </w:p>
    <w:p w14:paraId="5D468B33" w14:textId="77777777" w:rsidR="00177DFC" w:rsidRPr="00784DC3" w:rsidRDefault="00177DFC" w:rsidP="00177DFC">
      <w:pPr>
        <w:tabs>
          <w:tab w:val="clear" w:pos="567"/>
          <w:tab w:val="clear" w:pos="1134"/>
          <w:tab w:val="clear" w:pos="1701"/>
          <w:tab w:val="clear" w:pos="2268"/>
          <w:tab w:val="clear" w:pos="2835"/>
        </w:tabs>
        <w:snapToGrid w:val="0"/>
        <w:spacing w:before="240" w:after="120"/>
        <w:jc w:val="both"/>
        <w:outlineLvl w:val="0"/>
        <w:rPr>
          <w:rFonts w:asciiTheme="minorHAnsi" w:eastAsia="SimSun" w:hAnsiTheme="minorHAnsi"/>
          <w:b/>
          <w:sz w:val="28"/>
          <w:szCs w:val="28"/>
        </w:rPr>
      </w:pPr>
      <w:r w:rsidRPr="00784DC3">
        <w:rPr>
          <w:rFonts w:asciiTheme="minorHAnsi" w:eastAsia="SimSun" w:hAnsiTheme="minorHAnsi"/>
          <w:b/>
          <w:sz w:val="28"/>
          <w:szCs w:val="28"/>
        </w:rPr>
        <w:t>3</w:t>
      </w:r>
      <w:r w:rsidRPr="00784DC3">
        <w:rPr>
          <w:rFonts w:asciiTheme="minorHAnsi" w:eastAsia="SimSun" w:hAnsiTheme="minorHAnsi"/>
          <w:b/>
          <w:sz w:val="28"/>
          <w:szCs w:val="28"/>
        </w:rPr>
        <w:tab/>
        <w:t>Address by the Chair of the Council</w:t>
      </w:r>
    </w:p>
    <w:p w14:paraId="7656FAE4" w14:textId="015B2E15" w:rsidR="00177DFC" w:rsidRPr="00784DC3" w:rsidRDefault="00177DFC" w:rsidP="00177DFC">
      <w:pPr>
        <w:tabs>
          <w:tab w:val="clear" w:pos="567"/>
          <w:tab w:val="clear" w:pos="1134"/>
          <w:tab w:val="clear" w:pos="1701"/>
          <w:tab w:val="clear" w:pos="2268"/>
          <w:tab w:val="clear" w:pos="2835"/>
        </w:tabs>
        <w:snapToGrid w:val="0"/>
        <w:spacing w:after="120"/>
        <w:jc w:val="both"/>
        <w:rPr>
          <w:rFonts w:eastAsia="SimSun"/>
          <w:bCs/>
          <w:szCs w:val="24"/>
        </w:rPr>
      </w:pPr>
      <w:r w:rsidRPr="00784DC3">
        <w:rPr>
          <w:rFonts w:eastAsia="SimSun"/>
          <w:szCs w:val="24"/>
        </w:rPr>
        <w:t>3.1</w:t>
      </w:r>
      <w:r w:rsidRPr="00784DC3">
        <w:rPr>
          <w:rFonts w:eastAsia="SimSun"/>
          <w:szCs w:val="24"/>
        </w:rPr>
        <w:tab/>
        <w:t>The Chair expressed gratitude for the trust placed in him and delivered the address available at:</w:t>
      </w:r>
      <w:r w:rsidRPr="00D1002E">
        <w:rPr>
          <w:rFonts w:eastAsia="SimSun"/>
        </w:rPr>
        <w:t xml:space="preserve"> </w:t>
      </w:r>
      <w:hyperlink r:id="rId16" w:history="1">
        <w:r w:rsidR="009D1B15" w:rsidRPr="00784DC3">
          <w:rPr>
            <w:rStyle w:val="Hyperlink"/>
            <w:rFonts w:eastAsia="SimSun"/>
            <w:spacing w:val="-2"/>
          </w:rPr>
          <w:t>http://council.itu.int/2024/wp-content/uploads/sites/4/2024/07/C24-Statement-Chair-Council_PLinaug.docx</w:t>
        </w:r>
      </w:hyperlink>
      <w:r w:rsidR="009D1B15" w:rsidRPr="00D1002E">
        <w:rPr>
          <w:rFonts w:eastAsia="SimSun"/>
        </w:rPr>
        <w:t xml:space="preserve">. </w:t>
      </w:r>
    </w:p>
    <w:p w14:paraId="01E3F518" w14:textId="77777777" w:rsidR="00177DFC" w:rsidRPr="00784DC3" w:rsidRDefault="00177DFC" w:rsidP="00177DFC">
      <w:pPr>
        <w:tabs>
          <w:tab w:val="clear" w:pos="567"/>
          <w:tab w:val="clear" w:pos="1134"/>
          <w:tab w:val="clear" w:pos="1701"/>
          <w:tab w:val="clear" w:pos="2268"/>
          <w:tab w:val="clear" w:pos="2835"/>
        </w:tabs>
        <w:snapToGrid w:val="0"/>
        <w:spacing w:before="240" w:after="120"/>
        <w:ind w:left="720" w:hanging="720"/>
        <w:jc w:val="both"/>
        <w:outlineLvl w:val="0"/>
        <w:rPr>
          <w:rFonts w:asciiTheme="minorHAnsi" w:eastAsia="SimSun" w:hAnsiTheme="minorHAnsi"/>
          <w:b/>
          <w:sz w:val="28"/>
          <w:szCs w:val="28"/>
        </w:rPr>
      </w:pPr>
      <w:r w:rsidRPr="00784DC3">
        <w:rPr>
          <w:rFonts w:asciiTheme="minorHAnsi" w:eastAsia="SimSun" w:hAnsiTheme="minorHAnsi"/>
          <w:b/>
          <w:sz w:val="28"/>
          <w:szCs w:val="28"/>
        </w:rPr>
        <w:t>4</w:t>
      </w:r>
      <w:r w:rsidRPr="00784DC3">
        <w:rPr>
          <w:rFonts w:asciiTheme="minorHAnsi" w:eastAsia="SimSun" w:hAnsiTheme="minorHAnsi"/>
          <w:b/>
          <w:sz w:val="28"/>
          <w:szCs w:val="28"/>
        </w:rPr>
        <w:tab/>
        <w:t>Chair and vice-chairs of the Standing Committee on Administration and Management</w:t>
      </w:r>
    </w:p>
    <w:p w14:paraId="213E3B5D" w14:textId="66C652C2" w:rsidR="00177DFC" w:rsidRPr="00784DC3" w:rsidRDefault="00177DFC" w:rsidP="00177DFC">
      <w:pPr>
        <w:tabs>
          <w:tab w:val="clear" w:pos="567"/>
          <w:tab w:val="clear" w:pos="1134"/>
          <w:tab w:val="clear" w:pos="1701"/>
          <w:tab w:val="clear" w:pos="2268"/>
          <w:tab w:val="clear" w:pos="2835"/>
        </w:tabs>
        <w:snapToGrid w:val="0"/>
        <w:spacing w:after="120"/>
        <w:jc w:val="both"/>
        <w:rPr>
          <w:rFonts w:eastAsia="SimSun"/>
          <w:szCs w:val="24"/>
        </w:rPr>
      </w:pPr>
      <w:r w:rsidRPr="00784DC3">
        <w:rPr>
          <w:rFonts w:eastAsia="SimSun"/>
          <w:szCs w:val="24"/>
        </w:rPr>
        <w:t>4.1</w:t>
      </w:r>
      <w:r w:rsidRPr="00784DC3">
        <w:rPr>
          <w:rFonts w:eastAsia="SimSun"/>
          <w:szCs w:val="24"/>
        </w:rPr>
        <w:tab/>
        <w:t>The Secretary-General recalled that Mr Dirk-Olivier von der Emden (Switzerland) would continue to serve as chair of the Standing Committee on Administration and Management</w:t>
      </w:r>
      <w:r w:rsidRPr="00784DC3" w:rsidDel="00DE048F">
        <w:rPr>
          <w:rFonts w:eastAsia="SimSun"/>
          <w:szCs w:val="24"/>
        </w:rPr>
        <w:t xml:space="preserve"> </w:t>
      </w:r>
      <w:r w:rsidRPr="00784DC3">
        <w:rPr>
          <w:rFonts w:eastAsia="SimSun"/>
          <w:szCs w:val="24"/>
        </w:rPr>
        <w:t>(ADM), and Ms</w:t>
      </w:r>
      <w:r w:rsidR="00DF1D53">
        <w:rPr>
          <w:rFonts w:eastAsia="SimSun"/>
          <w:szCs w:val="24"/>
        </w:rPr>
        <w:t xml:space="preserve"> </w:t>
      </w:r>
      <w:r w:rsidRPr="00784DC3">
        <w:rPr>
          <w:rFonts w:eastAsia="SimSun"/>
          <w:szCs w:val="24"/>
        </w:rPr>
        <w:t>Aparajita Sharma (India) and Mr</w:t>
      </w:r>
      <w:r w:rsidR="00DF1D53">
        <w:rPr>
          <w:rFonts w:eastAsia="SimSun"/>
          <w:szCs w:val="24"/>
        </w:rPr>
        <w:t xml:space="preserve"> </w:t>
      </w:r>
      <w:r w:rsidRPr="00784DC3">
        <w:rPr>
          <w:rFonts w:eastAsia="SimSun"/>
          <w:szCs w:val="24"/>
        </w:rPr>
        <w:t>Vilem Vesely (Czech Republic) would continue as vice-chairs of ADM.</w:t>
      </w:r>
    </w:p>
    <w:p w14:paraId="6B78279E" w14:textId="77777777" w:rsidR="00177DFC" w:rsidRPr="00784DC3" w:rsidRDefault="00177DFC" w:rsidP="00177DFC">
      <w:pPr>
        <w:keepNext/>
        <w:keepLines/>
        <w:tabs>
          <w:tab w:val="clear" w:pos="567"/>
          <w:tab w:val="clear" w:pos="1134"/>
          <w:tab w:val="clear" w:pos="1701"/>
          <w:tab w:val="clear" w:pos="2268"/>
          <w:tab w:val="clear" w:pos="2835"/>
        </w:tabs>
        <w:snapToGrid w:val="0"/>
        <w:spacing w:before="240" w:after="120"/>
        <w:jc w:val="both"/>
        <w:outlineLvl w:val="0"/>
        <w:rPr>
          <w:rFonts w:asciiTheme="minorHAnsi" w:eastAsia="SimSun" w:hAnsiTheme="minorHAnsi"/>
          <w:b/>
          <w:sz w:val="28"/>
          <w:szCs w:val="28"/>
        </w:rPr>
      </w:pPr>
      <w:r w:rsidRPr="00784DC3">
        <w:rPr>
          <w:rFonts w:asciiTheme="minorHAnsi" w:eastAsia="SimSun" w:hAnsiTheme="minorHAnsi"/>
          <w:b/>
          <w:sz w:val="28"/>
          <w:szCs w:val="28"/>
        </w:rPr>
        <w:t>5</w:t>
      </w:r>
      <w:r w:rsidRPr="00784DC3">
        <w:rPr>
          <w:rFonts w:asciiTheme="minorHAnsi" w:eastAsia="SimSun" w:hAnsiTheme="minorHAnsi"/>
          <w:b/>
          <w:sz w:val="28"/>
          <w:szCs w:val="28"/>
        </w:rPr>
        <w:tab/>
        <w:t>Address by the Secretary-General on the state of the Union</w:t>
      </w:r>
    </w:p>
    <w:p w14:paraId="7B94B827" w14:textId="13781063" w:rsidR="00177DFC" w:rsidRPr="00D1002E" w:rsidRDefault="00177DFC" w:rsidP="00784DC3">
      <w:pPr>
        <w:tabs>
          <w:tab w:val="clear" w:pos="567"/>
          <w:tab w:val="clear" w:pos="1134"/>
          <w:tab w:val="clear" w:pos="1701"/>
          <w:tab w:val="clear" w:pos="2268"/>
          <w:tab w:val="clear" w:pos="2835"/>
        </w:tabs>
        <w:snapToGrid w:val="0"/>
        <w:spacing w:after="120"/>
        <w:jc w:val="both"/>
        <w:rPr>
          <w:rFonts w:eastAsia="SimSun"/>
        </w:rPr>
      </w:pPr>
      <w:r w:rsidRPr="00784DC3">
        <w:rPr>
          <w:rFonts w:eastAsia="SimSun"/>
          <w:szCs w:val="24"/>
        </w:rPr>
        <w:t>5.1</w:t>
      </w:r>
      <w:r w:rsidRPr="00784DC3">
        <w:rPr>
          <w:rFonts w:eastAsia="SimSun"/>
          <w:szCs w:val="24"/>
        </w:rPr>
        <w:tab/>
        <w:t>The Secretary-General delivered the address on the state of the Union available at:</w:t>
      </w:r>
      <w:r w:rsidRPr="00D1002E">
        <w:rPr>
          <w:rFonts w:eastAsia="SimSun"/>
        </w:rPr>
        <w:t xml:space="preserve"> </w:t>
      </w:r>
      <w:hyperlink r:id="rId17" w:history="1">
        <w:r w:rsidR="001722A2" w:rsidRPr="00D1002E">
          <w:rPr>
            <w:rStyle w:val="Hyperlink"/>
            <w:rFonts w:eastAsia="SimSun"/>
          </w:rPr>
          <w:t>https://www.itu.int/en/osg/Pages/Speeches.aspx?ItemID=51</w:t>
        </w:r>
      </w:hyperlink>
    </w:p>
    <w:p w14:paraId="1369B5C5" w14:textId="05999032" w:rsidR="00177DFC" w:rsidRPr="00784DC3" w:rsidRDefault="00177DFC" w:rsidP="00177DFC">
      <w:p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eastAsia="SimSun"/>
          <w:b/>
          <w:bCs/>
          <w:sz w:val="28"/>
          <w:szCs w:val="28"/>
        </w:rPr>
      </w:pPr>
      <w:r w:rsidRPr="00D1002E">
        <w:rPr>
          <w:rFonts w:eastAsia="SimSun"/>
          <w:b/>
          <w:bCs/>
          <w:sz w:val="28"/>
          <w:szCs w:val="28"/>
        </w:rPr>
        <w:t>6</w:t>
      </w:r>
      <w:r w:rsidRPr="00D1002E">
        <w:rPr>
          <w:rFonts w:eastAsia="SimSun"/>
          <w:b/>
          <w:bCs/>
          <w:sz w:val="28"/>
          <w:szCs w:val="28"/>
        </w:rPr>
        <w:tab/>
      </w:r>
      <w:r w:rsidRPr="00784DC3">
        <w:rPr>
          <w:rFonts w:asciiTheme="minorHAnsi" w:eastAsia="SimSun" w:hAnsiTheme="minorHAnsi"/>
          <w:b/>
          <w:sz w:val="28"/>
          <w:szCs w:val="28"/>
        </w:rPr>
        <w:t>Approval of the agenda of the 2024 session of the Council (Document </w:t>
      </w:r>
      <w:hyperlink r:id="rId18" w:history="1">
        <w:r w:rsidRPr="00784DC3">
          <w:rPr>
            <w:rStyle w:val="Hyperlink"/>
            <w:rFonts w:asciiTheme="minorHAnsi" w:eastAsia="SimSun" w:hAnsiTheme="minorHAnsi"/>
            <w:b/>
            <w:sz w:val="28"/>
            <w:szCs w:val="28"/>
          </w:rPr>
          <w:t>C24/1(Rev.2)</w:t>
        </w:r>
      </w:hyperlink>
      <w:r w:rsidRPr="00784DC3">
        <w:rPr>
          <w:rFonts w:asciiTheme="minorHAnsi" w:eastAsia="SimSun" w:hAnsiTheme="minorHAnsi"/>
          <w:b/>
          <w:sz w:val="28"/>
          <w:szCs w:val="28"/>
        </w:rPr>
        <w:t>)</w:t>
      </w:r>
    </w:p>
    <w:p w14:paraId="596EF4F2" w14:textId="77777777" w:rsidR="00177DFC" w:rsidRPr="00D1002E"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6.1</w:t>
      </w:r>
      <w:r w:rsidRPr="00784DC3">
        <w:rPr>
          <w:rFonts w:eastAsia="SimSun"/>
        </w:rPr>
        <w:tab/>
        <w:t xml:space="preserve">The Secretary of the Plenary introduced Document C24/1(Rev.2), which was </w:t>
      </w:r>
      <w:r w:rsidRPr="00784DC3">
        <w:rPr>
          <w:rFonts w:eastAsia="SimSun"/>
          <w:b/>
          <w:bCs/>
        </w:rPr>
        <w:t>approved</w:t>
      </w:r>
      <w:r w:rsidRPr="00D1002E">
        <w:rPr>
          <w:rFonts w:eastAsia="SimSun"/>
        </w:rPr>
        <w:t>.</w:t>
      </w:r>
    </w:p>
    <w:p w14:paraId="10B7D277" w14:textId="77777777" w:rsidR="00177DFC" w:rsidRPr="00D1002E"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D1002E">
        <w:rPr>
          <w:rFonts w:eastAsia="SimSun"/>
        </w:rPr>
        <w:t>6.2</w:t>
      </w:r>
      <w:r w:rsidRPr="00D1002E">
        <w:rPr>
          <w:rFonts w:eastAsia="SimSun"/>
        </w:rPr>
        <w:tab/>
        <w:t>One councillor urged that, among the many key items on the Council’s agenda, particular importance be attached to reaching a decision on the ITU headquarters building at the current session; to reaching consensus on a specific resolution for support and assistance to Palestine in rebuilding its telecommunication sector; and to the WSIS+20 review and establishing the Global Digital Compact (GDC) in such a way as to avoid duplication and complement existing United Nations operations while ensuring ITU played an appropriate major role in implementing GDC outcomes.</w:t>
      </w:r>
    </w:p>
    <w:p w14:paraId="7711DDF1" w14:textId="09E12F63" w:rsidR="00177DFC" w:rsidRPr="00037C15" w:rsidRDefault="00177DFC" w:rsidP="00784DC3">
      <w:pPr>
        <w:keepNext/>
        <w:keepLines/>
        <w:tabs>
          <w:tab w:val="clear" w:pos="567"/>
          <w:tab w:val="clear" w:pos="1134"/>
          <w:tab w:val="clear" w:pos="1701"/>
          <w:tab w:val="clear" w:pos="2268"/>
          <w:tab w:val="clear" w:pos="2835"/>
        </w:tabs>
        <w:snapToGrid w:val="0"/>
        <w:spacing w:before="240" w:after="120"/>
        <w:jc w:val="both"/>
        <w:rPr>
          <w:rFonts w:eastAsia="SimSun"/>
          <w:b/>
          <w:sz w:val="28"/>
          <w:szCs w:val="28"/>
          <w:lang w:val="fr-CH"/>
        </w:rPr>
      </w:pPr>
      <w:r w:rsidRPr="00037C15">
        <w:rPr>
          <w:rFonts w:eastAsia="SimSun"/>
          <w:b/>
          <w:sz w:val="28"/>
          <w:szCs w:val="28"/>
          <w:lang w:val="fr-CH"/>
        </w:rPr>
        <w:lastRenderedPageBreak/>
        <w:t>7</w:t>
      </w:r>
      <w:r w:rsidRPr="00037C15">
        <w:rPr>
          <w:rFonts w:eastAsia="SimSun"/>
          <w:b/>
          <w:sz w:val="28"/>
          <w:szCs w:val="28"/>
          <w:lang w:val="fr-CH"/>
        </w:rPr>
        <w:tab/>
        <w:t>Allocation of documents (Document </w:t>
      </w:r>
      <w:hyperlink r:id="rId19" w:history="1">
        <w:r w:rsidRPr="00037C15">
          <w:rPr>
            <w:rStyle w:val="Hyperlink"/>
            <w:rFonts w:eastAsia="SimSun"/>
            <w:b/>
            <w:sz w:val="28"/>
            <w:szCs w:val="28"/>
            <w:lang w:val="fr-CH"/>
          </w:rPr>
          <w:t>C24/DT/1</w:t>
        </w:r>
      </w:hyperlink>
      <w:r w:rsidRPr="00037C15">
        <w:rPr>
          <w:rFonts w:eastAsia="SimSun"/>
          <w:b/>
          <w:sz w:val="28"/>
          <w:szCs w:val="28"/>
          <w:lang w:val="fr-CH"/>
        </w:rPr>
        <w:t>)</w:t>
      </w:r>
    </w:p>
    <w:p w14:paraId="037C6808" w14:textId="77777777" w:rsidR="00177DFC" w:rsidRPr="00D1002E" w:rsidRDefault="00177DFC" w:rsidP="00227284">
      <w:pPr>
        <w:keepNext/>
        <w:tabs>
          <w:tab w:val="clear" w:pos="567"/>
          <w:tab w:val="clear" w:pos="1134"/>
          <w:tab w:val="clear" w:pos="1701"/>
          <w:tab w:val="clear" w:pos="2268"/>
          <w:tab w:val="clear" w:pos="2835"/>
        </w:tabs>
        <w:snapToGrid w:val="0"/>
        <w:spacing w:after="120"/>
        <w:jc w:val="both"/>
        <w:rPr>
          <w:rFonts w:eastAsia="SimSun"/>
        </w:rPr>
      </w:pPr>
      <w:r w:rsidRPr="00784DC3">
        <w:rPr>
          <w:rFonts w:eastAsia="SimSun"/>
        </w:rPr>
        <w:t>7</w:t>
      </w:r>
      <w:r w:rsidRPr="00D1002E">
        <w:rPr>
          <w:rFonts w:eastAsia="SimSun"/>
        </w:rPr>
        <w:t>.1</w:t>
      </w:r>
      <w:r w:rsidRPr="00D1002E">
        <w:rPr>
          <w:rFonts w:eastAsia="SimSun"/>
        </w:rPr>
        <w:tab/>
      </w:r>
      <w:r w:rsidRPr="00784DC3">
        <w:rPr>
          <w:rFonts w:asciiTheme="minorHAnsi" w:eastAsia="SimSun" w:hAnsiTheme="minorHAnsi"/>
          <w:szCs w:val="24"/>
        </w:rPr>
        <w:t xml:space="preserve">The Secretary of the Plenary introduced Document C24/DT/1, which was </w:t>
      </w:r>
      <w:r w:rsidRPr="00784DC3">
        <w:rPr>
          <w:rFonts w:asciiTheme="minorHAnsi" w:eastAsia="SimSun" w:hAnsiTheme="minorHAnsi"/>
          <w:b/>
          <w:bCs/>
          <w:szCs w:val="24"/>
        </w:rPr>
        <w:t>approved</w:t>
      </w:r>
      <w:r w:rsidRPr="00D1002E">
        <w:rPr>
          <w:rFonts w:eastAsia="SimSun"/>
        </w:rPr>
        <w:t>.</w:t>
      </w:r>
    </w:p>
    <w:p w14:paraId="56AFA996" w14:textId="44A64E41" w:rsidR="00177DFC" w:rsidRPr="00784DC3" w:rsidRDefault="00177DFC" w:rsidP="00177DFC">
      <w:pPr>
        <w:keepNext/>
        <w:keepLines/>
        <w:tabs>
          <w:tab w:val="clear" w:pos="567"/>
          <w:tab w:val="clear" w:pos="1134"/>
          <w:tab w:val="clear" w:pos="1701"/>
          <w:tab w:val="clear" w:pos="2268"/>
          <w:tab w:val="clear" w:pos="2835"/>
        </w:tabs>
        <w:snapToGrid w:val="0"/>
        <w:spacing w:before="240" w:after="120"/>
        <w:jc w:val="both"/>
        <w:rPr>
          <w:rFonts w:eastAsia="SimSun"/>
          <w:b/>
          <w:sz w:val="28"/>
          <w:szCs w:val="28"/>
        </w:rPr>
      </w:pPr>
      <w:r w:rsidRPr="00784DC3">
        <w:rPr>
          <w:rFonts w:eastAsia="SimSun"/>
          <w:b/>
          <w:sz w:val="28"/>
          <w:szCs w:val="28"/>
        </w:rPr>
        <w:t>8</w:t>
      </w:r>
      <w:r w:rsidRPr="00784DC3">
        <w:rPr>
          <w:rFonts w:eastAsia="SimSun"/>
          <w:b/>
          <w:sz w:val="28"/>
          <w:szCs w:val="28"/>
        </w:rPr>
        <w:tab/>
        <w:t xml:space="preserve">Time-management </w:t>
      </w:r>
      <w:proofErr w:type="gramStart"/>
      <w:r w:rsidRPr="00784DC3">
        <w:rPr>
          <w:rFonts w:eastAsia="SimSun"/>
          <w:b/>
          <w:sz w:val="28"/>
          <w:szCs w:val="28"/>
        </w:rPr>
        <w:t>plan</w:t>
      </w:r>
      <w:proofErr w:type="gramEnd"/>
      <w:r w:rsidRPr="00784DC3">
        <w:rPr>
          <w:rFonts w:eastAsia="SimSun"/>
          <w:b/>
          <w:sz w:val="28"/>
          <w:szCs w:val="28"/>
        </w:rPr>
        <w:t xml:space="preserve"> (Document </w:t>
      </w:r>
      <w:hyperlink r:id="rId20" w:history="1">
        <w:r w:rsidRPr="00784DC3">
          <w:rPr>
            <w:rStyle w:val="Hyperlink"/>
            <w:rFonts w:eastAsia="SimSun"/>
            <w:b/>
            <w:sz w:val="28"/>
            <w:szCs w:val="28"/>
          </w:rPr>
          <w:t>C24/DT/2(Rev.3)</w:t>
        </w:r>
      </w:hyperlink>
      <w:r w:rsidRPr="00784DC3">
        <w:rPr>
          <w:rFonts w:eastAsia="SimSun"/>
          <w:b/>
          <w:sz w:val="28"/>
          <w:szCs w:val="28"/>
        </w:rPr>
        <w:t>)</w:t>
      </w:r>
    </w:p>
    <w:p w14:paraId="2C09BF8D" w14:textId="77777777" w:rsidR="00177DFC" w:rsidRPr="00D1002E" w:rsidRDefault="00177DFC" w:rsidP="00784DC3">
      <w:pPr>
        <w:tabs>
          <w:tab w:val="clear" w:pos="567"/>
          <w:tab w:val="clear" w:pos="1134"/>
          <w:tab w:val="clear" w:pos="1701"/>
          <w:tab w:val="clear" w:pos="2268"/>
          <w:tab w:val="clear" w:pos="2835"/>
        </w:tabs>
        <w:snapToGrid w:val="0"/>
        <w:spacing w:after="120"/>
        <w:jc w:val="both"/>
        <w:rPr>
          <w:rFonts w:eastAsia="SimSun"/>
        </w:rPr>
      </w:pPr>
      <w:r w:rsidRPr="00D1002E">
        <w:rPr>
          <w:rFonts w:eastAsia="SimSun"/>
        </w:rPr>
        <w:t>8.1</w:t>
      </w:r>
      <w:r w:rsidRPr="00D1002E">
        <w:rPr>
          <w:rFonts w:eastAsia="SimSun"/>
        </w:rPr>
        <w:tab/>
      </w:r>
      <w:r w:rsidRPr="00784DC3">
        <w:rPr>
          <w:rFonts w:asciiTheme="minorHAnsi" w:eastAsia="SimSun" w:hAnsiTheme="minorHAnsi"/>
          <w:szCs w:val="24"/>
        </w:rPr>
        <w:t xml:space="preserve">The Secretary of the Plenary introduced the time-management plan for plenary meetings contained in </w:t>
      </w:r>
      <w:r w:rsidRPr="00784DC3">
        <w:rPr>
          <w:rFonts w:asciiTheme="minorHAnsi" w:eastAsia="SimSun" w:hAnsiTheme="minorHAnsi"/>
          <w:bCs/>
          <w:szCs w:val="24"/>
        </w:rPr>
        <w:t>Document C24/DT/2(Rev.3), which</w:t>
      </w:r>
      <w:r w:rsidRPr="00784DC3">
        <w:rPr>
          <w:rFonts w:asciiTheme="minorHAnsi" w:eastAsia="SimSun" w:hAnsiTheme="minorHAnsi"/>
          <w:szCs w:val="24"/>
        </w:rPr>
        <w:t xml:space="preserve"> was </w:t>
      </w:r>
      <w:r w:rsidRPr="00784DC3">
        <w:rPr>
          <w:rFonts w:asciiTheme="minorHAnsi" w:eastAsia="SimSun" w:hAnsiTheme="minorHAnsi"/>
          <w:b/>
          <w:bCs/>
          <w:szCs w:val="24"/>
        </w:rPr>
        <w:t>approved</w:t>
      </w:r>
      <w:r w:rsidRPr="00D1002E">
        <w:rPr>
          <w:rFonts w:eastAsia="SimSun"/>
        </w:rPr>
        <w:t>.</w:t>
      </w:r>
    </w:p>
    <w:p w14:paraId="0D0658D2" w14:textId="77777777" w:rsidR="00177DFC" w:rsidRPr="00D1002E" w:rsidRDefault="00177DFC" w:rsidP="00784DC3">
      <w:pPr>
        <w:tabs>
          <w:tab w:val="clear" w:pos="567"/>
          <w:tab w:val="clear" w:pos="1134"/>
          <w:tab w:val="clear" w:pos="1701"/>
          <w:tab w:val="clear" w:pos="2268"/>
          <w:tab w:val="clear" w:pos="2835"/>
        </w:tabs>
        <w:snapToGrid w:val="0"/>
        <w:spacing w:after="120"/>
        <w:jc w:val="both"/>
        <w:rPr>
          <w:rFonts w:eastAsia="SimSun"/>
        </w:rPr>
      </w:pPr>
      <w:r w:rsidRPr="00D1002E">
        <w:rPr>
          <w:rFonts w:eastAsia="SimSun"/>
        </w:rPr>
        <w:t>8.2</w:t>
      </w:r>
      <w:r w:rsidRPr="00D1002E">
        <w:rPr>
          <w:rFonts w:eastAsia="SimSun"/>
        </w:rPr>
        <w:tab/>
        <w:t>She also drew attention to the time-management plan for the ADM committee contained in Document C24/DT/3(Rev.3). Both time-management plans would be updated as the work of the Council progressed.</w:t>
      </w:r>
    </w:p>
    <w:p w14:paraId="478A2689" w14:textId="77777777" w:rsidR="00177DFC" w:rsidRPr="00784DC3" w:rsidRDefault="00177DFC" w:rsidP="00177DFC">
      <w:pPr>
        <w:tabs>
          <w:tab w:val="clear" w:pos="567"/>
          <w:tab w:val="clear" w:pos="1134"/>
          <w:tab w:val="clear" w:pos="1701"/>
          <w:tab w:val="clear" w:pos="2268"/>
          <w:tab w:val="clear" w:pos="2835"/>
        </w:tabs>
        <w:snapToGrid w:val="0"/>
        <w:spacing w:before="240" w:after="120"/>
        <w:jc w:val="both"/>
        <w:outlineLvl w:val="0"/>
        <w:rPr>
          <w:rFonts w:asciiTheme="minorHAnsi" w:eastAsia="SimSun" w:hAnsiTheme="minorHAnsi"/>
          <w:b/>
          <w:sz w:val="28"/>
          <w:szCs w:val="28"/>
        </w:rPr>
      </w:pPr>
      <w:r w:rsidRPr="00784DC3">
        <w:rPr>
          <w:rFonts w:asciiTheme="minorHAnsi" w:eastAsia="SimSun" w:hAnsiTheme="minorHAnsi"/>
          <w:b/>
          <w:sz w:val="28"/>
          <w:szCs w:val="28"/>
        </w:rPr>
        <w:t>9</w:t>
      </w:r>
      <w:r w:rsidRPr="00784DC3">
        <w:rPr>
          <w:rFonts w:asciiTheme="minorHAnsi" w:eastAsia="SimSun" w:hAnsiTheme="minorHAnsi"/>
          <w:b/>
          <w:sz w:val="28"/>
          <w:szCs w:val="28"/>
        </w:rPr>
        <w:tab/>
        <w:t>Organizational matters</w:t>
      </w:r>
    </w:p>
    <w:p w14:paraId="19F54318" w14:textId="77777777" w:rsidR="00177DFC" w:rsidRPr="00784DC3" w:rsidRDefault="00177DFC" w:rsidP="00177DFC">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784DC3">
        <w:rPr>
          <w:rFonts w:asciiTheme="minorHAnsi" w:eastAsia="SimSun" w:hAnsiTheme="minorHAnsi"/>
          <w:szCs w:val="24"/>
        </w:rPr>
        <w:t>9.1</w:t>
      </w:r>
      <w:r w:rsidRPr="00784DC3">
        <w:rPr>
          <w:rFonts w:asciiTheme="minorHAnsi" w:eastAsia="SimSun" w:hAnsiTheme="minorHAnsi"/>
          <w:szCs w:val="24"/>
        </w:rPr>
        <w:tab/>
        <w:t>The Secretary of the Plenary</w:t>
      </w:r>
      <w:r w:rsidRPr="00784DC3">
        <w:rPr>
          <w:rFonts w:asciiTheme="minorHAnsi" w:eastAsia="SimSun" w:hAnsiTheme="minorHAnsi"/>
          <w:bCs/>
          <w:szCs w:val="24"/>
        </w:rPr>
        <w:t>, after confirming the customary working hours, said that</w:t>
      </w:r>
      <w:r w:rsidRPr="00784DC3">
        <w:rPr>
          <w:rFonts w:asciiTheme="minorHAnsi" w:eastAsia="SimSun" w:hAnsiTheme="minorHAnsi"/>
          <w:szCs w:val="24"/>
        </w:rPr>
        <w:t xml:space="preserve"> interpretation and documentation would be provided in the Union's six official languages. All documents would be made available on the Council webpage and via the C24 Sync application. The proceedings would be webcast, in accordance with previous practice. Captioning in English of the plenary and standing committee discussions would be provided within the meeting room and on the web. </w:t>
      </w:r>
    </w:p>
    <w:p w14:paraId="711BA3B7" w14:textId="77777777" w:rsidR="00177DFC" w:rsidRPr="00784DC3" w:rsidRDefault="00177DFC" w:rsidP="00177DFC">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784DC3">
        <w:rPr>
          <w:rFonts w:asciiTheme="minorHAnsi" w:eastAsia="SimSun" w:hAnsiTheme="minorHAnsi"/>
          <w:szCs w:val="24"/>
        </w:rPr>
        <w:t>9.2</w:t>
      </w:r>
      <w:r w:rsidRPr="00784DC3">
        <w:rPr>
          <w:rFonts w:asciiTheme="minorHAnsi" w:eastAsia="SimSun" w:hAnsiTheme="minorHAnsi"/>
          <w:szCs w:val="24"/>
        </w:rPr>
        <w:tab/>
        <w:t>Remote participation was available. Remote participants would be given the floor after councillors present in the Popov room. Decisions would be taken only by councillors physically present. Observer Member States could only speak once on a given item.</w:t>
      </w:r>
    </w:p>
    <w:p w14:paraId="4C64A5EE" w14:textId="77777777" w:rsidR="00177DFC" w:rsidRPr="00784DC3" w:rsidRDefault="00177DFC" w:rsidP="00177DFC">
      <w:pPr>
        <w:tabs>
          <w:tab w:val="clear" w:pos="567"/>
          <w:tab w:val="clear" w:pos="1134"/>
          <w:tab w:val="clear" w:pos="1701"/>
          <w:tab w:val="clear" w:pos="2268"/>
          <w:tab w:val="clear" w:pos="2835"/>
        </w:tabs>
        <w:snapToGrid w:val="0"/>
        <w:spacing w:after="120"/>
        <w:jc w:val="both"/>
        <w:rPr>
          <w:rFonts w:asciiTheme="minorHAnsi" w:eastAsia="SimSun" w:hAnsiTheme="minorHAnsi"/>
          <w:bCs/>
          <w:szCs w:val="24"/>
        </w:rPr>
      </w:pPr>
      <w:r w:rsidRPr="00784DC3">
        <w:rPr>
          <w:rFonts w:asciiTheme="minorHAnsi" w:eastAsia="SimSun" w:hAnsiTheme="minorHAnsi"/>
          <w:bCs/>
          <w:szCs w:val="24"/>
        </w:rPr>
        <w:t>9.3</w:t>
      </w:r>
      <w:r w:rsidRPr="00784DC3">
        <w:rPr>
          <w:rFonts w:asciiTheme="minorHAnsi" w:eastAsia="SimSun" w:hAnsiTheme="minorHAnsi"/>
          <w:bCs/>
          <w:szCs w:val="24"/>
        </w:rPr>
        <w:tab/>
        <w:t>Participants were reminded that there was a standard of conduct, integrity and respect for diversity and professionalism that all could reasonably expect in discussions, free of discrimination and harassment. The Code of Conduct to Prevent Harassment, including Sexual Harassment, at UN System Events was applicable to all ITU meetings.</w:t>
      </w:r>
    </w:p>
    <w:p w14:paraId="4C3E7E71"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eastAsia="SimSun" w:hAnsiTheme="minorHAnsi"/>
          <w:bCs/>
          <w:szCs w:val="24"/>
        </w:rPr>
      </w:pPr>
      <w:r w:rsidRPr="00784DC3">
        <w:rPr>
          <w:rFonts w:asciiTheme="minorHAnsi" w:eastAsia="SimSun" w:hAnsiTheme="minorHAnsi"/>
          <w:szCs w:val="24"/>
        </w:rPr>
        <w:t>9.4</w:t>
      </w:r>
      <w:r w:rsidRPr="00784DC3">
        <w:rPr>
          <w:rFonts w:asciiTheme="minorHAnsi" w:eastAsia="SimSun" w:hAnsiTheme="minorHAnsi"/>
          <w:szCs w:val="24"/>
        </w:rPr>
        <w:tab/>
        <w:t xml:space="preserve">The information on the organization of work for the 2024 session was </w:t>
      </w:r>
      <w:r w:rsidRPr="00784DC3">
        <w:rPr>
          <w:rFonts w:asciiTheme="minorHAnsi" w:eastAsia="SimSun" w:hAnsiTheme="minorHAnsi"/>
          <w:b/>
          <w:szCs w:val="24"/>
        </w:rPr>
        <w:t>noted</w:t>
      </w:r>
      <w:r w:rsidRPr="00784DC3">
        <w:rPr>
          <w:rFonts w:asciiTheme="minorHAnsi" w:eastAsia="SimSun" w:hAnsiTheme="minorHAnsi"/>
          <w:bCs/>
          <w:szCs w:val="24"/>
        </w:rPr>
        <w:t>.</w:t>
      </w:r>
    </w:p>
    <w:p w14:paraId="14858CDF" w14:textId="25009158" w:rsidR="00177DFC" w:rsidRPr="00784DC3" w:rsidRDefault="00177DFC" w:rsidP="00177DFC">
      <w:p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eastAsia="SimSun"/>
          <w:sz w:val="28"/>
          <w:szCs w:val="28"/>
        </w:rPr>
      </w:pPr>
      <w:r w:rsidRPr="00784DC3">
        <w:rPr>
          <w:rFonts w:eastAsia="SimSun"/>
          <w:b/>
          <w:bCs/>
          <w:sz w:val="28"/>
          <w:szCs w:val="28"/>
        </w:rPr>
        <w:t>10</w:t>
      </w:r>
      <w:r w:rsidRPr="00784DC3">
        <w:rPr>
          <w:rFonts w:eastAsia="SimSun"/>
          <w:b/>
          <w:bCs/>
          <w:sz w:val="28"/>
          <w:szCs w:val="28"/>
        </w:rPr>
        <w:tab/>
        <w:t>Report on the implementation of the strategic plan and the activities of the Union for 2023-2024 (Document </w:t>
      </w:r>
      <w:hyperlink r:id="rId21" w:history="1">
        <w:r w:rsidRPr="00784DC3">
          <w:rPr>
            <w:rStyle w:val="Hyperlink"/>
            <w:rFonts w:eastAsia="SimSun"/>
            <w:b/>
            <w:bCs/>
            <w:sz w:val="28"/>
            <w:szCs w:val="28"/>
          </w:rPr>
          <w:t>C24/35</w:t>
        </w:r>
      </w:hyperlink>
      <w:r w:rsidRPr="00784DC3">
        <w:rPr>
          <w:rFonts w:eastAsia="SimSun"/>
          <w:b/>
          <w:bCs/>
          <w:sz w:val="28"/>
          <w:szCs w:val="28"/>
        </w:rPr>
        <w:t>)</w:t>
      </w:r>
      <w:r w:rsidRPr="00784DC3">
        <w:rPr>
          <w:rFonts w:eastAsia="SimSun"/>
          <w:sz w:val="28"/>
          <w:szCs w:val="28"/>
        </w:rPr>
        <w:t xml:space="preserve"> </w:t>
      </w:r>
    </w:p>
    <w:p w14:paraId="6279F5FD" w14:textId="4A9AE9BC"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10.1</w:t>
      </w:r>
      <w:r w:rsidRPr="00784DC3">
        <w:rPr>
          <w:rFonts w:eastAsia="SimSun"/>
        </w:rPr>
        <w:tab/>
        <w:t>The Deputy Secretary-General introduced the report in</w:t>
      </w:r>
      <w:r w:rsidRPr="00D1002E">
        <w:rPr>
          <w:rFonts w:eastAsia="SimSun"/>
        </w:rPr>
        <w:t xml:space="preserve"> </w:t>
      </w:r>
      <w:r w:rsidRPr="00784DC3">
        <w:rPr>
          <w:rFonts w:eastAsia="SimSun"/>
        </w:rPr>
        <w:t xml:space="preserve">Document C24/35, which, together with the dedicated web platform on the implementation of resolutions of the Plenipotentiary Conference and a Power BI report based on various dashboards displaying results for each of the targets in the strategic plans, constituted the annual report on the implementation of the strategic plan and activities of the Union. As it covered the period May 2023 to April 2024, the report captured the completion of the strategic plan for 2020-2023, with results on its 24 targets and five goals, while providing a baseline for the bold new direction towards the two overarching priorities of </w:t>
      </w:r>
      <w:bookmarkStart w:id="10" w:name="_Hlk168487943"/>
      <w:r w:rsidRPr="00784DC3">
        <w:rPr>
          <w:rFonts w:eastAsia="SimSun"/>
        </w:rPr>
        <w:t xml:space="preserve">universal connectivity and sustainable digital transformation </w:t>
      </w:r>
      <w:bookmarkEnd w:id="10"/>
      <w:r w:rsidRPr="00784DC3">
        <w:rPr>
          <w:rFonts w:eastAsia="SimSun"/>
        </w:rPr>
        <w:t xml:space="preserve">and the 12 targets set forth in the plan for 2024-2027. The intention was in future to move to a reporting period corresponding to the calendar year, to better align on the Union’s financial reporting. The wealth of data in the report testified to steady progress towards universal connectivity and sustainable digital transformation, but also persistent challenges. The report also highlighted positive trends and actions </w:t>
      </w:r>
      <w:proofErr w:type="gramStart"/>
      <w:r w:rsidRPr="00784DC3">
        <w:rPr>
          <w:rFonts w:eastAsia="SimSun"/>
        </w:rPr>
        <w:t>in regard to</w:t>
      </w:r>
      <w:proofErr w:type="gramEnd"/>
      <w:r w:rsidRPr="00784DC3">
        <w:rPr>
          <w:rFonts w:eastAsia="SimSun"/>
        </w:rPr>
        <w:t xml:space="preserve"> partnerships, membership and financial implementation, and captured the work accomplished by the three Sectors.</w:t>
      </w:r>
    </w:p>
    <w:p w14:paraId="7BDEE6D7"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lastRenderedPageBreak/>
        <w:t>10.2</w:t>
      </w:r>
      <w:r w:rsidRPr="00784DC3">
        <w:rPr>
          <w:rFonts w:eastAsia="SimSun"/>
        </w:rPr>
        <w:tab/>
        <w:t>Councillors expressed appreciation for the comprehensive report, commending in particular the work accomplished and continued focus on universal connectivity and sustainable digital transformation, and highlighting the key areas where the Union’s activities had delivered progress and which must be pursued in order to address the challenges faced: connectivity, affordability, bridging the digital divide, inclusive digital development, narrowing the gender gap, youth engagement, sustainable digital practices, standards for energy-efficient equipment, e-waste management, recycling, circular economy, climate change, and use of new technologies, notably artificial intelligence (AI), within an ethical framework that mitigated risks. Some councillors pointed to national measures their countries were undertaking towards digital connectivity and sustainability.</w:t>
      </w:r>
    </w:p>
    <w:p w14:paraId="314AB094"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10.3</w:t>
      </w:r>
      <w:r w:rsidRPr="00784DC3">
        <w:rPr>
          <w:rFonts w:eastAsia="SimSun"/>
        </w:rPr>
        <w:tab/>
        <w:t>Several councillors emphasized the major importance of multistakeholder collaboration and partnerships and welcomed the success of the P2C initiative and other creative ideas for partnership and innovation to meet the increasing needs of the membership. Two councillors reported that their administrations were striving to increase the participation of their regulators, industry and academia in ITU.</w:t>
      </w:r>
    </w:p>
    <w:p w14:paraId="1964FBF4"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10.4</w:t>
      </w:r>
      <w:r w:rsidRPr="00784DC3">
        <w:rPr>
          <w:rFonts w:eastAsia="SimSun"/>
        </w:rPr>
        <w:tab/>
      </w:r>
      <w:proofErr w:type="gramStart"/>
      <w:r w:rsidRPr="00784DC3">
        <w:rPr>
          <w:rFonts w:eastAsia="SimSun"/>
        </w:rPr>
        <w:t>A number of</w:t>
      </w:r>
      <w:proofErr w:type="gramEnd"/>
      <w:r w:rsidRPr="00784DC3">
        <w:rPr>
          <w:rFonts w:eastAsia="SimSun"/>
        </w:rPr>
        <w:t xml:space="preserve"> councillors welcomed the outcomes of WRC-23, which were important for management and use of the spectrum and for space services in particular, benefiting connectivity and attainment of the United Nations Sustainable Development Goals (SDGs).</w:t>
      </w:r>
    </w:p>
    <w:p w14:paraId="52227F7B"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10.5</w:t>
      </w:r>
      <w:r w:rsidRPr="00784DC3">
        <w:rPr>
          <w:rFonts w:eastAsia="SimSun"/>
        </w:rPr>
        <w:tab/>
        <w:t xml:space="preserve">Several councillors expressed </w:t>
      </w:r>
      <w:proofErr w:type="gramStart"/>
      <w:r w:rsidRPr="00784DC3">
        <w:rPr>
          <w:rFonts w:eastAsia="SimSun"/>
        </w:rPr>
        <w:t>particular appreciation</w:t>
      </w:r>
      <w:proofErr w:type="gramEnd"/>
      <w:r w:rsidRPr="00784DC3">
        <w:rPr>
          <w:rFonts w:eastAsia="SimSun"/>
        </w:rPr>
        <w:t xml:space="preserve"> for the ongoing efforts to transform ITU and make it fit for purpose. The Council itself had a role to play in providing guidance and oversight for ITU to deliver on its core priorities in radiocommunications, standards and ICT development. Accelerating transformation initiatives </w:t>
      </w:r>
      <w:proofErr w:type="gramStart"/>
      <w:r w:rsidRPr="00784DC3">
        <w:rPr>
          <w:rFonts w:eastAsia="SimSun"/>
        </w:rPr>
        <w:t>so as to</w:t>
      </w:r>
      <w:proofErr w:type="gramEnd"/>
      <w:r w:rsidRPr="00784DC3">
        <w:rPr>
          <w:rFonts w:eastAsia="SimSun"/>
        </w:rPr>
        <w:t xml:space="preserve"> enhance ITU’s oversight mechanisms, transparency and ethics and strengthen its financial management, as well as a clear decision on the Union’s headquarters, would all contribute to equipping the Union to tackle the emerging challenges in terms of connectivity and sustainable digital transformation. </w:t>
      </w:r>
    </w:p>
    <w:p w14:paraId="1081623C"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10.6</w:t>
      </w:r>
      <w:r w:rsidRPr="00784DC3">
        <w:rPr>
          <w:rFonts w:eastAsia="SimSun"/>
        </w:rPr>
        <w:tab/>
        <w:t>One councillor suggested that future reports should track the evolving context in which the implementation was taking place, better identify evolving strategic risks and mitigation measures, and provide more information on how the enablers were effectively contributing to implementation of the strategic plan.</w:t>
      </w:r>
    </w:p>
    <w:p w14:paraId="4EA25563" w14:textId="7232D46F"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10.7</w:t>
      </w:r>
      <w:r w:rsidRPr="00784DC3">
        <w:rPr>
          <w:rFonts w:eastAsia="SimSun"/>
        </w:rPr>
        <w:tab/>
        <w:t xml:space="preserve">Responding to a question from a councillor, the Deputy Secretary-General explained that as the report spanned the transition between two strategic plans, it was obliged to address the priorities identified in both; from next year onwards; however, the annual report would fully reflect the strategic goals and thematic priorities set out in the strategic plan for 2024-2027. He thanked councillors for their feedback and suggestions for improvement, which would be taken on board, and especially for their commitment and engagement in ITU’s work in general and its transformation in particular. The need to operate in an integrated manner with the global United Nations processes, including the future GDC, was fully understood. Referring to the persistent gaps identified, he gave councillors an insight into some of the work planned for the coming period, citing relevant examples. </w:t>
      </w:r>
    </w:p>
    <w:p w14:paraId="44B29CA4" w14:textId="77777777" w:rsidR="00177DFC" w:rsidRPr="00D1002E"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10.8</w:t>
      </w:r>
      <w:r w:rsidRPr="00784DC3">
        <w:rPr>
          <w:rFonts w:eastAsia="SimSun"/>
        </w:rPr>
        <w:tab/>
        <w:t xml:space="preserve">Document C24/35 was </w:t>
      </w:r>
      <w:r w:rsidRPr="00784DC3">
        <w:rPr>
          <w:rFonts w:eastAsia="SimSun"/>
          <w:b/>
          <w:bCs/>
        </w:rPr>
        <w:t>approved</w:t>
      </w:r>
      <w:r w:rsidRPr="00784DC3">
        <w:rPr>
          <w:rFonts w:eastAsia="SimSun"/>
        </w:rPr>
        <w:t>.</w:t>
      </w:r>
    </w:p>
    <w:p w14:paraId="13302C14" w14:textId="488F5051" w:rsidR="00177DFC" w:rsidRPr="00784DC3" w:rsidRDefault="00177DFC" w:rsidP="00784DC3">
      <w:pPr>
        <w:keepNext/>
        <w:keepLines/>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eastAsia="SimSun"/>
          <w:b/>
          <w:bCs/>
          <w:sz w:val="28"/>
          <w:szCs w:val="28"/>
        </w:rPr>
      </w:pPr>
      <w:r w:rsidRPr="00784DC3">
        <w:rPr>
          <w:rFonts w:eastAsia="SimSun"/>
          <w:b/>
          <w:bCs/>
          <w:sz w:val="28"/>
          <w:szCs w:val="28"/>
        </w:rPr>
        <w:lastRenderedPageBreak/>
        <w:t>11</w:t>
      </w:r>
      <w:r w:rsidRPr="00784DC3">
        <w:rPr>
          <w:rFonts w:eastAsia="SimSun"/>
          <w:b/>
          <w:bCs/>
          <w:sz w:val="28"/>
          <w:szCs w:val="28"/>
        </w:rPr>
        <w:tab/>
        <w:t xml:space="preserve">Operational </w:t>
      </w:r>
      <w:proofErr w:type="gramStart"/>
      <w:r w:rsidRPr="00784DC3">
        <w:rPr>
          <w:rFonts w:eastAsia="SimSun"/>
          <w:b/>
          <w:bCs/>
          <w:sz w:val="28"/>
          <w:szCs w:val="28"/>
        </w:rPr>
        <w:t>plan</w:t>
      </w:r>
      <w:proofErr w:type="gramEnd"/>
      <w:r w:rsidRPr="00784DC3">
        <w:rPr>
          <w:rFonts w:eastAsia="SimSun"/>
          <w:b/>
          <w:bCs/>
          <w:sz w:val="28"/>
          <w:szCs w:val="28"/>
        </w:rPr>
        <w:t xml:space="preserve"> for the Union for 2025-2028 (Document </w:t>
      </w:r>
      <w:hyperlink r:id="rId22" w:history="1">
        <w:r w:rsidRPr="00784DC3">
          <w:rPr>
            <w:rStyle w:val="Hyperlink"/>
            <w:rFonts w:eastAsia="SimSun"/>
            <w:b/>
            <w:bCs/>
            <w:sz w:val="28"/>
            <w:szCs w:val="28"/>
          </w:rPr>
          <w:t>C24/28</w:t>
        </w:r>
      </w:hyperlink>
      <w:r w:rsidRPr="00784DC3">
        <w:rPr>
          <w:rFonts w:eastAsia="SimSun"/>
          <w:b/>
          <w:bCs/>
          <w:sz w:val="28"/>
          <w:szCs w:val="28"/>
        </w:rPr>
        <w:t>)</w:t>
      </w:r>
    </w:p>
    <w:p w14:paraId="3A17AF57" w14:textId="22039C25" w:rsidR="00177DFC" w:rsidRPr="00784DC3" w:rsidRDefault="00177DFC" w:rsidP="00784DC3">
      <w:pPr>
        <w:keepLines/>
        <w:tabs>
          <w:tab w:val="clear" w:pos="567"/>
          <w:tab w:val="clear" w:pos="1134"/>
          <w:tab w:val="clear" w:pos="1701"/>
          <w:tab w:val="clear" w:pos="2268"/>
          <w:tab w:val="clear" w:pos="2835"/>
        </w:tabs>
        <w:overflowPunct/>
        <w:autoSpaceDE/>
        <w:autoSpaceDN/>
        <w:adjustRightInd/>
        <w:spacing w:after="120"/>
        <w:jc w:val="both"/>
        <w:textAlignment w:val="auto"/>
        <w:rPr>
          <w:rFonts w:eastAsia="SimSun"/>
          <w:b/>
          <w:bCs/>
        </w:rPr>
      </w:pPr>
      <w:r w:rsidRPr="00784DC3">
        <w:rPr>
          <w:rFonts w:eastAsia="SimSun"/>
        </w:rPr>
        <w:t>11.1</w:t>
      </w:r>
      <w:r w:rsidRPr="00784DC3">
        <w:rPr>
          <w:rFonts w:eastAsia="SimSun"/>
        </w:rPr>
        <w:tab/>
        <w:t>The Chief of the Financial Resources Management Department (FRMD) introduced Document C23/28, which contained the draft four-year rolling operational plan for the Union for 2025-2028 and, in annex, a draft resolution on the approval thereof. The draft plan followed the structure of the strategic and financial plans for 2024-2027 approved by PP-</w:t>
      </w:r>
      <w:proofErr w:type="gramStart"/>
      <w:r w:rsidRPr="00784DC3">
        <w:rPr>
          <w:rFonts w:eastAsia="SimSun"/>
        </w:rPr>
        <w:t>22, and</w:t>
      </w:r>
      <w:proofErr w:type="gramEnd"/>
      <w:r w:rsidRPr="00784DC3">
        <w:rPr>
          <w:rFonts w:eastAsia="SimSun"/>
        </w:rPr>
        <w:t xml:space="preserve"> provided the following information on the five thematic priorities and the 43 outputs: description of the thematic priority; summary of cost allocation for 2025; key outline of outcomes and outcome indicators; key risk factors; and contribution of outputs to 2025 costs for each thematic priority. The operational plans for ITU-R and ITU-D had been presented at the Radiocommunication Advisory Group and Telecommunication Development Advisory Group meetings, respectively. The operational plan for ITU-T would be presented to the Telecommunication Standardization Advisory Group meeting at the end of Ju</w:t>
      </w:r>
      <w:r w:rsidR="2449B07C" w:rsidRPr="00784DC3">
        <w:rPr>
          <w:rFonts w:eastAsia="SimSun"/>
        </w:rPr>
        <w:t>ly</w:t>
      </w:r>
      <w:r w:rsidRPr="00784DC3">
        <w:rPr>
          <w:rFonts w:eastAsia="SimSun"/>
        </w:rPr>
        <w:t>.</w:t>
      </w:r>
    </w:p>
    <w:p w14:paraId="39AE7FA9"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11.2</w:t>
      </w:r>
      <w:r w:rsidRPr="00784DC3">
        <w:rPr>
          <w:rFonts w:eastAsia="SimSun"/>
        </w:rPr>
        <w:tab/>
        <w:t>Several councillors expressed appreciation for the plan presented. Two councillors stressed that the information on allocation of costs to the SDGs was useful, recognizing the major role ITU played in the global development arena.</w:t>
      </w:r>
    </w:p>
    <w:p w14:paraId="7664552D" w14:textId="50017A04"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bookmarkStart w:id="11" w:name="_Hlk168572597"/>
      <w:r w:rsidRPr="00784DC3">
        <w:rPr>
          <w:rFonts w:eastAsia="SimSun"/>
        </w:rPr>
        <w:t>11.3</w:t>
      </w:r>
      <w:r w:rsidRPr="00784DC3">
        <w:rPr>
          <w:rFonts w:eastAsia="SimSun"/>
        </w:rPr>
        <w:tab/>
        <w:t>Replying to questions from councillors, the Chief of FRMD said that proposals for use of the CHF 1.4 million budget surplus from savings made on budget implementation in 2023 through efficiency measures would be dealt with in the discussion on Document </w:t>
      </w:r>
      <w:hyperlink r:id="rId23" w:history="1">
        <w:r w:rsidRPr="00784DC3">
          <w:rPr>
            <w:rStyle w:val="Hyperlink"/>
            <w:rFonts w:eastAsia="SimSun"/>
          </w:rPr>
          <w:t>C24/19</w:t>
        </w:r>
      </w:hyperlink>
      <w:r w:rsidRPr="00784DC3">
        <w:rPr>
          <w:rFonts w:eastAsia="SimSun"/>
        </w:rPr>
        <w:t>. The CHF</w:t>
      </w:r>
      <w:r w:rsidR="00253BA0" w:rsidRPr="00784DC3">
        <w:rPr>
          <w:rFonts w:eastAsia="SimSun"/>
        </w:rPr>
        <w:t> </w:t>
      </w:r>
      <w:r w:rsidRPr="00784DC3">
        <w:rPr>
          <w:rFonts w:eastAsia="SimSun"/>
        </w:rPr>
        <w:t>24</w:t>
      </w:r>
      <w:r w:rsidR="00253BA0" w:rsidRPr="00784DC3">
        <w:rPr>
          <w:rFonts w:eastAsia="SimSun"/>
        </w:rPr>
        <w:t> </w:t>
      </w:r>
      <w:r w:rsidRPr="00784DC3">
        <w:rPr>
          <w:rFonts w:eastAsia="SimSun"/>
        </w:rPr>
        <w:t xml:space="preserve">million deficit referred to elsewhere was simply an accounting deficit that included amortization of expenses, due to new reporting requirements under the IPSAS accounting standards. The cost structure in § 3.2 of the document was in line with the cost-allocation methodology in Council Decision 535 (C04, amended C14), whereby staff costs were allocated to priorities and outputs </w:t>
      </w:r>
      <w:proofErr w:type="gramStart"/>
      <w:r w:rsidRPr="00784DC3">
        <w:rPr>
          <w:rFonts w:eastAsia="SimSun"/>
        </w:rPr>
        <w:t>on the basis of</w:t>
      </w:r>
      <w:proofErr w:type="gramEnd"/>
      <w:r w:rsidRPr="00784DC3">
        <w:rPr>
          <w:rFonts w:eastAsia="SimSun"/>
        </w:rPr>
        <w:t xml:space="preserve"> time surveys. The costs of centralized General Secretariat support and administrative services for the Sectors were reallocated to the Sector outputs; that explained the preponderant contribution of General Secretariat costs to the thematic priorities. Detailed operational plans for the Sectors were considered by the respective advisory groups, and the four-year rolling operational plan took account of the outcomes of conferences and assemblies. The ITU Convention prescribed that the four-year rolling operational plan should cover the following year and the three remaining years. Thus, the operational plan in Document C24/28 provided the financial figures for 2025 and only information on outcomes and indicators for the following three years.</w:t>
      </w:r>
    </w:p>
    <w:bookmarkEnd w:id="11"/>
    <w:p w14:paraId="022496F0" w14:textId="143D923F"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11.4</w:t>
      </w:r>
      <w:r w:rsidRPr="00784DC3">
        <w:rPr>
          <w:rFonts w:eastAsia="SimSun"/>
        </w:rPr>
        <w:tab/>
        <w:t xml:space="preserve">The Council </w:t>
      </w:r>
      <w:r w:rsidRPr="00784DC3">
        <w:rPr>
          <w:rFonts w:eastAsia="SimSun"/>
          <w:b/>
          <w:bCs/>
        </w:rPr>
        <w:t>approved</w:t>
      </w:r>
      <w:r w:rsidRPr="00784DC3">
        <w:rPr>
          <w:rFonts w:eastAsia="SimSun"/>
        </w:rPr>
        <w:t xml:space="preserve"> the four-year rolling operational plan for the Union for 202</w:t>
      </w:r>
      <w:r w:rsidR="336FA1C1" w:rsidRPr="00784DC3">
        <w:rPr>
          <w:rFonts w:eastAsia="SimSun"/>
        </w:rPr>
        <w:t>5-</w:t>
      </w:r>
      <w:r w:rsidRPr="00784DC3">
        <w:rPr>
          <w:rFonts w:eastAsia="SimSun"/>
        </w:rPr>
        <w:noBreakHyphen/>
        <w:t>202</w:t>
      </w:r>
      <w:r w:rsidR="02D3F780" w:rsidRPr="00784DC3">
        <w:rPr>
          <w:rFonts w:eastAsia="SimSun"/>
        </w:rPr>
        <w:t>8</w:t>
      </w:r>
      <w:r w:rsidRPr="00784DC3">
        <w:rPr>
          <w:rFonts w:eastAsia="SimSun"/>
        </w:rPr>
        <w:t xml:space="preserve"> and </w:t>
      </w:r>
      <w:r w:rsidRPr="00784DC3">
        <w:rPr>
          <w:rFonts w:eastAsia="SimSun"/>
          <w:b/>
          <w:bCs/>
        </w:rPr>
        <w:t>adopted</w:t>
      </w:r>
      <w:r w:rsidRPr="00784DC3">
        <w:rPr>
          <w:rFonts w:eastAsia="SimSun"/>
        </w:rPr>
        <w:t xml:space="preserve"> the resolution contained in Annex A to Document C24/28.</w:t>
      </w:r>
    </w:p>
    <w:p w14:paraId="50BF24C4" w14:textId="77777777" w:rsidR="00177DFC" w:rsidRPr="00784DC3" w:rsidRDefault="00177DFC" w:rsidP="00177DFC">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 xml:space="preserve">11.5 </w:t>
      </w:r>
      <w:r w:rsidRPr="00784DC3">
        <w:rPr>
          <w:rFonts w:eastAsia="SimSun"/>
        </w:rPr>
        <w:tab/>
        <w:t xml:space="preserve">The Deputy Secretary-General assured councillors that the secretariat would take on board their comments and those of the advisory groups. It intended to seize the opportunity provided by the new strategic plan and the transformation process, including results-based management, </w:t>
      </w:r>
      <w:proofErr w:type="gramStart"/>
      <w:r w:rsidRPr="00784DC3">
        <w:rPr>
          <w:rFonts w:eastAsia="SimSun"/>
        </w:rPr>
        <w:t>in order to</w:t>
      </w:r>
      <w:proofErr w:type="gramEnd"/>
      <w:r w:rsidRPr="00784DC3">
        <w:rPr>
          <w:rFonts w:eastAsia="SimSun"/>
        </w:rPr>
        <w:t xml:space="preserve"> improve and enhance the operational plans, making the planning framework more focused on results and impact and turning it into a better tool for prioritization and optimization of resources.</w:t>
      </w:r>
    </w:p>
    <w:p w14:paraId="4FF25A28" w14:textId="77777777" w:rsidR="00177DFC" w:rsidRPr="00784DC3" w:rsidRDefault="00177DFC" w:rsidP="00784DC3">
      <w:pPr>
        <w:keepNext/>
        <w:keepLines/>
        <w:tabs>
          <w:tab w:val="clear" w:pos="567"/>
          <w:tab w:val="clear" w:pos="1134"/>
          <w:tab w:val="clear" w:pos="1701"/>
          <w:tab w:val="clear" w:pos="2268"/>
          <w:tab w:val="clear" w:pos="2835"/>
        </w:tabs>
        <w:overflowPunct/>
        <w:autoSpaceDE/>
        <w:autoSpaceDN/>
        <w:adjustRightInd/>
        <w:spacing w:before="240" w:after="120"/>
        <w:ind w:left="720" w:hanging="720"/>
        <w:jc w:val="both"/>
        <w:textAlignment w:val="auto"/>
        <w:rPr>
          <w:rFonts w:eastAsia="SimSun"/>
          <w:sz w:val="28"/>
          <w:szCs w:val="28"/>
        </w:rPr>
      </w:pPr>
      <w:r w:rsidRPr="00784DC3">
        <w:rPr>
          <w:rFonts w:eastAsia="SimSun"/>
          <w:b/>
          <w:bCs/>
          <w:sz w:val="28"/>
          <w:szCs w:val="28"/>
        </w:rPr>
        <w:lastRenderedPageBreak/>
        <w:t>12</w:t>
      </w:r>
      <w:r w:rsidRPr="00784DC3">
        <w:rPr>
          <w:rFonts w:eastAsia="SimSun"/>
          <w:sz w:val="28"/>
          <w:szCs w:val="28"/>
        </w:rPr>
        <w:tab/>
      </w:r>
      <w:r w:rsidRPr="00784DC3">
        <w:rPr>
          <w:rFonts w:eastAsia="SimSun"/>
          <w:b/>
          <w:bCs/>
          <w:sz w:val="28"/>
          <w:szCs w:val="28"/>
        </w:rPr>
        <w:t>Announcement by the councillor from Uganda concerning the Global Symposium for Regulators (GSR-24)</w:t>
      </w:r>
    </w:p>
    <w:p w14:paraId="1F79910B" w14:textId="2ACCF297" w:rsidR="00177DFC" w:rsidRPr="00784DC3" w:rsidRDefault="00177DFC" w:rsidP="00784DC3">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eastAsia="SimSun"/>
        </w:rPr>
      </w:pPr>
      <w:r w:rsidRPr="00784DC3">
        <w:rPr>
          <w:rFonts w:eastAsia="SimSun"/>
        </w:rPr>
        <w:t>12.1</w:t>
      </w:r>
      <w:r w:rsidRPr="00784DC3">
        <w:rPr>
          <w:rFonts w:eastAsia="SimSun"/>
        </w:rPr>
        <w:tab/>
        <w:t>The councillor from Uganda, on behalf of the Government of Uganda and the Uganda Communications Commission (UCC), urged ITU members to attend the upcoming Global Symposium for Regulators (GSR-24), which Uganda was proud to be hosting in Kampala on 1</w:t>
      </w:r>
      <w:r w:rsidRPr="00784DC3">
        <w:rPr>
          <w:rFonts w:eastAsia="SimSun"/>
        </w:rPr>
        <w:noBreakHyphen/>
        <w:t>4</w:t>
      </w:r>
      <w:r w:rsidR="00253BA0" w:rsidRPr="00784DC3">
        <w:rPr>
          <w:rFonts w:eastAsia="SimSun"/>
        </w:rPr>
        <w:t> </w:t>
      </w:r>
      <w:r w:rsidRPr="00784DC3">
        <w:rPr>
          <w:rFonts w:eastAsia="SimSun"/>
        </w:rPr>
        <w:t>July 2024, with the theme of “Regulation for impact”. Full details of the event, which would also mark the 25</w:t>
      </w:r>
      <w:r w:rsidRPr="00784DC3">
        <w:rPr>
          <w:rFonts w:eastAsia="SimSun"/>
          <w:vertAlign w:val="superscript"/>
        </w:rPr>
        <w:t>th</w:t>
      </w:r>
      <w:r w:rsidRPr="00784DC3">
        <w:rPr>
          <w:rFonts w:eastAsia="SimSun"/>
        </w:rPr>
        <w:t xml:space="preserve"> anniversary of UCC, could be found on the host’s website at: </w:t>
      </w:r>
      <w:hyperlink r:id="rId24" w:history="1">
        <w:r w:rsidRPr="00784DC3">
          <w:rPr>
            <w:rStyle w:val="Hyperlink"/>
            <w:rFonts w:eastAsia="SimSun"/>
          </w:rPr>
          <w:t>https://ugandagsr2024.go.ug/</w:t>
        </w:r>
      </w:hyperlink>
      <w:r w:rsidRPr="00784DC3">
        <w:rPr>
          <w:rFonts w:eastAsia="SimSun"/>
        </w:rPr>
        <w:t>.</w:t>
      </w:r>
    </w:p>
    <w:p w14:paraId="3A1842CB" w14:textId="29D149F4" w:rsidR="002427DA" w:rsidRPr="00784DC3" w:rsidRDefault="00177DFC" w:rsidP="00784DC3">
      <w:pPr>
        <w:tabs>
          <w:tab w:val="clear" w:pos="567"/>
          <w:tab w:val="clear" w:pos="1134"/>
          <w:tab w:val="clear" w:pos="1701"/>
          <w:tab w:val="clear" w:pos="2268"/>
          <w:tab w:val="clear" w:pos="2835"/>
          <w:tab w:val="left" w:pos="6237"/>
        </w:tabs>
        <w:overflowPunct/>
        <w:autoSpaceDE/>
        <w:autoSpaceDN/>
        <w:adjustRightInd/>
        <w:spacing w:before="600" w:after="120"/>
        <w:textAlignment w:val="auto"/>
        <w:rPr>
          <w:rFonts w:eastAsia="SimSun"/>
        </w:rPr>
      </w:pPr>
      <w:r w:rsidRPr="00784DC3">
        <w:rPr>
          <w:rFonts w:eastAsia="SimSun"/>
        </w:rPr>
        <w:t>The Secretary-General:</w:t>
      </w:r>
      <w:r w:rsidRPr="00784DC3">
        <w:rPr>
          <w:rFonts w:eastAsia="SimSun"/>
        </w:rPr>
        <w:tab/>
        <w:t>The Chair:</w:t>
      </w:r>
      <w:r w:rsidRPr="00784DC3">
        <w:rPr>
          <w:rFonts w:eastAsia="SimSun"/>
        </w:rPr>
        <w:br/>
        <w:t>D. BOGDAN-MARTIN</w:t>
      </w:r>
      <w:r w:rsidRPr="00784DC3">
        <w:rPr>
          <w:rFonts w:eastAsia="SimSun"/>
        </w:rPr>
        <w:tab/>
        <w:t>F. SAUVAGE</w:t>
      </w:r>
    </w:p>
    <w:p w14:paraId="1EE6CBCD" w14:textId="28CB2C91" w:rsidR="002427DA" w:rsidRPr="00784DC3" w:rsidRDefault="002427DA" w:rsidP="00784DC3">
      <w:pPr>
        <w:tabs>
          <w:tab w:val="clear" w:pos="567"/>
          <w:tab w:val="clear" w:pos="1134"/>
          <w:tab w:val="clear" w:pos="1701"/>
          <w:tab w:val="clear" w:pos="2268"/>
          <w:tab w:val="clear" w:pos="2835"/>
          <w:tab w:val="left" w:pos="6237"/>
        </w:tabs>
        <w:overflowPunct/>
        <w:autoSpaceDE/>
        <w:autoSpaceDN/>
        <w:adjustRightInd/>
        <w:spacing w:before="840"/>
        <w:jc w:val="center"/>
        <w:textAlignment w:val="auto"/>
        <w:rPr>
          <w:rFonts w:eastAsia="SimSun"/>
        </w:rPr>
      </w:pPr>
      <w:r w:rsidRPr="00784DC3">
        <w:rPr>
          <w:rFonts w:eastAsia="SimSun"/>
        </w:rPr>
        <w:t>________________</w:t>
      </w:r>
    </w:p>
    <w:sectPr w:rsidR="002427DA" w:rsidRPr="00784DC3" w:rsidSect="002427DA">
      <w:footerReference w:type="default" r:id="rId25"/>
      <w:headerReference w:type="first" r:id="rId26"/>
      <w:footerReference w:type="first" r:id="rId27"/>
      <w:pgSz w:w="11907" w:h="16834"/>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2731" w14:textId="77777777" w:rsidR="00E9524D" w:rsidRDefault="00E9524D">
      <w:r>
        <w:separator/>
      </w:r>
    </w:p>
  </w:endnote>
  <w:endnote w:type="continuationSeparator" w:id="0">
    <w:p w14:paraId="6EE4ED3D" w14:textId="77777777" w:rsidR="00E9524D" w:rsidRDefault="00E9524D">
      <w:r>
        <w:continuationSeparator/>
      </w:r>
    </w:p>
  </w:endnote>
  <w:endnote w:type="continuationNotice" w:id="1">
    <w:p w14:paraId="213DE117" w14:textId="77777777" w:rsidR="00E9524D" w:rsidRDefault="00E952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73FA0" w:rsidRPr="00173FA0" w14:paraId="257173DF" w14:textId="77777777" w:rsidTr="009170B8">
      <w:trPr>
        <w:jc w:val="center"/>
      </w:trPr>
      <w:tc>
        <w:tcPr>
          <w:tcW w:w="1803" w:type="dxa"/>
          <w:vAlign w:val="center"/>
        </w:tcPr>
        <w:p w14:paraId="7C669520" w14:textId="77777777" w:rsidR="00173FA0" w:rsidRPr="00173FA0" w:rsidRDefault="00173FA0" w:rsidP="00173FA0">
          <w:pPr>
            <w:pStyle w:val="Footer"/>
            <w:rPr>
              <w:rFonts w:eastAsia="Times New Roman" w:cs="Times New Roman"/>
              <w:szCs w:val="20"/>
            </w:rPr>
          </w:pPr>
        </w:p>
      </w:tc>
      <w:tc>
        <w:tcPr>
          <w:tcW w:w="8261" w:type="dxa"/>
        </w:tcPr>
        <w:p w14:paraId="0673D9A6" w14:textId="77777777" w:rsidR="00173FA0" w:rsidRPr="00173FA0" w:rsidRDefault="00173FA0" w:rsidP="00173FA0">
          <w:pPr>
            <w:pStyle w:val="Footer"/>
            <w:tabs>
              <w:tab w:val="clear" w:pos="5954"/>
              <w:tab w:val="left" w:pos="6600"/>
            </w:tabs>
            <w:rPr>
              <w:rFonts w:eastAsia="Times New Roman" w:cs="Times New Roman"/>
              <w:b/>
              <w:bCs/>
              <w:szCs w:val="20"/>
            </w:rPr>
          </w:pPr>
          <w:r w:rsidRPr="00173FA0">
            <w:rPr>
              <w:rFonts w:eastAsia="Times New Roman" w:cs="Times New Roman"/>
              <w:bCs/>
              <w:szCs w:val="20"/>
            </w:rPr>
            <w:tab/>
            <w:t>C24/110-E</w:t>
          </w:r>
          <w:r w:rsidRPr="00173FA0">
            <w:rPr>
              <w:rFonts w:eastAsia="Times New Roman" w:cs="Times New Roman"/>
              <w:bCs/>
              <w:szCs w:val="20"/>
            </w:rPr>
            <w:tab/>
          </w:r>
          <w:r w:rsidRPr="00173FA0">
            <w:fldChar w:fldCharType="begin"/>
          </w:r>
          <w:r w:rsidRPr="00173FA0">
            <w:rPr>
              <w:rFonts w:eastAsia="Times New Roman" w:cs="Times New Roman"/>
              <w:szCs w:val="20"/>
            </w:rPr>
            <w:instrText>PAGE</w:instrText>
          </w:r>
          <w:r w:rsidRPr="00173FA0">
            <w:fldChar w:fldCharType="separate"/>
          </w:r>
          <w:r w:rsidRPr="00173FA0">
            <w:rPr>
              <w:rFonts w:eastAsia="Times New Roman" w:cs="Times New Roman"/>
              <w:szCs w:val="20"/>
            </w:rPr>
            <w:t>1</w:t>
          </w:r>
          <w:r w:rsidRPr="00173FA0">
            <w:fldChar w:fldCharType="end"/>
          </w:r>
        </w:p>
      </w:tc>
    </w:tr>
  </w:tbl>
  <w:p w14:paraId="0B00322E" w14:textId="77777777" w:rsidR="00173FA0" w:rsidRDefault="00173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73FA0" w:rsidRPr="00173FA0" w14:paraId="721BBE3B" w14:textId="77777777" w:rsidTr="009170B8">
      <w:trPr>
        <w:jc w:val="center"/>
      </w:trPr>
      <w:tc>
        <w:tcPr>
          <w:tcW w:w="1803" w:type="dxa"/>
          <w:vAlign w:val="center"/>
        </w:tcPr>
        <w:p w14:paraId="4FA9CCDE" w14:textId="77777777" w:rsidR="00173FA0" w:rsidRPr="00173FA0" w:rsidRDefault="009B5302" w:rsidP="00173FA0">
          <w:pPr>
            <w:pStyle w:val="Header"/>
            <w:tabs>
              <w:tab w:val="left" w:pos="8080"/>
              <w:tab w:val="right" w:pos="9072"/>
            </w:tabs>
            <w:jc w:val="right"/>
            <w:rPr>
              <w:rFonts w:eastAsia="Times New Roman" w:cs="Times New Roman"/>
              <w:bCs/>
              <w:szCs w:val="20"/>
            </w:rPr>
          </w:pPr>
          <w:hyperlink r:id="rId1" w:history="1">
            <w:r w:rsidR="00173FA0" w:rsidRPr="00173FA0">
              <w:rPr>
                <w:rStyle w:val="Hyperlink"/>
                <w:bCs/>
              </w:rPr>
              <w:t>www.itu.int/council</w:t>
            </w:r>
          </w:hyperlink>
        </w:p>
      </w:tc>
      <w:tc>
        <w:tcPr>
          <w:tcW w:w="8261" w:type="dxa"/>
        </w:tcPr>
        <w:p w14:paraId="40254D85" w14:textId="77777777" w:rsidR="00173FA0" w:rsidRPr="00173FA0" w:rsidRDefault="00173FA0" w:rsidP="00173FA0">
          <w:pPr>
            <w:pStyle w:val="Header"/>
            <w:tabs>
              <w:tab w:val="left" w:pos="6862"/>
              <w:tab w:val="right" w:pos="9072"/>
            </w:tabs>
            <w:jc w:val="right"/>
            <w:rPr>
              <w:rFonts w:eastAsia="Times New Roman" w:cs="Times New Roman"/>
              <w:b/>
              <w:bCs/>
              <w:szCs w:val="20"/>
            </w:rPr>
          </w:pPr>
          <w:r w:rsidRPr="00173FA0">
            <w:rPr>
              <w:rFonts w:eastAsia="Times New Roman" w:cs="Times New Roman"/>
              <w:bCs/>
              <w:szCs w:val="20"/>
            </w:rPr>
            <w:tab/>
            <w:t>C24/110-E</w:t>
          </w:r>
          <w:r w:rsidRPr="00173FA0">
            <w:rPr>
              <w:rFonts w:eastAsia="Times New Roman" w:cs="Times New Roman"/>
              <w:bCs/>
              <w:szCs w:val="20"/>
            </w:rPr>
            <w:tab/>
          </w:r>
          <w:r w:rsidRPr="00173FA0">
            <w:rPr>
              <w:bCs/>
            </w:rPr>
            <w:fldChar w:fldCharType="begin"/>
          </w:r>
          <w:r w:rsidRPr="00173FA0">
            <w:rPr>
              <w:rFonts w:eastAsia="Times New Roman" w:cs="Times New Roman"/>
              <w:bCs/>
              <w:szCs w:val="20"/>
            </w:rPr>
            <w:instrText>PAGE</w:instrText>
          </w:r>
          <w:r w:rsidRPr="00173FA0">
            <w:rPr>
              <w:bCs/>
            </w:rPr>
            <w:fldChar w:fldCharType="separate"/>
          </w:r>
          <w:r w:rsidRPr="00173FA0">
            <w:rPr>
              <w:rFonts w:eastAsia="Times New Roman" w:cs="Times New Roman"/>
              <w:bCs/>
              <w:szCs w:val="20"/>
            </w:rPr>
            <w:t>1</w:t>
          </w:r>
          <w:r w:rsidRPr="00173FA0">
            <w:rPr>
              <w:bCs/>
            </w:rPr>
            <w:fldChar w:fldCharType="end"/>
          </w:r>
        </w:p>
      </w:tc>
    </w:tr>
  </w:tbl>
  <w:p w14:paraId="02096C60" w14:textId="77777777" w:rsidR="00A952E1" w:rsidRPr="00623AE3" w:rsidRDefault="00A952E1"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54AF" w14:textId="77777777" w:rsidR="00E9524D" w:rsidRDefault="00E9524D">
      <w:r>
        <w:t>____________________</w:t>
      </w:r>
    </w:p>
  </w:footnote>
  <w:footnote w:type="continuationSeparator" w:id="0">
    <w:p w14:paraId="5254B45E" w14:textId="77777777" w:rsidR="00E9524D" w:rsidRDefault="00E9524D">
      <w:r>
        <w:continuationSeparator/>
      </w:r>
    </w:p>
  </w:footnote>
  <w:footnote w:type="continuationNotice" w:id="1">
    <w:p w14:paraId="6F7E6430" w14:textId="77777777" w:rsidR="00E9524D" w:rsidRDefault="00E952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73FA0" w:rsidRPr="00173FA0" w14:paraId="22CC007C" w14:textId="77777777" w:rsidTr="009170B8">
      <w:trPr>
        <w:trHeight w:val="1104"/>
        <w:jc w:val="center"/>
      </w:trPr>
      <w:tc>
        <w:tcPr>
          <w:tcW w:w="4390" w:type="dxa"/>
          <w:vAlign w:val="center"/>
        </w:tcPr>
        <w:p w14:paraId="733A4563" w14:textId="3A4CAAB7" w:rsidR="00173FA0" w:rsidRPr="00173FA0" w:rsidRDefault="00173FA0" w:rsidP="00173FA0">
          <w:pPr>
            <w:pStyle w:val="Header"/>
            <w:rPr>
              <w:rFonts w:eastAsia="Times New Roman" w:cs="Times New Roman"/>
              <w:b/>
              <w:bCs/>
              <w:szCs w:val="20"/>
            </w:rPr>
          </w:pPr>
          <w:bookmarkStart w:id="12" w:name="_Hlk133422111"/>
          <w:r w:rsidRPr="00173FA0">
            <w:rPr>
              <w:noProof/>
            </w:rPr>
            <w:drawing>
              <wp:inline distT="0" distB="0" distL="0" distR="0" wp14:anchorId="073B5C3C" wp14:editId="27B29065">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1D84DB08" w14:textId="77777777" w:rsidR="00173FA0" w:rsidRPr="00173FA0" w:rsidRDefault="00173FA0" w:rsidP="00173FA0">
          <w:pPr>
            <w:pStyle w:val="Header"/>
            <w:rPr>
              <w:rFonts w:eastAsia="Times New Roman" w:cs="Times New Roman"/>
              <w:b/>
              <w:bCs/>
              <w:szCs w:val="20"/>
            </w:rPr>
          </w:pPr>
        </w:p>
        <w:p w14:paraId="0CD38352" w14:textId="77777777" w:rsidR="00173FA0" w:rsidRPr="00173FA0" w:rsidRDefault="00173FA0" w:rsidP="00173FA0">
          <w:pPr>
            <w:pStyle w:val="Header"/>
            <w:rPr>
              <w:rFonts w:eastAsia="Times New Roman" w:cs="Times New Roman"/>
              <w:b/>
              <w:bCs/>
              <w:szCs w:val="20"/>
            </w:rPr>
          </w:pPr>
        </w:p>
        <w:p w14:paraId="2961AA38" w14:textId="77777777" w:rsidR="00173FA0" w:rsidRPr="00173FA0" w:rsidRDefault="00173FA0" w:rsidP="00173FA0">
          <w:pPr>
            <w:pStyle w:val="Header"/>
            <w:rPr>
              <w:rFonts w:eastAsia="Times New Roman" w:cs="Times New Roman"/>
              <w:szCs w:val="20"/>
            </w:rPr>
          </w:pPr>
          <w:r w:rsidRPr="00173FA0">
            <w:rPr>
              <w:rFonts w:eastAsia="Times New Roman" w:cs="Times New Roman"/>
              <w:b/>
              <w:bCs/>
              <w:szCs w:val="20"/>
            </w:rPr>
            <w:t xml:space="preserve"> </w:t>
          </w:r>
        </w:p>
      </w:tc>
    </w:tr>
  </w:tbl>
  <w:bookmarkEnd w:id="12"/>
  <w:p w14:paraId="4AB65794" w14:textId="2A3E00D4" w:rsidR="00A952E1" w:rsidRDefault="00173FA0">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95AAED" wp14:editId="466304F8">
              <wp:simplePos x="0" y="0"/>
              <wp:positionH relativeFrom="page">
                <wp:posOffset>14605</wp:posOffset>
              </wp:positionH>
              <wp:positionV relativeFrom="topMargin">
                <wp:posOffset>671830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12CE" id="Rectangle 5" o:spid="_x0000_s1026" style="position:absolute;margin-left:1.15pt;margin-top:52.9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2CBB"/>
    <w:rsid w:val="000210D4"/>
    <w:rsid w:val="00037C15"/>
    <w:rsid w:val="00044DA3"/>
    <w:rsid w:val="0004698E"/>
    <w:rsid w:val="00063016"/>
    <w:rsid w:val="00066795"/>
    <w:rsid w:val="00076AF6"/>
    <w:rsid w:val="00085CF2"/>
    <w:rsid w:val="00093357"/>
    <w:rsid w:val="000A57B4"/>
    <w:rsid w:val="000B1705"/>
    <w:rsid w:val="000C7ED7"/>
    <w:rsid w:val="000D75B2"/>
    <w:rsid w:val="000F4CBF"/>
    <w:rsid w:val="00101731"/>
    <w:rsid w:val="001121F5"/>
    <w:rsid w:val="001374E2"/>
    <w:rsid w:val="001400DC"/>
    <w:rsid w:val="00140CE1"/>
    <w:rsid w:val="001722A2"/>
    <w:rsid w:val="00173FA0"/>
    <w:rsid w:val="0017539C"/>
    <w:rsid w:val="00175AC2"/>
    <w:rsid w:val="0017609F"/>
    <w:rsid w:val="00177DFC"/>
    <w:rsid w:val="001836BB"/>
    <w:rsid w:val="00185959"/>
    <w:rsid w:val="00195051"/>
    <w:rsid w:val="001A7D1D"/>
    <w:rsid w:val="001B51DD"/>
    <w:rsid w:val="001C628E"/>
    <w:rsid w:val="001D7093"/>
    <w:rsid w:val="001E0F7B"/>
    <w:rsid w:val="001F074A"/>
    <w:rsid w:val="001F7A58"/>
    <w:rsid w:val="002119FD"/>
    <w:rsid w:val="002130E0"/>
    <w:rsid w:val="00227284"/>
    <w:rsid w:val="00231A68"/>
    <w:rsid w:val="002427DA"/>
    <w:rsid w:val="00253BA0"/>
    <w:rsid w:val="00253C95"/>
    <w:rsid w:val="00264425"/>
    <w:rsid w:val="00265875"/>
    <w:rsid w:val="0027303B"/>
    <w:rsid w:val="0028109B"/>
    <w:rsid w:val="002A2188"/>
    <w:rsid w:val="002B1F58"/>
    <w:rsid w:val="002C1C7A"/>
    <w:rsid w:val="002C54E2"/>
    <w:rsid w:val="002E7499"/>
    <w:rsid w:val="0030160F"/>
    <w:rsid w:val="00320223"/>
    <w:rsid w:val="00322D0D"/>
    <w:rsid w:val="003531FC"/>
    <w:rsid w:val="00361465"/>
    <w:rsid w:val="003877F5"/>
    <w:rsid w:val="003942D4"/>
    <w:rsid w:val="003958A8"/>
    <w:rsid w:val="003A0C93"/>
    <w:rsid w:val="003C2533"/>
    <w:rsid w:val="003D5A7F"/>
    <w:rsid w:val="004016E2"/>
    <w:rsid w:val="0040435A"/>
    <w:rsid w:val="00406660"/>
    <w:rsid w:val="00416A24"/>
    <w:rsid w:val="00426088"/>
    <w:rsid w:val="00430442"/>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F3803"/>
    <w:rsid w:val="0050223C"/>
    <w:rsid w:val="005243FF"/>
    <w:rsid w:val="00564FBC"/>
    <w:rsid w:val="005800BC"/>
    <w:rsid w:val="00582442"/>
    <w:rsid w:val="0059051C"/>
    <w:rsid w:val="005F3269"/>
    <w:rsid w:val="006224F8"/>
    <w:rsid w:val="00623AE3"/>
    <w:rsid w:val="00624D20"/>
    <w:rsid w:val="0064233E"/>
    <w:rsid w:val="00642D44"/>
    <w:rsid w:val="006467EF"/>
    <w:rsid w:val="0064737F"/>
    <w:rsid w:val="006535F1"/>
    <w:rsid w:val="0065557D"/>
    <w:rsid w:val="0065702F"/>
    <w:rsid w:val="00660D50"/>
    <w:rsid w:val="00662984"/>
    <w:rsid w:val="006716BB"/>
    <w:rsid w:val="006850BE"/>
    <w:rsid w:val="006B1859"/>
    <w:rsid w:val="006B6680"/>
    <w:rsid w:val="006B6DCC"/>
    <w:rsid w:val="006C5240"/>
    <w:rsid w:val="006D4FA9"/>
    <w:rsid w:val="006E107F"/>
    <w:rsid w:val="00702DEF"/>
    <w:rsid w:val="00706861"/>
    <w:rsid w:val="007244B9"/>
    <w:rsid w:val="007405E4"/>
    <w:rsid w:val="0075051B"/>
    <w:rsid w:val="007755C4"/>
    <w:rsid w:val="00784DC3"/>
    <w:rsid w:val="00793188"/>
    <w:rsid w:val="00794D34"/>
    <w:rsid w:val="007F42C8"/>
    <w:rsid w:val="00813E5E"/>
    <w:rsid w:val="0083581B"/>
    <w:rsid w:val="00861D43"/>
    <w:rsid w:val="00862FA1"/>
    <w:rsid w:val="00863874"/>
    <w:rsid w:val="00864AFF"/>
    <w:rsid w:val="00865925"/>
    <w:rsid w:val="00867CD1"/>
    <w:rsid w:val="008B4A6A"/>
    <w:rsid w:val="008C2D09"/>
    <w:rsid w:val="008C7E27"/>
    <w:rsid w:val="008F40C1"/>
    <w:rsid w:val="008F42DC"/>
    <w:rsid w:val="008F4A67"/>
    <w:rsid w:val="008F7448"/>
    <w:rsid w:val="0090147A"/>
    <w:rsid w:val="009173EF"/>
    <w:rsid w:val="00932906"/>
    <w:rsid w:val="00961B0B"/>
    <w:rsid w:val="00962D33"/>
    <w:rsid w:val="009A18D9"/>
    <w:rsid w:val="009B38C3"/>
    <w:rsid w:val="009B5302"/>
    <w:rsid w:val="009D1B15"/>
    <w:rsid w:val="009D4F14"/>
    <w:rsid w:val="009E17BD"/>
    <w:rsid w:val="009E485A"/>
    <w:rsid w:val="00A04CEC"/>
    <w:rsid w:val="00A27F92"/>
    <w:rsid w:val="00A32257"/>
    <w:rsid w:val="00A36D20"/>
    <w:rsid w:val="00A43BA4"/>
    <w:rsid w:val="00A514A4"/>
    <w:rsid w:val="00A55622"/>
    <w:rsid w:val="00A769C5"/>
    <w:rsid w:val="00A83502"/>
    <w:rsid w:val="00A952E1"/>
    <w:rsid w:val="00AD15B3"/>
    <w:rsid w:val="00AD3606"/>
    <w:rsid w:val="00AD4A3D"/>
    <w:rsid w:val="00AF6E49"/>
    <w:rsid w:val="00B04280"/>
    <w:rsid w:val="00B04A67"/>
    <w:rsid w:val="00B0583C"/>
    <w:rsid w:val="00B40A81"/>
    <w:rsid w:val="00B44910"/>
    <w:rsid w:val="00B55F62"/>
    <w:rsid w:val="00B72267"/>
    <w:rsid w:val="00B76EB6"/>
    <w:rsid w:val="00B7737B"/>
    <w:rsid w:val="00B824C8"/>
    <w:rsid w:val="00B84B9D"/>
    <w:rsid w:val="00BC251A"/>
    <w:rsid w:val="00BD032B"/>
    <w:rsid w:val="00BE07E6"/>
    <w:rsid w:val="00BE2640"/>
    <w:rsid w:val="00C01189"/>
    <w:rsid w:val="00C05E46"/>
    <w:rsid w:val="00C374DE"/>
    <w:rsid w:val="00C4047C"/>
    <w:rsid w:val="00C41442"/>
    <w:rsid w:val="00C47AD4"/>
    <w:rsid w:val="00C52D81"/>
    <w:rsid w:val="00C55198"/>
    <w:rsid w:val="00C65027"/>
    <w:rsid w:val="00C81318"/>
    <w:rsid w:val="00C96117"/>
    <w:rsid w:val="00CA21B0"/>
    <w:rsid w:val="00CA6393"/>
    <w:rsid w:val="00CB0F82"/>
    <w:rsid w:val="00CB18FF"/>
    <w:rsid w:val="00CD0C08"/>
    <w:rsid w:val="00CE03FB"/>
    <w:rsid w:val="00CE3291"/>
    <w:rsid w:val="00CE433C"/>
    <w:rsid w:val="00CF0161"/>
    <w:rsid w:val="00CF33F3"/>
    <w:rsid w:val="00CF4C33"/>
    <w:rsid w:val="00D06183"/>
    <w:rsid w:val="00D1002E"/>
    <w:rsid w:val="00D22C42"/>
    <w:rsid w:val="00D3138D"/>
    <w:rsid w:val="00D64757"/>
    <w:rsid w:val="00D65041"/>
    <w:rsid w:val="00DB1936"/>
    <w:rsid w:val="00DB384B"/>
    <w:rsid w:val="00DD2D6C"/>
    <w:rsid w:val="00DF0189"/>
    <w:rsid w:val="00DF1D53"/>
    <w:rsid w:val="00E06FD5"/>
    <w:rsid w:val="00E10E80"/>
    <w:rsid w:val="00E124F0"/>
    <w:rsid w:val="00E227F3"/>
    <w:rsid w:val="00E23618"/>
    <w:rsid w:val="00E51A89"/>
    <w:rsid w:val="00E545C6"/>
    <w:rsid w:val="00E60F04"/>
    <w:rsid w:val="00E65B24"/>
    <w:rsid w:val="00E854E4"/>
    <w:rsid w:val="00E86DBF"/>
    <w:rsid w:val="00E90E73"/>
    <w:rsid w:val="00E9524D"/>
    <w:rsid w:val="00E96D2A"/>
    <w:rsid w:val="00EB0D6F"/>
    <w:rsid w:val="00EB2232"/>
    <w:rsid w:val="00EC5337"/>
    <w:rsid w:val="00EE49E8"/>
    <w:rsid w:val="00F16BAB"/>
    <w:rsid w:val="00F2150A"/>
    <w:rsid w:val="00F231D8"/>
    <w:rsid w:val="00F44C00"/>
    <w:rsid w:val="00F45D2C"/>
    <w:rsid w:val="00F46C5F"/>
    <w:rsid w:val="00F62506"/>
    <w:rsid w:val="00F632C0"/>
    <w:rsid w:val="00F74710"/>
    <w:rsid w:val="00F94A63"/>
    <w:rsid w:val="00F96D7E"/>
    <w:rsid w:val="00FA1C28"/>
    <w:rsid w:val="00FB1279"/>
    <w:rsid w:val="00FB6B76"/>
    <w:rsid w:val="00FB7596"/>
    <w:rsid w:val="00FE4077"/>
    <w:rsid w:val="00FE500D"/>
    <w:rsid w:val="00FE77D2"/>
    <w:rsid w:val="00FF16A1"/>
    <w:rsid w:val="02D3F780"/>
    <w:rsid w:val="2449B07C"/>
    <w:rsid w:val="336FA1C1"/>
    <w:rsid w:val="6D078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D5B7D242-6E1E-475E-B0FE-C9D3F3D1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character" w:styleId="CommentReference">
    <w:name w:val="annotation reference"/>
    <w:basedOn w:val="DefaultParagraphFont"/>
    <w:semiHidden/>
    <w:unhideWhenUsed/>
    <w:rsid w:val="0059051C"/>
    <w:rPr>
      <w:sz w:val="16"/>
      <w:szCs w:val="16"/>
    </w:rPr>
  </w:style>
  <w:style w:type="paragraph" w:styleId="CommentText">
    <w:name w:val="annotation text"/>
    <w:basedOn w:val="Normal"/>
    <w:link w:val="CommentTextChar"/>
    <w:unhideWhenUsed/>
    <w:rsid w:val="0059051C"/>
    <w:rPr>
      <w:sz w:val="20"/>
    </w:rPr>
  </w:style>
  <w:style w:type="character" w:customStyle="1" w:styleId="CommentTextChar">
    <w:name w:val="Comment Text Char"/>
    <w:basedOn w:val="DefaultParagraphFont"/>
    <w:link w:val="CommentText"/>
    <w:rsid w:val="0059051C"/>
    <w:rPr>
      <w:rFonts w:ascii="Calibri" w:hAnsi="Calibri"/>
      <w:lang w:val="en-GB" w:eastAsia="en-US"/>
    </w:rPr>
  </w:style>
  <w:style w:type="paragraph" w:styleId="CommentSubject">
    <w:name w:val="annotation subject"/>
    <w:basedOn w:val="CommentText"/>
    <w:next w:val="CommentText"/>
    <w:link w:val="CommentSubjectChar"/>
    <w:semiHidden/>
    <w:unhideWhenUsed/>
    <w:rsid w:val="0059051C"/>
    <w:rPr>
      <w:b/>
      <w:bCs/>
    </w:rPr>
  </w:style>
  <w:style w:type="character" w:customStyle="1" w:styleId="CommentSubjectChar">
    <w:name w:val="Comment Subject Char"/>
    <w:basedOn w:val="CommentTextChar"/>
    <w:link w:val="CommentSubject"/>
    <w:semiHidden/>
    <w:rsid w:val="0059051C"/>
    <w:rPr>
      <w:rFonts w:ascii="Calibri" w:hAnsi="Calibri"/>
      <w:b/>
      <w:bCs/>
      <w:lang w:val="en-GB" w:eastAsia="en-US"/>
    </w:rPr>
  </w:style>
  <w:style w:type="character" w:styleId="Mention">
    <w:name w:val="Mention"/>
    <w:basedOn w:val="DefaultParagraphFont"/>
    <w:uiPriority w:val="99"/>
    <w:unhideWhenUsed/>
    <w:rsid w:val="0059051C"/>
    <w:rPr>
      <w:color w:val="2B579A"/>
      <w:shd w:val="clear" w:color="auto" w:fill="E1DFDD"/>
    </w:rPr>
  </w:style>
  <w:style w:type="paragraph" w:styleId="Revision">
    <w:name w:val="Revision"/>
    <w:hidden/>
    <w:uiPriority w:val="99"/>
    <w:semiHidden/>
    <w:rsid w:val="00C6502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240604-TD-0002/en" TargetMode="External"/><Relationship Id="rId18" Type="http://schemas.openxmlformats.org/officeDocument/2006/relationships/hyperlink" Target="https://www.itu.int/md/S24-CL-C-0001/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4-CL-C-0035/en" TargetMode="External"/><Relationship Id="rId7" Type="http://schemas.openxmlformats.org/officeDocument/2006/relationships/settings" Target="settings.xml"/><Relationship Id="rId12" Type="http://schemas.openxmlformats.org/officeDocument/2006/relationships/hyperlink" Target="https://www.itu.int/md/S24-CL-240604-TD-0001/en" TargetMode="External"/><Relationship Id="rId17" Type="http://schemas.openxmlformats.org/officeDocument/2006/relationships/hyperlink" Target="https://www.itu.int/en/osg/Pages/Speeches.aspx?ItemID=5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ouncil.itu.int/2024/wp-content/uploads/sites/4/2024/07/C24-Statement-Chair-Council_PLinaug.docx" TargetMode="External"/><Relationship Id="rId20" Type="http://schemas.openxmlformats.org/officeDocument/2006/relationships/hyperlink" Target="https://www.itu.int/md/S24-CL-240604-TD-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01/en" TargetMode="External"/><Relationship Id="rId24" Type="http://schemas.openxmlformats.org/officeDocument/2006/relationships/hyperlink" Target="https://ugandagsr2024.go.ug/" TargetMode="External"/><Relationship Id="rId5" Type="http://schemas.openxmlformats.org/officeDocument/2006/relationships/numbering" Target="numbering.xml"/><Relationship Id="rId15" Type="http://schemas.openxmlformats.org/officeDocument/2006/relationships/hyperlink" Target="https://www.itu.int/md/S24-CL-C-0028/en" TargetMode="External"/><Relationship Id="rId23" Type="http://schemas.openxmlformats.org/officeDocument/2006/relationships/hyperlink" Target="https://www.itu.int/md/S24-CL-C-0019/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CL-240604-TD-000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5/en" TargetMode="External"/><Relationship Id="rId22" Type="http://schemas.openxmlformats.org/officeDocument/2006/relationships/hyperlink" Target="https://www.itu.int/md/S24-CL-C-0028/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SharedWithUsers xmlns="98b04e1e-0540-4930-9623-702d547a0a33">
      <UserInfo>
        <DisplayName>Depoisier, Hugues</DisplayName>
        <AccountId>162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1175-5457-4DAA-BDDF-7F9B79CE252C}">
  <ds:schemaRefs>
    <ds:schemaRef ds:uri="http://schemas.microsoft.com/sharepoint/v3/contenttype/forms"/>
  </ds:schemaRefs>
</ds:datastoreItem>
</file>

<file path=customXml/itemProps2.xml><?xml version="1.0" encoding="utf-8"?>
<ds:datastoreItem xmlns:ds="http://schemas.openxmlformats.org/officeDocument/2006/customXml" ds:itemID="{360A89A0-3D98-4D55-A4A7-DE0429D5105C}">
  <ds:schemaRefs>
    <ds:schemaRef ds:uri="http://purl.org/dc/elements/1.1/"/>
    <ds:schemaRef ds:uri="http://purl.org/dc/dcmitype/"/>
    <ds:schemaRef ds:uri="http://purl.org/dc/terms/"/>
    <ds:schemaRef ds:uri="http://www.w3.org/XML/1998/namespace"/>
    <ds:schemaRef ds:uri="085b46e1-7f22-4e81-9ba5-912dc5a5fd9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8b04e1e-0540-4930-9623-702d547a0a33"/>
  </ds:schemaRefs>
</ds:datastoreItem>
</file>

<file path=customXml/itemProps3.xml><?xml version="1.0" encoding="utf-8"?>
<ds:datastoreItem xmlns:ds="http://schemas.openxmlformats.org/officeDocument/2006/customXml" ds:itemID="{29ED7B8D-6FB0-4D06-936D-E44B23E13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2046</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ITU Council 2024</dc:subject>
  <cp:keywords>C2024, C24, Council-24</cp:keywords>
  <dc:description/>
  <cp:revision>4</cp:revision>
  <dcterms:created xsi:type="dcterms:W3CDTF">2024-08-26T15:06:00Z</dcterms:created>
  <dcterms:modified xsi:type="dcterms:W3CDTF">2024-08-27T12:18:00Z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