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570758" w14:paraId="52F2EB5D" w14:textId="77777777" w:rsidTr="00F363FE">
        <w:tc>
          <w:tcPr>
            <w:tcW w:w="6512" w:type="dxa"/>
          </w:tcPr>
          <w:p w14:paraId="5427C9B5" w14:textId="6BBF5AE2" w:rsidR="007B0AA0" w:rsidRPr="00570758" w:rsidRDefault="007B0AA0" w:rsidP="00F363FE">
            <w:pPr>
              <w:spacing w:before="60" w:after="60" w:line="260" w:lineRule="exact"/>
              <w:rPr>
                <w:b/>
                <w:bCs/>
                <w:lang w:bidi="ar-EG"/>
              </w:rPr>
            </w:pPr>
          </w:p>
        </w:tc>
        <w:tc>
          <w:tcPr>
            <w:tcW w:w="3117" w:type="dxa"/>
          </w:tcPr>
          <w:p w14:paraId="157209E9" w14:textId="2796C3DF" w:rsidR="007B0AA0" w:rsidRPr="00570758" w:rsidRDefault="007B0AA0" w:rsidP="00F363FE">
            <w:pPr>
              <w:spacing w:before="60" w:after="60" w:line="260" w:lineRule="exact"/>
              <w:rPr>
                <w:b/>
                <w:bCs/>
                <w:lang w:bidi="ar-EG"/>
              </w:rPr>
            </w:pPr>
            <w:r w:rsidRPr="00570758">
              <w:rPr>
                <w:b/>
                <w:bCs/>
                <w:rtl/>
                <w:lang w:bidi="ar-EG"/>
              </w:rPr>
              <w:t xml:space="preserve">الوثيقة </w:t>
            </w:r>
            <w:r w:rsidRPr="00570758">
              <w:rPr>
                <w:b/>
                <w:bCs/>
                <w:lang w:bidi="ar-EG"/>
              </w:rPr>
              <w:t>C2</w:t>
            </w:r>
            <w:r w:rsidR="00B6080B" w:rsidRPr="00570758">
              <w:rPr>
                <w:b/>
                <w:bCs/>
                <w:lang w:bidi="ar-EG"/>
              </w:rPr>
              <w:t>4</w:t>
            </w:r>
            <w:r w:rsidRPr="00570758">
              <w:rPr>
                <w:b/>
                <w:bCs/>
                <w:lang w:bidi="ar-EG"/>
              </w:rPr>
              <w:t>/</w:t>
            </w:r>
            <w:r w:rsidR="00C8395F" w:rsidRPr="00570758">
              <w:rPr>
                <w:b/>
                <w:bCs/>
                <w:lang w:bidi="ar-EG"/>
              </w:rPr>
              <w:t>11</w:t>
            </w:r>
            <w:r w:rsidR="009A3256" w:rsidRPr="00570758">
              <w:rPr>
                <w:b/>
                <w:bCs/>
                <w:lang w:bidi="ar-EG"/>
              </w:rPr>
              <w:t>0</w:t>
            </w:r>
            <w:r w:rsidRPr="00570758">
              <w:rPr>
                <w:b/>
                <w:bCs/>
                <w:lang w:bidi="ar-EG"/>
              </w:rPr>
              <w:t>-A</w:t>
            </w:r>
          </w:p>
        </w:tc>
      </w:tr>
      <w:tr w:rsidR="007B0AA0" w:rsidRPr="00570758" w14:paraId="47B35983" w14:textId="77777777" w:rsidTr="00F363FE">
        <w:tc>
          <w:tcPr>
            <w:tcW w:w="6512" w:type="dxa"/>
          </w:tcPr>
          <w:p w14:paraId="4C3C1FB5" w14:textId="77777777" w:rsidR="007B0AA0" w:rsidRPr="00570758" w:rsidRDefault="007B0AA0" w:rsidP="00F363FE">
            <w:pPr>
              <w:spacing w:before="60" w:after="60" w:line="260" w:lineRule="exact"/>
              <w:rPr>
                <w:b/>
                <w:bCs/>
                <w:rtl/>
                <w:lang w:bidi="ar-EG"/>
              </w:rPr>
            </w:pPr>
          </w:p>
        </w:tc>
        <w:tc>
          <w:tcPr>
            <w:tcW w:w="3117" w:type="dxa"/>
          </w:tcPr>
          <w:p w14:paraId="39994330" w14:textId="2C23CB23" w:rsidR="007B0AA0" w:rsidRPr="00570758" w:rsidRDefault="00F567E7" w:rsidP="00F363FE">
            <w:pPr>
              <w:spacing w:before="60" w:after="60" w:line="260" w:lineRule="exact"/>
              <w:rPr>
                <w:b/>
                <w:bCs/>
                <w:rtl/>
                <w:lang w:bidi="ar-EG"/>
              </w:rPr>
            </w:pPr>
            <w:r>
              <w:rPr>
                <w:b/>
                <w:bCs/>
                <w:lang w:bidi="ar-EG"/>
              </w:rPr>
              <w:t>29</w:t>
            </w:r>
            <w:r>
              <w:rPr>
                <w:rFonts w:hint="cs"/>
                <w:b/>
                <w:bCs/>
                <w:rtl/>
                <w:lang w:bidi="ar-EG"/>
              </w:rPr>
              <w:t xml:space="preserve"> أغسطس</w:t>
            </w:r>
            <w:r w:rsidR="007B0AA0" w:rsidRPr="00570758">
              <w:rPr>
                <w:b/>
                <w:bCs/>
                <w:rtl/>
                <w:lang w:bidi="ar-EG"/>
              </w:rPr>
              <w:t xml:space="preserve"> </w:t>
            </w:r>
            <w:r w:rsidR="007B0AA0" w:rsidRPr="00570758">
              <w:rPr>
                <w:b/>
                <w:bCs/>
                <w:lang w:bidi="ar-EG"/>
              </w:rPr>
              <w:t>202</w:t>
            </w:r>
            <w:r w:rsidR="00B6080B" w:rsidRPr="00570758">
              <w:rPr>
                <w:b/>
                <w:bCs/>
                <w:lang w:bidi="ar-EG"/>
              </w:rPr>
              <w:t>4</w:t>
            </w:r>
          </w:p>
        </w:tc>
      </w:tr>
      <w:tr w:rsidR="007B0AA0" w:rsidRPr="00570758" w14:paraId="3419F744" w14:textId="77777777" w:rsidTr="00F363FE">
        <w:tc>
          <w:tcPr>
            <w:tcW w:w="6512" w:type="dxa"/>
          </w:tcPr>
          <w:p w14:paraId="467DBE99" w14:textId="77777777" w:rsidR="007B0AA0" w:rsidRPr="00570758" w:rsidRDefault="007B0AA0" w:rsidP="00F363FE">
            <w:pPr>
              <w:spacing w:before="60" w:after="60" w:line="260" w:lineRule="exact"/>
              <w:rPr>
                <w:b/>
                <w:bCs/>
                <w:rtl/>
                <w:lang w:bidi="ar-EG"/>
              </w:rPr>
            </w:pPr>
          </w:p>
        </w:tc>
        <w:tc>
          <w:tcPr>
            <w:tcW w:w="3117" w:type="dxa"/>
          </w:tcPr>
          <w:p w14:paraId="6105BC69" w14:textId="3A4B09AF" w:rsidR="007B0AA0" w:rsidRPr="00570758" w:rsidRDefault="007B0AA0" w:rsidP="00F363FE">
            <w:pPr>
              <w:spacing w:before="60" w:after="60" w:line="260" w:lineRule="exact"/>
              <w:rPr>
                <w:b/>
                <w:bCs/>
                <w:rtl/>
                <w:lang w:bidi="ar-EG"/>
              </w:rPr>
            </w:pPr>
            <w:r w:rsidRPr="00570758">
              <w:rPr>
                <w:b/>
                <w:bCs/>
                <w:rtl/>
                <w:lang w:bidi="ar-EG"/>
              </w:rPr>
              <w:t xml:space="preserve">الأصل: </w:t>
            </w:r>
            <w:r w:rsidR="00AB1F37" w:rsidRPr="00570758">
              <w:rPr>
                <w:b/>
                <w:bCs/>
                <w:rtl/>
                <w:lang w:bidi="ar-EG"/>
              </w:rPr>
              <w:t>بالإنكليزية</w:t>
            </w:r>
          </w:p>
        </w:tc>
      </w:tr>
      <w:tr w:rsidR="007B0AA0" w:rsidRPr="00570758" w14:paraId="4E987F1B" w14:textId="77777777" w:rsidTr="00F363FE">
        <w:tc>
          <w:tcPr>
            <w:tcW w:w="6512" w:type="dxa"/>
          </w:tcPr>
          <w:p w14:paraId="632FAD7D" w14:textId="77777777" w:rsidR="007B0AA0" w:rsidRPr="00570758" w:rsidRDefault="007B0AA0" w:rsidP="00F363FE">
            <w:pPr>
              <w:spacing w:before="60" w:after="60" w:line="260" w:lineRule="exact"/>
              <w:rPr>
                <w:lang w:bidi="ar-EG"/>
              </w:rPr>
            </w:pPr>
          </w:p>
        </w:tc>
        <w:tc>
          <w:tcPr>
            <w:tcW w:w="3117" w:type="dxa"/>
          </w:tcPr>
          <w:p w14:paraId="371F80AF" w14:textId="77777777" w:rsidR="007B0AA0" w:rsidRPr="00570758" w:rsidRDefault="007B0AA0" w:rsidP="00F363FE">
            <w:pPr>
              <w:spacing w:before="60" w:after="60" w:line="260" w:lineRule="exact"/>
              <w:rPr>
                <w:rtl/>
                <w:lang w:bidi="ar-EG"/>
              </w:rPr>
            </w:pPr>
          </w:p>
        </w:tc>
      </w:tr>
      <w:tr w:rsidR="007B0AA0" w:rsidRPr="00570758" w14:paraId="020174BC" w14:textId="77777777" w:rsidTr="00AB1F37">
        <w:tc>
          <w:tcPr>
            <w:tcW w:w="9629" w:type="dxa"/>
            <w:gridSpan w:val="2"/>
          </w:tcPr>
          <w:p w14:paraId="4B511E3A" w14:textId="581E5534" w:rsidR="007B0AA0" w:rsidRPr="00570758" w:rsidRDefault="00AB1F37" w:rsidP="00AB1F37">
            <w:pPr>
              <w:pStyle w:val="Source"/>
              <w:rPr>
                <w:rtl/>
                <w:lang w:bidi="ar-EG"/>
              </w:rPr>
            </w:pPr>
            <w:r w:rsidRPr="00570758">
              <w:rPr>
                <w:rtl/>
                <w:lang w:bidi="ar-EG"/>
              </w:rPr>
              <w:t xml:space="preserve">محضر موجز للجلسة العامة </w:t>
            </w:r>
            <w:r w:rsidR="009A3256" w:rsidRPr="00570758">
              <w:rPr>
                <w:rtl/>
                <w:lang w:bidi="ar-EG"/>
              </w:rPr>
              <w:t>الافتتاحية</w:t>
            </w:r>
          </w:p>
        </w:tc>
      </w:tr>
      <w:tr w:rsidR="007B0AA0" w:rsidRPr="00570758" w14:paraId="3C30513E" w14:textId="77777777" w:rsidTr="00AB1F37">
        <w:tc>
          <w:tcPr>
            <w:tcW w:w="9629" w:type="dxa"/>
            <w:gridSpan w:val="2"/>
            <w:tcBorders>
              <w:bottom w:val="single" w:sz="4" w:space="0" w:color="auto"/>
            </w:tcBorders>
          </w:tcPr>
          <w:p w14:paraId="21C2F0C2" w14:textId="34B5D9A5" w:rsidR="00AB1F37" w:rsidRPr="00570758" w:rsidRDefault="00C8395F" w:rsidP="00A609F2">
            <w:pPr>
              <w:jc w:val="center"/>
              <w:rPr>
                <w:rtl/>
                <w:lang w:bidi="ar-SY"/>
              </w:rPr>
            </w:pPr>
            <w:r w:rsidRPr="00570758">
              <w:rPr>
                <w:rtl/>
              </w:rPr>
              <w:t>الثلاثاء</w:t>
            </w:r>
            <w:r w:rsidR="00AB1F37" w:rsidRPr="00570758">
              <w:rPr>
                <w:rtl/>
              </w:rPr>
              <w:t xml:space="preserve">، </w:t>
            </w:r>
            <w:r w:rsidR="009A3256" w:rsidRPr="00570758">
              <w:t>4</w:t>
            </w:r>
            <w:r w:rsidRPr="00570758">
              <w:rPr>
                <w:rtl/>
              </w:rPr>
              <w:t xml:space="preserve"> </w:t>
            </w:r>
            <w:r w:rsidR="00AB1F37" w:rsidRPr="00570758">
              <w:rPr>
                <w:rtl/>
              </w:rPr>
              <w:t xml:space="preserve">يونيو 2024، من الساعة </w:t>
            </w:r>
            <w:r w:rsidR="009A3256" w:rsidRPr="00570758">
              <w:t>09</w:t>
            </w:r>
            <w:r w:rsidRPr="00570758">
              <w:t>:</w:t>
            </w:r>
            <w:r w:rsidR="009A3256" w:rsidRPr="00570758">
              <w:t>30</w:t>
            </w:r>
            <w:r w:rsidR="00AB1F37" w:rsidRPr="00570758">
              <w:rPr>
                <w:rtl/>
              </w:rPr>
              <w:t xml:space="preserve"> إلى الساعة </w:t>
            </w:r>
            <w:r w:rsidRPr="00570758">
              <w:t>1</w:t>
            </w:r>
            <w:r w:rsidR="009A3256" w:rsidRPr="00570758">
              <w:t>2</w:t>
            </w:r>
            <w:r w:rsidRPr="00570758">
              <w:t>:</w:t>
            </w:r>
            <w:r w:rsidR="009A3256" w:rsidRPr="00570758">
              <w:t>40</w:t>
            </w:r>
          </w:p>
          <w:p w14:paraId="0CE805B9" w14:textId="4E9AF607" w:rsidR="007B0AA0" w:rsidRPr="00570758" w:rsidRDefault="00AB1F37" w:rsidP="00A609F2">
            <w:pPr>
              <w:jc w:val="center"/>
            </w:pPr>
            <w:r w:rsidRPr="00570758">
              <w:rPr>
                <w:b/>
                <w:bCs/>
                <w:rtl/>
              </w:rPr>
              <w:t>الرئيس</w:t>
            </w:r>
            <w:r w:rsidRPr="00570758">
              <w:rPr>
                <w:rtl/>
              </w:rPr>
              <w:t xml:space="preserve">: السيد ف. </w:t>
            </w:r>
            <w:proofErr w:type="spellStart"/>
            <w:r w:rsidRPr="00570758">
              <w:rPr>
                <w:rtl/>
              </w:rPr>
              <w:t>سوفاج</w:t>
            </w:r>
            <w:proofErr w:type="spellEnd"/>
            <w:r w:rsidRPr="00570758">
              <w:rPr>
                <w:rtl/>
              </w:rPr>
              <w:t xml:space="preserve"> (فرنسا)</w:t>
            </w:r>
          </w:p>
        </w:tc>
      </w:tr>
    </w:tbl>
    <w:p w14:paraId="35AF6497" w14:textId="77777777" w:rsidR="009A3256" w:rsidRPr="00570758" w:rsidRDefault="009A3256" w:rsidP="009A3256">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199"/>
        <w:gridCol w:w="1986"/>
      </w:tblGrid>
      <w:tr w:rsidR="00C8395F" w:rsidRPr="00570758" w14:paraId="0A2FC9BE" w14:textId="77777777" w:rsidTr="00CB61D6">
        <w:tc>
          <w:tcPr>
            <w:tcW w:w="454" w:type="dxa"/>
          </w:tcPr>
          <w:p w14:paraId="493D49EC" w14:textId="77777777" w:rsidR="00C8395F" w:rsidRPr="00570758" w:rsidRDefault="00C8395F" w:rsidP="00353972">
            <w:pPr>
              <w:rPr>
                <w:rtl/>
              </w:rPr>
            </w:pPr>
          </w:p>
        </w:tc>
        <w:tc>
          <w:tcPr>
            <w:tcW w:w="7199" w:type="dxa"/>
          </w:tcPr>
          <w:p w14:paraId="4F49AE90" w14:textId="444F707D" w:rsidR="00C8395F" w:rsidRPr="00570758" w:rsidRDefault="00C8395F" w:rsidP="00353972">
            <w:pPr>
              <w:rPr>
                <w:b/>
                <w:bCs/>
                <w:rtl/>
              </w:rPr>
            </w:pPr>
            <w:r w:rsidRPr="00570758">
              <w:rPr>
                <w:b/>
                <w:bCs/>
                <w:rtl/>
              </w:rPr>
              <w:t>المواضيع التي نوقشت</w:t>
            </w:r>
          </w:p>
        </w:tc>
        <w:tc>
          <w:tcPr>
            <w:tcW w:w="1986" w:type="dxa"/>
          </w:tcPr>
          <w:p w14:paraId="58BA9D42" w14:textId="77777777" w:rsidR="00C8395F" w:rsidRPr="00570758" w:rsidRDefault="00C8395F" w:rsidP="00353972">
            <w:pPr>
              <w:jc w:val="center"/>
              <w:rPr>
                <w:b/>
                <w:bCs/>
                <w:rtl/>
              </w:rPr>
            </w:pPr>
            <w:r w:rsidRPr="00570758">
              <w:rPr>
                <w:b/>
                <w:bCs/>
                <w:rtl/>
              </w:rPr>
              <w:t>الوثائق</w:t>
            </w:r>
          </w:p>
        </w:tc>
      </w:tr>
      <w:tr w:rsidR="009A3256" w:rsidRPr="00570758" w14:paraId="077485B9" w14:textId="77777777" w:rsidTr="00CB61D6">
        <w:tc>
          <w:tcPr>
            <w:tcW w:w="454" w:type="dxa"/>
          </w:tcPr>
          <w:p w14:paraId="665B2C8D" w14:textId="7F1A3564" w:rsidR="009A3256" w:rsidRPr="00570758" w:rsidRDefault="009A3256" w:rsidP="009A3256">
            <w:pPr>
              <w:rPr>
                <w:rtl/>
              </w:rPr>
            </w:pPr>
            <w:r w:rsidRPr="00570758">
              <w:rPr>
                <w:lang w:val="en-CA"/>
              </w:rPr>
              <w:t>1</w:t>
            </w:r>
          </w:p>
        </w:tc>
        <w:tc>
          <w:tcPr>
            <w:tcW w:w="7199" w:type="dxa"/>
          </w:tcPr>
          <w:p w14:paraId="52C915B5" w14:textId="7EE653B9" w:rsidR="009A3256" w:rsidRPr="00570758" w:rsidRDefault="009A3256" w:rsidP="009A3256">
            <w:pPr>
              <w:rPr>
                <w:rtl/>
              </w:rPr>
            </w:pPr>
            <w:r w:rsidRPr="00570758">
              <w:rPr>
                <w:rtl/>
                <w:lang w:bidi="ar-EG"/>
              </w:rPr>
              <w:t>ملاحظات افتتاحية من الأمينة العامة</w:t>
            </w:r>
          </w:p>
        </w:tc>
        <w:tc>
          <w:tcPr>
            <w:tcW w:w="1986" w:type="dxa"/>
          </w:tcPr>
          <w:p w14:paraId="07529D98" w14:textId="30AD8AF5" w:rsidR="009A3256" w:rsidRPr="00570758" w:rsidRDefault="009A3256" w:rsidP="009A3256">
            <w:pPr>
              <w:jc w:val="center"/>
              <w:rPr>
                <w:rtl/>
              </w:rPr>
            </w:pPr>
            <w:r w:rsidRPr="00570758">
              <w:rPr>
                <w:lang w:val="en-CA"/>
              </w:rPr>
              <w:t>-</w:t>
            </w:r>
          </w:p>
        </w:tc>
      </w:tr>
      <w:tr w:rsidR="009A3256" w:rsidRPr="00570758" w14:paraId="3139D99C" w14:textId="77777777" w:rsidTr="00CB61D6">
        <w:tc>
          <w:tcPr>
            <w:tcW w:w="454" w:type="dxa"/>
          </w:tcPr>
          <w:p w14:paraId="35990027" w14:textId="2B7F28C7" w:rsidR="009A3256" w:rsidRPr="00570758" w:rsidRDefault="009A3256" w:rsidP="009A3256">
            <w:pPr>
              <w:rPr>
                <w:rtl/>
              </w:rPr>
            </w:pPr>
            <w:r w:rsidRPr="00570758">
              <w:rPr>
                <w:lang w:val="en-CA"/>
              </w:rPr>
              <w:t>2</w:t>
            </w:r>
          </w:p>
        </w:tc>
        <w:tc>
          <w:tcPr>
            <w:tcW w:w="7199" w:type="dxa"/>
          </w:tcPr>
          <w:p w14:paraId="49A7A63E" w14:textId="6526DDA3" w:rsidR="009A3256" w:rsidRPr="00570758" w:rsidRDefault="009A3256" w:rsidP="009A3256">
            <w:pPr>
              <w:rPr>
                <w:rtl/>
              </w:rPr>
            </w:pPr>
            <w:r w:rsidRPr="00570758">
              <w:rPr>
                <w:rtl/>
                <w:lang w:bidi="ar-EG"/>
              </w:rPr>
              <w:t>انتخاب رئيس المجلس ونائبه</w:t>
            </w:r>
          </w:p>
        </w:tc>
        <w:tc>
          <w:tcPr>
            <w:tcW w:w="1986" w:type="dxa"/>
            <w:vAlign w:val="center"/>
          </w:tcPr>
          <w:p w14:paraId="3FA17CB4" w14:textId="0CB8B11F" w:rsidR="009A3256" w:rsidRPr="00570758" w:rsidRDefault="009A3256" w:rsidP="009A3256">
            <w:pPr>
              <w:jc w:val="center"/>
            </w:pPr>
            <w:r w:rsidRPr="00570758">
              <w:rPr>
                <w:lang w:val="en-CA"/>
              </w:rPr>
              <w:t>-</w:t>
            </w:r>
          </w:p>
        </w:tc>
      </w:tr>
      <w:tr w:rsidR="009A3256" w:rsidRPr="00570758" w14:paraId="527B0929" w14:textId="77777777" w:rsidTr="00CB61D6">
        <w:tc>
          <w:tcPr>
            <w:tcW w:w="454" w:type="dxa"/>
          </w:tcPr>
          <w:p w14:paraId="35253231" w14:textId="484C200D" w:rsidR="009A3256" w:rsidRPr="00570758" w:rsidRDefault="009A3256" w:rsidP="009A3256">
            <w:pPr>
              <w:rPr>
                <w:rtl/>
              </w:rPr>
            </w:pPr>
            <w:r w:rsidRPr="00570758">
              <w:rPr>
                <w:lang w:val="en-CA"/>
              </w:rPr>
              <w:t>3</w:t>
            </w:r>
          </w:p>
        </w:tc>
        <w:tc>
          <w:tcPr>
            <w:tcW w:w="7199" w:type="dxa"/>
          </w:tcPr>
          <w:p w14:paraId="6F0358A4" w14:textId="1F1192C1" w:rsidR="009A3256" w:rsidRPr="00570758" w:rsidRDefault="009A3256" w:rsidP="009A3256">
            <w:pPr>
              <w:rPr>
                <w:rtl/>
              </w:rPr>
            </w:pPr>
            <w:r w:rsidRPr="00570758">
              <w:rPr>
                <w:rtl/>
                <w:lang w:bidi="ar-EG"/>
              </w:rPr>
              <w:t>كلمة رئيس المجلس</w:t>
            </w:r>
          </w:p>
        </w:tc>
        <w:tc>
          <w:tcPr>
            <w:tcW w:w="1986" w:type="dxa"/>
          </w:tcPr>
          <w:p w14:paraId="6E6C796C" w14:textId="246FBD1E" w:rsidR="009A3256" w:rsidRPr="00570758" w:rsidRDefault="009A3256" w:rsidP="009A3256">
            <w:pPr>
              <w:jc w:val="center"/>
            </w:pPr>
            <w:r w:rsidRPr="00570758">
              <w:rPr>
                <w:lang w:val="en-CA"/>
              </w:rPr>
              <w:t>-</w:t>
            </w:r>
          </w:p>
        </w:tc>
      </w:tr>
      <w:tr w:rsidR="009A3256" w:rsidRPr="00570758" w14:paraId="07139AE4" w14:textId="77777777" w:rsidTr="00CB61D6">
        <w:tc>
          <w:tcPr>
            <w:tcW w:w="454" w:type="dxa"/>
          </w:tcPr>
          <w:p w14:paraId="5F203406" w14:textId="2B7670AF" w:rsidR="009A3256" w:rsidRPr="00570758" w:rsidRDefault="009A3256" w:rsidP="009A3256">
            <w:pPr>
              <w:rPr>
                <w:rtl/>
              </w:rPr>
            </w:pPr>
            <w:r w:rsidRPr="00570758">
              <w:rPr>
                <w:lang w:val="en-CA"/>
              </w:rPr>
              <w:t>4</w:t>
            </w:r>
          </w:p>
        </w:tc>
        <w:tc>
          <w:tcPr>
            <w:tcW w:w="7199" w:type="dxa"/>
          </w:tcPr>
          <w:p w14:paraId="7178A61D" w14:textId="0037B61B" w:rsidR="009A3256" w:rsidRPr="00570758" w:rsidRDefault="009A3256" w:rsidP="009A3256">
            <w:pPr>
              <w:rPr>
                <w:rtl/>
              </w:rPr>
            </w:pPr>
            <w:r w:rsidRPr="00570758">
              <w:rPr>
                <w:rtl/>
                <w:lang w:bidi="ar-EG"/>
              </w:rPr>
              <w:t>رئيس ونواب رئيس اللجنة الدائمة للتنظيم والإدارة</w:t>
            </w:r>
          </w:p>
        </w:tc>
        <w:tc>
          <w:tcPr>
            <w:tcW w:w="1986" w:type="dxa"/>
          </w:tcPr>
          <w:p w14:paraId="3C89A1DE" w14:textId="6DB6ECFB" w:rsidR="009A3256" w:rsidRPr="00570758" w:rsidRDefault="009A3256" w:rsidP="009A3256">
            <w:pPr>
              <w:jc w:val="center"/>
            </w:pPr>
            <w:r w:rsidRPr="00570758">
              <w:rPr>
                <w:lang w:val="en-CA"/>
              </w:rPr>
              <w:t>-</w:t>
            </w:r>
          </w:p>
        </w:tc>
      </w:tr>
      <w:tr w:rsidR="009A3256" w:rsidRPr="00570758" w14:paraId="668FDA17" w14:textId="77777777" w:rsidTr="00CB61D6">
        <w:tc>
          <w:tcPr>
            <w:tcW w:w="454" w:type="dxa"/>
          </w:tcPr>
          <w:p w14:paraId="7BFECFCB" w14:textId="79CDBADE" w:rsidR="009A3256" w:rsidRPr="00570758" w:rsidRDefault="009A3256" w:rsidP="009A3256">
            <w:pPr>
              <w:rPr>
                <w:rtl/>
              </w:rPr>
            </w:pPr>
            <w:r w:rsidRPr="00570758">
              <w:rPr>
                <w:lang w:val="en-CA"/>
              </w:rPr>
              <w:t>5</w:t>
            </w:r>
          </w:p>
        </w:tc>
        <w:tc>
          <w:tcPr>
            <w:tcW w:w="7199" w:type="dxa"/>
          </w:tcPr>
          <w:p w14:paraId="79769C79" w14:textId="7451E1ED" w:rsidR="009A3256" w:rsidRPr="00570758" w:rsidRDefault="009A3256" w:rsidP="009A3256">
            <w:pPr>
              <w:rPr>
                <w:rtl/>
              </w:rPr>
            </w:pPr>
            <w:r w:rsidRPr="00570758">
              <w:rPr>
                <w:rtl/>
                <w:lang w:bidi="ar-EG"/>
              </w:rPr>
              <w:t>كلمة الأمينة العامة بشأن حالة الاتحاد</w:t>
            </w:r>
          </w:p>
        </w:tc>
        <w:tc>
          <w:tcPr>
            <w:tcW w:w="1986" w:type="dxa"/>
          </w:tcPr>
          <w:p w14:paraId="565DC65E" w14:textId="1DAE4528" w:rsidR="009A3256" w:rsidRPr="00570758" w:rsidRDefault="009A3256" w:rsidP="009A3256">
            <w:pPr>
              <w:jc w:val="center"/>
            </w:pPr>
            <w:r w:rsidRPr="00570758">
              <w:rPr>
                <w:lang w:val="en-CA"/>
              </w:rPr>
              <w:t>-</w:t>
            </w:r>
          </w:p>
        </w:tc>
      </w:tr>
      <w:tr w:rsidR="009A3256" w:rsidRPr="00570758" w14:paraId="6D8F5628" w14:textId="77777777" w:rsidTr="00CB61D6">
        <w:tc>
          <w:tcPr>
            <w:tcW w:w="454" w:type="dxa"/>
          </w:tcPr>
          <w:p w14:paraId="5B8D960F" w14:textId="6486D9EC" w:rsidR="009A3256" w:rsidRPr="00570758" w:rsidRDefault="009A3256" w:rsidP="009A3256">
            <w:pPr>
              <w:rPr>
                <w:rtl/>
              </w:rPr>
            </w:pPr>
            <w:r w:rsidRPr="00570758">
              <w:rPr>
                <w:lang w:val="en-CA"/>
              </w:rPr>
              <w:t>6</w:t>
            </w:r>
          </w:p>
        </w:tc>
        <w:tc>
          <w:tcPr>
            <w:tcW w:w="7199" w:type="dxa"/>
          </w:tcPr>
          <w:p w14:paraId="61C2AD17" w14:textId="0455432E" w:rsidR="009A3256" w:rsidRPr="00570758" w:rsidRDefault="009A3256" w:rsidP="009A3256">
            <w:pPr>
              <w:rPr>
                <w:rtl/>
              </w:rPr>
            </w:pPr>
            <w:r w:rsidRPr="00570758">
              <w:rPr>
                <w:rtl/>
                <w:lang w:bidi="ar-EG"/>
              </w:rPr>
              <w:t xml:space="preserve">الموافقة على جدول أعمال دورة المجلس لعام 2024 </w:t>
            </w:r>
          </w:p>
        </w:tc>
        <w:tc>
          <w:tcPr>
            <w:tcW w:w="1986" w:type="dxa"/>
          </w:tcPr>
          <w:p w14:paraId="04773DED" w14:textId="419FDFA1" w:rsidR="009A3256" w:rsidRPr="00570758" w:rsidRDefault="0096367E" w:rsidP="009A3256">
            <w:pPr>
              <w:jc w:val="center"/>
            </w:pPr>
            <w:hyperlink r:id="rId8" w:history="1">
              <w:r w:rsidR="009A3256" w:rsidRPr="00570758">
                <w:rPr>
                  <w:rStyle w:val="Hyperlink"/>
                  <w:lang w:val="en-CA"/>
                </w:rPr>
                <w:t>C24/1(Rev.2)</w:t>
              </w:r>
            </w:hyperlink>
          </w:p>
        </w:tc>
      </w:tr>
      <w:tr w:rsidR="009A3256" w:rsidRPr="00570758" w14:paraId="70E3D50F" w14:textId="77777777" w:rsidTr="00CB61D6">
        <w:tc>
          <w:tcPr>
            <w:tcW w:w="454" w:type="dxa"/>
          </w:tcPr>
          <w:p w14:paraId="3B0EC54F" w14:textId="24631591" w:rsidR="009A3256" w:rsidRPr="00570758" w:rsidRDefault="009A3256" w:rsidP="009A3256">
            <w:pPr>
              <w:rPr>
                <w:rtl/>
              </w:rPr>
            </w:pPr>
            <w:r w:rsidRPr="00570758">
              <w:rPr>
                <w:lang w:val="en-CA"/>
              </w:rPr>
              <w:t>7</w:t>
            </w:r>
          </w:p>
        </w:tc>
        <w:tc>
          <w:tcPr>
            <w:tcW w:w="7199" w:type="dxa"/>
          </w:tcPr>
          <w:p w14:paraId="40B44D4D" w14:textId="55FEE3CC" w:rsidR="009A3256" w:rsidRPr="00570758" w:rsidRDefault="009A3256" w:rsidP="009A3256">
            <w:pPr>
              <w:rPr>
                <w:rtl/>
              </w:rPr>
            </w:pPr>
            <w:r w:rsidRPr="00570758">
              <w:rPr>
                <w:rtl/>
                <w:lang w:bidi="ar-EG"/>
              </w:rPr>
              <w:t>توزيع الوثائق</w:t>
            </w:r>
          </w:p>
        </w:tc>
        <w:tc>
          <w:tcPr>
            <w:tcW w:w="1986" w:type="dxa"/>
          </w:tcPr>
          <w:p w14:paraId="60066880" w14:textId="2D5303FF" w:rsidR="009A3256" w:rsidRPr="00570758" w:rsidRDefault="0096367E" w:rsidP="009A3256">
            <w:pPr>
              <w:jc w:val="center"/>
            </w:pPr>
            <w:hyperlink r:id="rId9" w:history="1">
              <w:r w:rsidR="009A3256" w:rsidRPr="00570758">
                <w:rPr>
                  <w:rStyle w:val="Hyperlink"/>
                  <w:lang w:val="en-CA"/>
                </w:rPr>
                <w:t>C24/DT/1</w:t>
              </w:r>
            </w:hyperlink>
          </w:p>
        </w:tc>
      </w:tr>
      <w:tr w:rsidR="009A3256" w:rsidRPr="00570758" w14:paraId="4F9A162D" w14:textId="77777777" w:rsidTr="00CB61D6">
        <w:tc>
          <w:tcPr>
            <w:tcW w:w="454" w:type="dxa"/>
          </w:tcPr>
          <w:p w14:paraId="6162B0CE" w14:textId="083F258F" w:rsidR="009A3256" w:rsidRPr="00570758" w:rsidRDefault="009A3256" w:rsidP="009A3256">
            <w:pPr>
              <w:rPr>
                <w:rtl/>
              </w:rPr>
            </w:pPr>
            <w:r w:rsidRPr="00570758">
              <w:rPr>
                <w:lang w:val="en-CA"/>
              </w:rPr>
              <w:t>8</w:t>
            </w:r>
          </w:p>
        </w:tc>
        <w:tc>
          <w:tcPr>
            <w:tcW w:w="7199" w:type="dxa"/>
          </w:tcPr>
          <w:p w14:paraId="2225CA9F" w14:textId="2E75E9C5" w:rsidR="009A3256" w:rsidRPr="00570758" w:rsidRDefault="009A3256" w:rsidP="009A3256">
            <w:pPr>
              <w:rPr>
                <w:rtl/>
              </w:rPr>
            </w:pPr>
            <w:r w:rsidRPr="00570758">
              <w:rPr>
                <w:rtl/>
                <w:lang w:bidi="ar-EG"/>
              </w:rPr>
              <w:t>خطة إدارة الوقت</w:t>
            </w:r>
          </w:p>
        </w:tc>
        <w:tc>
          <w:tcPr>
            <w:tcW w:w="1986" w:type="dxa"/>
          </w:tcPr>
          <w:p w14:paraId="1EDAEBF0" w14:textId="64CD25AD" w:rsidR="009A3256" w:rsidRPr="00570758" w:rsidRDefault="0096367E" w:rsidP="009A3256">
            <w:pPr>
              <w:jc w:val="center"/>
            </w:pPr>
            <w:hyperlink r:id="rId10" w:history="1">
              <w:r w:rsidR="009A3256" w:rsidRPr="00570758">
                <w:rPr>
                  <w:rStyle w:val="Hyperlink"/>
                  <w:lang w:val="en-CA"/>
                </w:rPr>
                <w:t>C24/DT/2(Rev.3)</w:t>
              </w:r>
            </w:hyperlink>
          </w:p>
        </w:tc>
      </w:tr>
      <w:tr w:rsidR="009A3256" w:rsidRPr="00570758" w14:paraId="70C83C82" w14:textId="77777777" w:rsidTr="00CB61D6">
        <w:tc>
          <w:tcPr>
            <w:tcW w:w="454" w:type="dxa"/>
          </w:tcPr>
          <w:p w14:paraId="6426171B" w14:textId="7990962B" w:rsidR="009A3256" w:rsidRPr="00570758" w:rsidRDefault="009A3256" w:rsidP="009A3256">
            <w:pPr>
              <w:rPr>
                <w:rtl/>
              </w:rPr>
            </w:pPr>
            <w:r w:rsidRPr="00570758">
              <w:rPr>
                <w:lang w:val="en-CA"/>
              </w:rPr>
              <w:t>9</w:t>
            </w:r>
          </w:p>
        </w:tc>
        <w:tc>
          <w:tcPr>
            <w:tcW w:w="7199" w:type="dxa"/>
          </w:tcPr>
          <w:p w14:paraId="245164C4" w14:textId="7C95EA2D" w:rsidR="009A3256" w:rsidRPr="00570758" w:rsidRDefault="009A3256" w:rsidP="009A3256">
            <w:pPr>
              <w:rPr>
                <w:rtl/>
              </w:rPr>
            </w:pPr>
            <w:r w:rsidRPr="00570758">
              <w:rPr>
                <w:rtl/>
                <w:lang w:bidi="ar-EG"/>
              </w:rPr>
              <w:t>المسائل التنظيمية</w:t>
            </w:r>
          </w:p>
        </w:tc>
        <w:tc>
          <w:tcPr>
            <w:tcW w:w="1986" w:type="dxa"/>
          </w:tcPr>
          <w:p w14:paraId="619373A4" w14:textId="2D2B4819" w:rsidR="009A3256" w:rsidRPr="00570758" w:rsidRDefault="009A3256" w:rsidP="009A3256">
            <w:pPr>
              <w:jc w:val="center"/>
            </w:pPr>
            <w:r w:rsidRPr="00570758">
              <w:rPr>
                <w:lang w:val="en-CA"/>
              </w:rPr>
              <w:t>-</w:t>
            </w:r>
          </w:p>
        </w:tc>
      </w:tr>
      <w:tr w:rsidR="00C1011E" w:rsidRPr="00570758" w14:paraId="7672F8B0" w14:textId="77777777" w:rsidTr="00CB61D6">
        <w:tc>
          <w:tcPr>
            <w:tcW w:w="454" w:type="dxa"/>
          </w:tcPr>
          <w:p w14:paraId="3425D6B0" w14:textId="3ADDEACE" w:rsidR="00C1011E" w:rsidRPr="00570758" w:rsidRDefault="00C1011E" w:rsidP="00C1011E">
            <w:pPr>
              <w:rPr>
                <w:rtl/>
              </w:rPr>
            </w:pPr>
            <w:r w:rsidRPr="00570758">
              <w:rPr>
                <w:lang w:val="en-CA"/>
              </w:rPr>
              <w:t>10</w:t>
            </w:r>
          </w:p>
        </w:tc>
        <w:tc>
          <w:tcPr>
            <w:tcW w:w="7199" w:type="dxa"/>
          </w:tcPr>
          <w:p w14:paraId="2AA9EA5E" w14:textId="07A2480B" w:rsidR="00C1011E" w:rsidRPr="00570758" w:rsidRDefault="00C1011E" w:rsidP="00C1011E">
            <w:pPr>
              <w:rPr>
                <w:rtl/>
              </w:rPr>
            </w:pPr>
            <w:r w:rsidRPr="00570758">
              <w:rPr>
                <w:rtl/>
                <w:lang w:bidi="ar-EG"/>
              </w:rPr>
              <w:t>تقرير عن تنفيذ الخطة الاستراتيجية للاتحاد وعن أنشطة الاتحاد للفترة 2023-2024</w:t>
            </w:r>
          </w:p>
        </w:tc>
        <w:tc>
          <w:tcPr>
            <w:tcW w:w="1986" w:type="dxa"/>
          </w:tcPr>
          <w:p w14:paraId="5390D61D" w14:textId="42019231" w:rsidR="00C1011E" w:rsidRPr="00570758" w:rsidRDefault="0096367E" w:rsidP="00C1011E">
            <w:pPr>
              <w:jc w:val="center"/>
            </w:pPr>
            <w:hyperlink r:id="rId11" w:history="1">
              <w:r w:rsidR="00C1011E" w:rsidRPr="000C5F83">
                <w:rPr>
                  <w:rStyle w:val="Hyperlink"/>
                </w:rPr>
                <w:t>C24/35</w:t>
              </w:r>
            </w:hyperlink>
          </w:p>
        </w:tc>
      </w:tr>
      <w:tr w:rsidR="00C1011E" w:rsidRPr="00570758" w14:paraId="5C042C8B" w14:textId="77777777" w:rsidTr="00CB61D6">
        <w:tc>
          <w:tcPr>
            <w:tcW w:w="454" w:type="dxa"/>
          </w:tcPr>
          <w:p w14:paraId="1CE4F8ED" w14:textId="6E85ABFD" w:rsidR="00C1011E" w:rsidRPr="00570758" w:rsidRDefault="00C1011E" w:rsidP="00C1011E">
            <w:pPr>
              <w:rPr>
                <w:rtl/>
              </w:rPr>
            </w:pPr>
            <w:r w:rsidRPr="00570758">
              <w:rPr>
                <w:lang w:val="en-CA"/>
              </w:rPr>
              <w:t>11</w:t>
            </w:r>
          </w:p>
        </w:tc>
        <w:tc>
          <w:tcPr>
            <w:tcW w:w="7199" w:type="dxa"/>
          </w:tcPr>
          <w:p w14:paraId="172E50C6" w14:textId="6C7ACA0E" w:rsidR="00C1011E" w:rsidRPr="00570758" w:rsidRDefault="00C1011E" w:rsidP="00C1011E">
            <w:pPr>
              <w:rPr>
                <w:rtl/>
              </w:rPr>
            </w:pPr>
            <w:r w:rsidRPr="00570758">
              <w:rPr>
                <w:rtl/>
                <w:lang w:bidi="ar-EG"/>
              </w:rPr>
              <w:t>الخطة التشغيلية للاتحاد للفترة 2025-2028</w:t>
            </w:r>
          </w:p>
        </w:tc>
        <w:tc>
          <w:tcPr>
            <w:tcW w:w="1986" w:type="dxa"/>
          </w:tcPr>
          <w:p w14:paraId="66DD8A01" w14:textId="59541065" w:rsidR="00C1011E" w:rsidRPr="00570758" w:rsidRDefault="0096367E" w:rsidP="00C1011E">
            <w:pPr>
              <w:jc w:val="center"/>
            </w:pPr>
            <w:hyperlink r:id="rId12" w:history="1">
              <w:r w:rsidR="00C1011E" w:rsidRPr="000C5F83">
                <w:rPr>
                  <w:rStyle w:val="Hyperlink"/>
                </w:rPr>
                <w:t>C24/28</w:t>
              </w:r>
            </w:hyperlink>
          </w:p>
        </w:tc>
      </w:tr>
      <w:tr w:rsidR="009A3256" w:rsidRPr="00570758" w14:paraId="42166B5F" w14:textId="77777777" w:rsidTr="00CB61D6">
        <w:tc>
          <w:tcPr>
            <w:tcW w:w="454" w:type="dxa"/>
          </w:tcPr>
          <w:p w14:paraId="57254065" w14:textId="7122035C" w:rsidR="009A3256" w:rsidRPr="00570758" w:rsidRDefault="009A3256" w:rsidP="009A3256">
            <w:pPr>
              <w:rPr>
                <w:lang w:val="en-CA"/>
              </w:rPr>
            </w:pPr>
            <w:r w:rsidRPr="00570758">
              <w:rPr>
                <w:lang w:val="en-CA"/>
              </w:rPr>
              <w:t>12</w:t>
            </w:r>
          </w:p>
        </w:tc>
        <w:tc>
          <w:tcPr>
            <w:tcW w:w="7199" w:type="dxa"/>
          </w:tcPr>
          <w:p w14:paraId="4B2439FC" w14:textId="38559320" w:rsidR="009A3256" w:rsidRPr="00CB61D6" w:rsidRDefault="009A3256" w:rsidP="009A3256">
            <w:pPr>
              <w:rPr>
                <w:spacing w:val="-4"/>
                <w:rtl/>
              </w:rPr>
            </w:pPr>
            <w:r w:rsidRPr="00CB61D6">
              <w:rPr>
                <w:spacing w:val="-4"/>
                <w:rtl/>
                <w:lang w:bidi="ar-EG"/>
              </w:rPr>
              <w:t>إعلان عضو المجلس من أوغندا بشأن الندوة العالمية لمنظمي الاتصالات عام 2024 (</w:t>
            </w:r>
            <w:r w:rsidRPr="00CB61D6">
              <w:rPr>
                <w:spacing w:val="-4"/>
                <w:lang w:bidi="ar-EG"/>
              </w:rPr>
              <w:t>GSR-24</w:t>
            </w:r>
            <w:r w:rsidRPr="00CB61D6">
              <w:rPr>
                <w:spacing w:val="-4"/>
                <w:rtl/>
                <w:lang w:bidi="ar-EG"/>
              </w:rPr>
              <w:t>)</w:t>
            </w:r>
          </w:p>
        </w:tc>
        <w:tc>
          <w:tcPr>
            <w:tcW w:w="1986" w:type="dxa"/>
          </w:tcPr>
          <w:p w14:paraId="47D1437A" w14:textId="73DF6E71" w:rsidR="009A3256" w:rsidRPr="00570758" w:rsidRDefault="009A3256" w:rsidP="009A3256">
            <w:pPr>
              <w:jc w:val="center"/>
            </w:pPr>
            <w:r w:rsidRPr="00570758">
              <w:rPr>
                <w:lang w:val="en-CA"/>
              </w:rPr>
              <w:t>-</w:t>
            </w:r>
          </w:p>
        </w:tc>
      </w:tr>
    </w:tbl>
    <w:p w14:paraId="0A70C2A9" w14:textId="47B248C3" w:rsidR="00F50E3F" w:rsidRPr="00570758" w:rsidRDefault="00F50E3F" w:rsidP="00907B08">
      <w:pPr>
        <w:rPr>
          <w:rtl/>
          <w:lang w:bidi="ar-EG"/>
        </w:rPr>
      </w:pPr>
      <w:r w:rsidRPr="00570758">
        <w:rPr>
          <w:rtl/>
          <w:lang w:bidi="ar-EG"/>
        </w:rPr>
        <w:br w:type="page"/>
      </w:r>
    </w:p>
    <w:p w14:paraId="0371C26B" w14:textId="77777777" w:rsidR="009A3256" w:rsidRPr="00570758" w:rsidRDefault="009A3256" w:rsidP="003C69D1">
      <w:pPr>
        <w:pStyle w:val="Heading1"/>
        <w:rPr>
          <w:rtl/>
          <w:lang w:bidi="ar-EG"/>
        </w:rPr>
      </w:pPr>
      <w:r w:rsidRPr="00570758">
        <w:rPr>
          <w:rtl/>
          <w:lang w:bidi="ar-EG"/>
        </w:rPr>
        <w:lastRenderedPageBreak/>
        <w:t>1</w:t>
      </w:r>
      <w:r w:rsidRPr="00570758">
        <w:rPr>
          <w:rtl/>
          <w:lang w:bidi="ar-EG"/>
        </w:rPr>
        <w:tab/>
        <w:t>ملاحظات افتتاحية من الأمينة العامة</w:t>
      </w:r>
    </w:p>
    <w:p w14:paraId="3E3C44A9" w14:textId="4C3248B1" w:rsidR="009A3256" w:rsidRPr="00570758" w:rsidRDefault="003C69D1" w:rsidP="009A3256">
      <w:pPr>
        <w:rPr>
          <w:rtl/>
          <w:lang w:bidi="ar-EG"/>
        </w:rPr>
      </w:pPr>
      <w:r w:rsidRPr="00570758">
        <w:rPr>
          <w:lang w:bidi="ar-EG"/>
        </w:rPr>
        <w:t>1.1</w:t>
      </w:r>
      <w:r w:rsidR="009A3256" w:rsidRPr="00570758">
        <w:rPr>
          <w:rtl/>
          <w:lang w:bidi="ar-EG"/>
        </w:rPr>
        <w:tab/>
        <w:t>رحبت الأمينة العامة بجميع المندوبين وأعلنت افتتاح دورة المجلس لعام 2024.</w:t>
      </w:r>
    </w:p>
    <w:p w14:paraId="2922CD4E" w14:textId="77777777" w:rsidR="009A3256" w:rsidRPr="00570758" w:rsidRDefault="009A3256" w:rsidP="00570758">
      <w:pPr>
        <w:pStyle w:val="Heading1"/>
        <w:rPr>
          <w:rtl/>
          <w:lang w:bidi="ar-EG"/>
        </w:rPr>
      </w:pPr>
      <w:r w:rsidRPr="00570758">
        <w:rPr>
          <w:rtl/>
          <w:lang w:bidi="ar-EG"/>
        </w:rPr>
        <w:t>2</w:t>
      </w:r>
      <w:r w:rsidRPr="00570758">
        <w:rPr>
          <w:rtl/>
          <w:lang w:bidi="ar-EG"/>
        </w:rPr>
        <w:tab/>
        <w:t>انتخاب رئيس المجلس ونائبه</w:t>
      </w:r>
    </w:p>
    <w:p w14:paraId="372AEEDF" w14:textId="68557811" w:rsidR="009A3256" w:rsidRPr="00570758" w:rsidRDefault="003C69D1" w:rsidP="009A3256">
      <w:pPr>
        <w:rPr>
          <w:rtl/>
          <w:lang w:bidi="ar-EG"/>
        </w:rPr>
      </w:pPr>
      <w:r w:rsidRPr="00570758">
        <w:rPr>
          <w:lang w:bidi="ar-EG"/>
        </w:rPr>
        <w:t>1.2</w:t>
      </w:r>
      <w:r w:rsidR="009A3256" w:rsidRPr="00570758">
        <w:rPr>
          <w:rtl/>
          <w:lang w:bidi="ar-EG"/>
        </w:rPr>
        <w:tab/>
        <w:t xml:space="preserve">اقترحت الأمينة العامة أن يُنتخب السيد فريديريك </w:t>
      </w:r>
      <w:proofErr w:type="spellStart"/>
      <w:r w:rsidR="009A3256" w:rsidRPr="00570758">
        <w:rPr>
          <w:rtl/>
          <w:lang w:bidi="ar-EG"/>
        </w:rPr>
        <w:t>سوفاج</w:t>
      </w:r>
      <w:proofErr w:type="spellEnd"/>
      <w:r w:rsidR="009A3256" w:rsidRPr="00570758">
        <w:rPr>
          <w:rtl/>
          <w:lang w:bidi="ar-EG"/>
        </w:rPr>
        <w:t xml:space="preserve"> (فرنسا) رئيسا</w:t>
      </w:r>
      <w:r w:rsidR="00CB61D6">
        <w:rPr>
          <w:rFonts w:hint="cs"/>
          <w:rtl/>
          <w:lang w:bidi="ar-EG"/>
        </w:rPr>
        <w:t>ً</w:t>
      </w:r>
      <w:r w:rsidR="009A3256" w:rsidRPr="00570758">
        <w:rPr>
          <w:rtl/>
          <w:lang w:bidi="ar-EG"/>
        </w:rPr>
        <w:t xml:space="preserve"> للمجلس في دورته لعام 2024؛ علماً بأن السيد </w:t>
      </w:r>
      <w:proofErr w:type="spellStart"/>
      <w:r w:rsidR="009A3256" w:rsidRPr="00570758">
        <w:rPr>
          <w:rtl/>
          <w:lang w:bidi="ar-EG"/>
        </w:rPr>
        <w:t>سوفاج</w:t>
      </w:r>
      <w:proofErr w:type="spellEnd"/>
      <w:r w:rsidR="009A3256" w:rsidRPr="00570758">
        <w:rPr>
          <w:rtl/>
          <w:lang w:bidi="ar-EG"/>
        </w:rPr>
        <w:t xml:space="preserve"> شغل منصب نائب رئيس المجلس في دورته لعام 2023 والقائم بأعمال رئيس المجلس منذ تقاعد السيد سيزار مارتينيز (باراغواي) في ديسمبر 2023.</w:t>
      </w:r>
    </w:p>
    <w:p w14:paraId="051AAA12" w14:textId="31EC18B1" w:rsidR="009A3256" w:rsidRPr="00570758" w:rsidRDefault="003C69D1" w:rsidP="009A3256">
      <w:pPr>
        <w:rPr>
          <w:rtl/>
          <w:lang w:bidi="ar-EG"/>
        </w:rPr>
      </w:pPr>
      <w:r w:rsidRPr="00570758">
        <w:rPr>
          <w:lang w:bidi="ar-EG"/>
        </w:rPr>
        <w:t>2.2</w:t>
      </w:r>
      <w:r w:rsidR="009A3256" w:rsidRPr="00570758">
        <w:rPr>
          <w:rtl/>
          <w:lang w:bidi="ar-EG"/>
        </w:rPr>
        <w:tab/>
      </w:r>
      <w:r w:rsidR="009A3256" w:rsidRPr="0045634B">
        <w:rPr>
          <w:b/>
          <w:bCs/>
          <w:rtl/>
          <w:lang w:bidi="ar-EG"/>
        </w:rPr>
        <w:t>وانتُخب</w:t>
      </w:r>
      <w:r w:rsidR="009A3256" w:rsidRPr="00570758">
        <w:rPr>
          <w:rtl/>
          <w:lang w:bidi="ar-EG"/>
        </w:rPr>
        <w:t xml:space="preserve"> السيد فريدريك </w:t>
      </w:r>
      <w:proofErr w:type="spellStart"/>
      <w:r w:rsidR="009A3256" w:rsidRPr="00570758">
        <w:rPr>
          <w:rtl/>
          <w:lang w:bidi="ar-EG"/>
        </w:rPr>
        <w:t>سوفاج</w:t>
      </w:r>
      <w:proofErr w:type="spellEnd"/>
      <w:r w:rsidR="009A3256" w:rsidRPr="00570758">
        <w:rPr>
          <w:rtl/>
          <w:lang w:bidi="ar-EG"/>
        </w:rPr>
        <w:t xml:space="preserve"> (فرنسا) رئيسا</w:t>
      </w:r>
      <w:r w:rsidR="00CB61D6">
        <w:rPr>
          <w:rFonts w:hint="cs"/>
          <w:rtl/>
          <w:lang w:bidi="ar-EG"/>
        </w:rPr>
        <w:t>ً</w:t>
      </w:r>
      <w:r w:rsidR="009A3256" w:rsidRPr="00570758">
        <w:rPr>
          <w:rtl/>
          <w:lang w:bidi="ar-EG"/>
        </w:rPr>
        <w:t xml:space="preserve"> للمجلس بالتزكية.</w:t>
      </w:r>
    </w:p>
    <w:p w14:paraId="6AFB2BD5" w14:textId="543E298F" w:rsidR="009A3256" w:rsidRPr="00570758" w:rsidRDefault="003C69D1" w:rsidP="009A3256">
      <w:pPr>
        <w:rPr>
          <w:rtl/>
          <w:lang w:bidi="ar-EG"/>
        </w:rPr>
      </w:pPr>
      <w:r w:rsidRPr="00570758">
        <w:rPr>
          <w:lang w:bidi="ar-EG"/>
        </w:rPr>
        <w:t>3.2</w:t>
      </w:r>
      <w:r w:rsidR="009A3256" w:rsidRPr="00570758">
        <w:rPr>
          <w:rtl/>
          <w:lang w:bidi="ar-EG"/>
        </w:rPr>
        <w:tab/>
        <w:t>وتم</w:t>
      </w:r>
      <w:r w:rsidR="00DF4BBB">
        <w:rPr>
          <w:rFonts w:hint="cs"/>
          <w:rtl/>
          <w:lang w:bidi="ar-EG"/>
        </w:rPr>
        <w:t>ا</w:t>
      </w:r>
      <w:r w:rsidR="009A3256" w:rsidRPr="00570758">
        <w:rPr>
          <w:rtl/>
          <w:lang w:bidi="ar-EG"/>
        </w:rPr>
        <w:t>شيا</w:t>
      </w:r>
      <w:r w:rsidR="00CB61D6">
        <w:rPr>
          <w:rFonts w:hint="cs"/>
          <w:rtl/>
          <w:lang w:bidi="ar-EG"/>
        </w:rPr>
        <w:t>ً</w:t>
      </w:r>
      <w:r w:rsidR="009A3256" w:rsidRPr="00570758">
        <w:rPr>
          <w:rtl/>
          <w:lang w:bidi="ar-EG"/>
        </w:rPr>
        <w:t xml:space="preserve"> مع مبادئ التناوب والتوزيع الجغرافي المنصف، سيكون نائب رئيس المجلس من المنطقة جيم. وقد رشحت رومانيا السيدة كريستينا فلتور لشَغل هذا المنصب.</w:t>
      </w:r>
    </w:p>
    <w:p w14:paraId="40CD8C88" w14:textId="73BAE14C" w:rsidR="009A3256" w:rsidRPr="00570758" w:rsidRDefault="003C69D1" w:rsidP="009A3256">
      <w:pPr>
        <w:rPr>
          <w:rtl/>
          <w:lang w:bidi="ar-EG"/>
        </w:rPr>
      </w:pPr>
      <w:r w:rsidRPr="00570758">
        <w:rPr>
          <w:lang w:bidi="ar-EG"/>
        </w:rPr>
        <w:t>4.2</w:t>
      </w:r>
      <w:r w:rsidR="009A3256" w:rsidRPr="00570758">
        <w:rPr>
          <w:rtl/>
          <w:lang w:bidi="ar-EG"/>
        </w:rPr>
        <w:tab/>
      </w:r>
      <w:r w:rsidR="009A3256" w:rsidRPr="0045634B">
        <w:rPr>
          <w:b/>
          <w:bCs/>
          <w:rtl/>
          <w:lang w:bidi="ar-EG"/>
        </w:rPr>
        <w:t>وانتُخبت</w:t>
      </w:r>
      <w:r w:rsidR="009A3256" w:rsidRPr="00570758">
        <w:rPr>
          <w:rtl/>
          <w:lang w:bidi="ar-EG"/>
        </w:rPr>
        <w:t xml:space="preserve"> السيدة كريستينا فلتور (رومانيا) نائبة لرئيس المجلس بالتزكية.</w:t>
      </w:r>
    </w:p>
    <w:p w14:paraId="28950484" w14:textId="77777777" w:rsidR="009A3256" w:rsidRPr="00570758" w:rsidRDefault="009A3256" w:rsidP="00570758">
      <w:pPr>
        <w:pStyle w:val="Heading1"/>
        <w:rPr>
          <w:rtl/>
          <w:lang w:bidi="ar-EG"/>
        </w:rPr>
      </w:pPr>
      <w:r w:rsidRPr="00570758">
        <w:rPr>
          <w:rtl/>
          <w:lang w:bidi="ar-EG"/>
        </w:rPr>
        <w:t>3</w:t>
      </w:r>
      <w:r w:rsidRPr="00570758">
        <w:rPr>
          <w:rtl/>
          <w:lang w:bidi="ar-EG"/>
        </w:rPr>
        <w:tab/>
        <w:t>كلمة رئيس المجلس</w:t>
      </w:r>
    </w:p>
    <w:p w14:paraId="77DAFDE3" w14:textId="6B500F13" w:rsidR="009A3256" w:rsidRPr="00570758" w:rsidRDefault="003C69D1" w:rsidP="009A3256">
      <w:pPr>
        <w:rPr>
          <w:rtl/>
          <w:lang w:bidi="ar-EG"/>
        </w:rPr>
      </w:pPr>
      <w:r w:rsidRPr="00570758">
        <w:rPr>
          <w:lang w:bidi="ar-EG"/>
        </w:rPr>
        <w:t>1.3</w:t>
      </w:r>
      <w:r w:rsidR="009A3256" w:rsidRPr="00570758">
        <w:rPr>
          <w:rtl/>
          <w:lang w:bidi="ar-EG"/>
        </w:rPr>
        <w:tab/>
        <w:t>أعرب الرئيس عن امتنانه للثقة التي أوليت إليه وألقى كلمة متاحة عبر الرابط التالي:</w:t>
      </w:r>
      <w:r w:rsidR="00490A6C">
        <w:rPr>
          <w:rtl/>
          <w:lang w:bidi="ar-EG"/>
        </w:rPr>
        <w:tab/>
      </w:r>
      <w:r w:rsidR="009A3256" w:rsidRPr="00570758">
        <w:rPr>
          <w:rtl/>
          <w:lang w:bidi="ar-EG"/>
        </w:rPr>
        <w:t xml:space="preserve"> </w:t>
      </w:r>
      <w:r w:rsidR="00490A6C">
        <w:rPr>
          <w:rtl/>
          <w:lang w:bidi="ar-EG"/>
        </w:rPr>
        <w:br/>
      </w:r>
      <w:hyperlink r:id="rId13" w:history="1">
        <w:r w:rsidR="00490A6C" w:rsidRPr="00863A48">
          <w:rPr>
            <w:rStyle w:val="Hyperlink"/>
            <w:rFonts w:eastAsia="SimSun"/>
            <w:spacing w:val="-2"/>
          </w:rPr>
          <w:t>http://council.itu.int/2024/wp-content/uploads/sites/4/2024/07/C24-Statement-Chair-Council_PLinaug.docx</w:t>
        </w:r>
      </w:hyperlink>
      <w:r w:rsidR="00490A6C">
        <w:rPr>
          <w:rStyle w:val="Hyperlink"/>
          <w:rFonts w:eastAsia="SimSun" w:hint="cs"/>
          <w:spacing w:val="-2"/>
          <w:rtl/>
          <w:lang w:bidi="ar-EG"/>
        </w:rPr>
        <w:t>.</w:t>
      </w:r>
    </w:p>
    <w:p w14:paraId="274AE7AD" w14:textId="77777777" w:rsidR="009A3256" w:rsidRPr="00570758" w:rsidRDefault="009A3256" w:rsidP="00570758">
      <w:pPr>
        <w:pStyle w:val="Heading1"/>
        <w:rPr>
          <w:rtl/>
          <w:lang w:bidi="ar-EG"/>
        </w:rPr>
      </w:pPr>
      <w:r w:rsidRPr="00570758">
        <w:rPr>
          <w:rtl/>
          <w:lang w:bidi="ar-EG"/>
        </w:rPr>
        <w:t>4</w:t>
      </w:r>
      <w:r w:rsidRPr="00570758">
        <w:rPr>
          <w:rtl/>
          <w:lang w:bidi="ar-EG"/>
        </w:rPr>
        <w:tab/>
        <w:t>رئيس ونواب رئيس اللجنة الدائمة للتنظيم والإدارة</w:t>
      </w:r>
    </w:p>
    <w:p w14:paraId="7FA69536" w14:textId="22666BE4" w:rsidR="009A3256" w:rsidRPr="00570758" w:rsidRDefault="003C69D1" w:rsidP="009A3256">
      <w:pPr>
        <w:rPr>
          <w:rtl/>
          <w:lang w:bidi="ar-EG"/>
        </w:rPr>
      </w:pPr>
      <w:r w:rsidRPr="00570758">
        <w:rPr>
          <w:lang w:bidi="ar-EG"/>
        </w:rPr>
        <w:t>1.4</w:t>
      </w:r>
      <w:r w:rsidR="009A3256" w:rsidRPr="00570758">
        <w:rPr>
          <w:rtl/>
          <w:lang w:bidi="ar-EG"/>
        </w:rPr>
        <w:tab/>
        <w:t xml:space="preserve">استذكرت الأمينة العامة بأن السيد ديرك-أوليفييه فون دير </w:t>
      </w:r>
      <w:proofErr w:type="spellStart"/>
      <w:r w:rsidR="009A3256" w:rsidRPr="00570758">
        <w:rPr>
          <w:rtl/>
          <w:lang w:bidi="ar-EG"/>
        </w:rPr>
        <w:t>إمدن</w:t>
      </w:r>
      <w:proofErr w:type="spellEnd"/>
      <w:r w:rsidR="009A3256" w:rsidRPr="00570758">
        <w:rPr>
          <w:rtl/>
          <w:lang w:bidi="ar-EG"/>
        </w:rPr>
        <w:t xml:space="preserve"> (سويسرا) سيواصل العمل كرئيس للجنة الدائمة للتنظيم والإدارة</w:t>
      </w:r>
      <w:r w:rsidR="0045634B">
        <w:rPr>
          <w:rFonts w:hint="cs"/>
          <w:rtl/>
          <w:lang w:bidi="ar-EG"/>
        </w:rPr>
        <w:t xml:space="preserve"> </w:t>
      </w:r>
      <w:r w:rsidR="0045634B">
        <w:rPr>
          <w:lang w:bidi="ar-EG"/>
        </w:rPr>
        <w:t>(ADM)</w:t>
      </w:r>
      <w:r w:rsidR="009A3256" w:rsidRPr="00570758">
        <w:rPr>
          <w:rtl/>
          <w:lang w:bidi="ar-EG"/>
        </w:rPr>
        <w:t xml:space="preserve"> وأن السيدة </w:t>
      </w:r>
      <w:proofErr w:type="spellStart"/>
      <w:r w:rsidR="009A3256" w:rsidRPr="00570758">
        <w:rPr>
          <w:rtl/>
          <w:lang w:bidi="ar-EG"/>
        </w:rPr>
        <w:t>أباراجيتا</w:t>
      </w:r>
      <w:proofErr w:type="spellEnd"/>
      <w:r w:rsidR="009A3256" w:rsidRPr="00570758">
        <w:rPr>
          <w:rtl/>
          <w:lang w:bidi="ar-EG"/>
        </w:rPr>
        <w:t xml:space="preserve"> شارما (الهند) والسيد فيلم </w:t>
      </w:r>
      <w:proofErr w:type="spellStart"/>
      <w:r w:rsidR="009A3256" w:rsidRPr="00570758">
        <w:rPr>
          <w:rtl/>
          <w:lang w:bidi="ar-EG"/>
        </w:rPr>
        <w:t>فيسيلي</w:t>
      </w:r>
      <w:proofErr w:type="spellEnd"/>
      <w:r w:rsidR="009A3256" w:rsidRPr="00570758">
        <w:rPr>
          <w:rtl/>
          <w:lang w:bidi="ar-EG"/>
        </w:rPr>
        <w:t xml:space="preserve"> (الجمهورية التشيكية) سيواصلان العمل كنائبين لرئيس اللجنة الدائمة للتنظيم والإدارة.</w:t>
      </w:r>
    </w:p>
    <w:p w14:paraId="34B72FC1" w14:textId="77777777" w:rsidR="009A3256" w:rsidRPr="00570758" w:rsidRDefault="009A3256" w:rsidP="00570758">
      <w:pPr>
        <w:pStyle w:val="Heading1"/>
        <w:rPr>
          <w:rtl/>
          <w:lang w:bidi="ar-EG"/>
        </w:rPr>
      </w:pPr>
      <w:r w:rsidRPr="00570758">
        <w:rPr>
          <w:rtl/>
          <w:lang w:bidi="ar-EG"/>
        </w:rPr>
        <w:t>5</w:t>
      </w:r>
      <w:r w:rsidRPr="00570758">
        <w:rPr>
          <w:rtl/>
          <w:lang w:bidi="ar-EG"/>
        </w:rPr>
        <w:tab/>
        <w:t>كلمة الأمينة العامة بشأن حالة الاتحاد</w:t>
      </w:r>
    </w:p>
    <w:p w14:paraId="72AFD1C2" w14:textId="7213FE30" w:rsidR="009A3256" w:rsidRPr="00570758" w:rsidRDefault="003C69D1" w:rsidP="009A3256">
      <w:pPr>
        <w:rPr>
          <w:rtl/>
          <w:lang w:bidi="ar-EG"/>
        </w:rPr>
      </w:pPr>
      <w:r w:rsidRPr="00570758">
        <w:rPr>
          <w:lang w:bidi="ar-EG"/>
        </w:rPr>
        <w:t>1.5</w:t>
      </w:r>
      <w:r w:rsidR="009A3256" w:rsidRPr="00570758">
        <w:rPr>
          <w:rtl/>
          <w:lang w:bidi="ar-EG"/>
        </w:rPr>
        <w:tab/>
        <w:t>ألقت الأمينة العامة كلمة عن حالة الاتحاد متاحة عبر الرابط التالي:</w:t>
      </w:r>
      <w:r w:rsidR="00570758" w:rsidRPr="00570758">
        <w:rPr>
          <w:rtl/>
          <w:lang w:bidi="ar-EG"/>
        </w:rPr>
        <w:tab/>
      </w:r>
      <w:r w:rsidR="00570758" w:rsidRPr="00570758">
        <w:rPr>
          <w:rtl/>
          <w:lang w:bidi="ar-EG"/>
        </w:rPr>
        <w:br/>
      </w:r>
      <w:hyperlink r:id="rId14" w:history="1">
        <w:r w:rsidR="00570758" w:rsidRPr="00570758">
          <w:rPr>
            <w:rStyle w:val="Hyperlink"/>
            <w:rFonts w:eastAsia="SimSun"/>
          </w:rPr>
          <w:t>https://www.itu.int/en/osg/Pages/Speeches.aspx?ItemID=51</w:t>
        </w:r>
      </w:hyperlink>
    </w:p>
    <w:p w14:paraId="5E0EE6BA" w14:textId="7DF18E8A" w:rsidR="009A3256" w:rsidRPr="00570758" w:rsidRDefault="009A3256" w:rsidP="00570758">
      <w:pPr>
        <w:pStyle w:val="Heading1"/>
        <w:rPr>
          <w:rtl/>
          <w:lang w:bidi="ar-EG"/>
        </w:rPr>
      </w:pPr>
      <w:r w:rsidRPr="00570758">
        <w:rPr>
          <w:rtl/>
          <w:lang w:bidi="ar-EG"/>
        </w:rPr>
        <w:t>6</w:t>
      </w:r>
      <w:r w:rsidRPr="00570758">
        <w:rPr>
          <w:rtl/>
          <w:lang w:bidi="ar-EG"/>
        </w:rPr>
        <w:tab/>
        <w:t xml:space="preserve">الموافقة على جدول أعمال دورة المجلس لعام 2024 (الوثيقة </w:t>
      </w:r>
      <w:hyperlink r:id="rId15" w:history="1">
        <w:r w:rsidRPr="00570758">
          <w:rPr>
            <w:rStyle w:val="Hyperlink"/>
            <w:lang w:bidi="ar-EG"/>
          </w:rPr>
          <w:t>C24/1(Rev.2)</w:t>
        </w:r>
      </w:hyperlink>
      <w:r w:rsidR="00570758" w:rsidRPr="00570758">
        <w:rPr>
          <w:rtl/>
          <w:lang w:bidi="ar-EG"/>
        </w:rPr>
        <w:t>)</w:t>
      </w:r>
    </w:p>
    <w:p w14:paraId="7CB65318" w14:textId="61BB52AC" w:rsidR="009A3256" w:rsidRPr="00570758" w:rsidRDefault="003C69D1" w:rsidP="009A3256">
      <w:pPr>
        <w:rPr>
          <w:rtl/>
          <w:lang w:bidi="ar-EG"/>
        </w:rPr>
      </w:pPr>
      <w:r w:rsidRPr="00570758">
        <w:rPr>
          <w:lang w:bidi="ar-EG"/>
        </w:rPr>
        <w:t>1.6</w:t>
      </w:r>
      <w:r w:rsidR="009A3256" w:rsidRPr="00570758">
        <w:rPr>
          <w:rtl/>
          <w:lang w:bidi="ar-EG"/>
        </w:rPr>
        <w:tab/>
        <w:t xml:space="preserve">قدمت أمينة الجلسة العامة الوثيقة </w:t>
      </w:r>
      <w:r w:rsidR="009A3256" w:rsidRPr="00570758">
        <w:rPr>
          <w:lang w:bidi="ar-EG"/>
        </w:rPr>
        <w:t>C24/1(Rev.2)</w:t>
      </w:r>
      <w:r w:rsidR="009A3256" w:rsidRPr="00570758">
        <w:rPr>
          <w:rtl/>
          <w:lang w:bidi="ar-EG"/>
        </w:rPr>
        <w:t xml:space="preserve"> التي تمت </w:t>
      </w:r>
      <w:r w:rsidR="009A3256" w:rsidRPr="00570758">
        <w:rPr>
          <w:b/>
          <w:bCs/>
          <w:rtl/>
          <w:lang w:bidi="ar-EG"/>
        </w:rPr>
        <w:t>الموافقة</w:t>
      </w:r>
      <w:r w:rsidR="009A3256" w:rsidRPr="00570758">
        <w:rPr>
          <w:rtl/>
          <w:lang w:bidi="ar-EG"/>
        </w:rPr>
        <w:t xml:space="preserve"> </w:t>
      </w:r>
      <w:r w:rsidR="009A3256" w:rsidRPr="00570758">
        <w:rPr>
          <w:b/>
          <w:bCs/>
          <w:rtl/>
          <w:lang w:bidi="ar-EG"/>
        </w:rPr>
        <w:t>عليها</w:t>
      </w:r>
      <w:r w:rsidR="009A3256" w:rsidRPr="00570758">
        <w:rPr>
          <w:rtl/>
          <w:lang w:bidi="ar-EG"/>
        </w:rPr>
        <w:t>.</w:t>
      </w:r>
    </w:p>
    <w:p w14:paraId="799EC4A3" w14:textId="5A9DFFDC" w:rsidR="009A3256" w:rsidRPr="00570758" w:rsidRDefault="003C69D1" w:rsidP="009A3256">
      <w:pPr>
        <w:rPr>
          <w:rtl/>
          <w:lang w:bidi="ar-EG"/>
        </w:rPr>
      </w:pPr>
      <w:r w:rsidRPr="00570758">
        <w:rPr>
          <w:lang w:bidi="ar-EG"/>
        </w:rPr>
        <w:t>2.6</w:t>
      </w:r>
      <w:r w:rsidR="009A3256" w:rsidRPr="00570758">
        <w:rPr>
          <w:rtl/>
          <w:lang w:bidi="ar-EG"/>
        </w:rPr>
        <w:tab/>
        <w:t>وحث أحد أعضاء المجلس على إيلاء أهمية خاصة، من بين البنود الرئيسية الكثيرة المدرجة في جدول أعمال المجلس، للتوصل إلى قرار بشأن مبنى مقر الاتحاد في الدورة الحالية؛ والتوصل إلى توافق في الآراء بشأن قرار محدد لدعم ومساعدة فلسطين في إعادة بناء قطاع الاتصالات لديها؛ واستعراض القمة العالمية لمجتمع المعلومات بعد مرور عشرين عاماً على عقدها</w:t>
      </w:r>
      <w:r w:rsidR="00890696">
        <w:rPr>
          <w:rFonts w:hint="cs"/>
          <w:rtl/>
          <w:lang w:bidi="ar-EG"/>
        </w:rPr>
        <w:t> </w:t>
      </w:r>
      <w:r w:rsidR="009A3256" w:rsidRPr="00570758">
        <w:rPr>
          <w:rtl/>
          <w:lang w:bidi="ar-EG"/>
        </w:rPr>
        <w:t>(</w:t>
      </w:r>
      <w:r w:rsidR="009A3256" w:rsidRPr="00570758">
        <w:rPr>
          <w:lang w:bidi="ar-EG"/>
        </w:rPr>
        <w:t>WSIS+20</w:t>
      </w:r>
      <w:r w:rsidR="009A3256" w:rsidRPr="00570758">
        <w:rPr>
          <w:rtl/>
          <w:lang w:bidi="ar-EG"/>
        </w:rPr>
        <w:t>) وإنشاء الميثاق الرقمي العالمي (</w:t>
      </w:r>
      <w:r w:rsidR="009A3256" w:rsidRPr="00570758">
        <w:rPr>
          <w:lang w:bidi="ar-EG"/>
        </w:rPr>
        <w:t>GDC</w:t>
      </w:r>
      <w:r w:rsidR="009A3256" w:rsidRPr="00570758">
        <w:rPr>
          <w:rtl/>
          <w:lang w:bidi="ar-EG"/>
        </w:rPr>
        <w:t>) بطريقة تتجنب الازدواجية وتكمل عمليات الأمم المتحدة القائمة مع ضمان قيام الاتحاد بدور رئيسي مناسب في تنفيذ نتائج الميثاق الرقمي العالمي.</w:t>
      </w:r>
    </w:p>
    <w:p w14:paraId="5AEAAA68" w14:textId="084E9222" w:rsidR="009A3256" w:rsidRPr="00570758" w:rsidRDefault="009A3256" w:rsidP="00570758">
      <w:pPr>
        <w:pStyle w:val="Heading1"/>
        <w:rPr>
          <w:rtl/>
          <w:lang w:bidi="ar-EG"/>
        </w:rPr>
      </w:pPr>
      <w:r w:rsidRPr="00570758">
        <w:rPr>
          <w:rtl/>
          <w:lang w:bidi="ar-EG"/>
        </w:rPr>
        <w:t>7</w:t>
      </w:r>
      <w:r w:rsidRPr="00570758">
        <w:rPr>
          <w:rtl/>
          <w:lang w:bidi="ar-EG"/>
        </w:rPr>
        <w:tab/>
        <w:t xml:space="preserve">توزيع الوثائق (الوثيقة </w:t>
      </w:r>
      <w:hyperlink r:id="rId16" w:history="1">
        <w:r w:rsidRPr="00570758">
          <w:rPr>
            <w:rStyle w:val="Hyperlink"/>
            <w:lang w:bidi="ar-EG"/>
          </w:rPr>
          <w:t>C24/DT/1</w:t>
        </w:r>
      </w:hyperlink>
      <w:r w:rsidRPr="00570758">
        <w:rPr>
          <w:rtl/>
          <w:lang w:bidi="ar-EG"/>
        </w:rPr>
        <w:t>)</w:t>
      </w:r>
    </w:p>
    <w:p w14:paraId="77984818" w14:textId="658156E8" w:rsidR="009A3256" w:rsidRPr="00570758" w:rsidRDefault="003C69D1" w:rsidP="009A3256">
      <w:pPr>
        <w:rPr>
          <w:rtl/>
          <w:lang w:bidi="ar-EG"/>
        </w:rPr>
      </w:pPr>
      <w:r w:rsidRPr="00570758">
        <w:rPr>
          <w:lang w:bidi="ar-EG"/>
        </w:rPr>
        <w:t>1.7</w:t>
      </w:r>
      <w:r w:rsidR="009A3256" w:rsidRPr="00570758">
        <w:rPr>
          <w:rtl/>
          <w:lang w:bidi="ar-EG"/>
        </w:rPr>
        <w:tab/>
        <w:t xml:space="preserve">قدمت أمينة الجلسة العامة الوثيقة </w:t>
      </w:r>
      <w:r w:rsidR="009A3256" w:rsidRPr="00570758">
        <w:rPr>
          <w:lang w:bidi="ar-EG"/>
        </w:rPr>
        <w:t>C24/DT/1</w:t>
      </w:r>
      <w:r w:rsidR="009A3256" w:rsidRPr="00570758">
        <w:rPr>
          <w:rtl/>
          <w:lang w:bidi="ar-EG"/>
        </w:rPr>
        <w:t xml:space="preserve"> التي تمت </w:t>
      </w:r>
      <w:r w:rsidR="009A3256" w:rsidRPr="00570758">
        <w:rPr>
          <w:b/>
          <w:bCs/>
          <w:rtl/>
          <w:lang w:bidi="ar-EG"/>
        </w:rPr>
        <w:t>الموافقة عليها</w:t>
      </w:r>
      <w:r w:rsidR="009A3256" w:rsidRPr="00570758">
        <w:rPr>
          <w:rtl/>
          <w:lang w:bidi="ar-EG"/>
        </w:rPr>
        <w:t>.</w:t>
      </w:r>
    </w:p>
    <w:p w14:paraId="2812CBA3" w14:textId="2900DDA0" w:rsidR="009A3256" w:rsidRPr="00570758" w:rsidRDefault="009A3256" w:rsidP="00570758">
      <w:pPr>
        <w:pStyle w:val="Heading1"/>
        <w:rPr>
          <w:rtl/>
          <w:lang w:bidi="ar-EG"/>
        </w:rPr>
      </w:pPr>
      <w:r w:rsidRPr="00570758">
        <w:rPr>
          <w:rtl/>
          <w:lang w:bidi="ar-EG"/>
        </w:rPr>
        <w:t>8</w:t>
      </w:r>
      <w:r w:rsidRPr="00570758">
        <w:rPr>
          <w:rtl/>
          <w:lang w:bidi="ar-EG"/>
        </w:rPr>
        <w:tab/>
        <w:t xml:space="preserve">خطة إدارة الوقت (الوثيقة </w:t>
      </w:r>
      <w:hyperlink r:id="rId17" w:history="1">
        <w:r w:rsidRPr="00570758">
          <w:rPr>
            <w:rStyle w:val="Hyperlink"/>
            <w:lang w:bidi="ar-EG"/>
          </w:rPr>
          <w:t>C24/DT/2(Rev.3)</w:t>
        </w:r>
      </w:hyperlink>
      <w:r w:rsidRPr="00570758">
        <w:rPr>
          <w:rtl/>
          <w:lang w:bidi="ar-EG"/>
        </w:rPr>
        <w:t>)</w:t>
      </w:r>
    </w:p>
    <w:p w14:paraId="741AFD0F" w14:textId="4DB1F41D" w:rsidR="009A3256" w:rsidRPr="00570758" w:rsidRDefault="003C69D1" w:rsidP="009A3256">
      <w:pPr>
        <w:rPr>
          <w:rtl/>
          <w:lang w:bidi="ar-EG"/>
        </w:rPr>
      </w:pPr>
      <w:r w:rsidRPr="00570758">
        <w:rPr>
          <w:lang w:bidi="ar-EG"/>
        </w:rPr>
        <w:t>1.8</w:t>
      </w:r>
      <w:r w:rsidR="009A3256" w:rsidRPr="00570758">
        <w:rPr>
          <w:rtl/>
          <w:lang w:bidi="ar-EG"/>
        </w:rPr>
        <w:tab/>
        <w:t xml:space="preserve">قدمت أمينة الجلسة العامة خطة إدارة الوقت للجلسات العامة الواردة في الوثيقة </w:t>
      </w:r>
      <w:r w:rsidR="009A3256" w:rsidRPr="00570758">
        <w:rPr>
          <w:lang w:bidi="ar-EG"/>
        </w:rPr>
        <w:t>C24/DT/2(Rev.3)</w:t>
      </w:r>
      <w:r w:rsidR="009A3256" w:rsidRPr="00570758">
        <w:rPr>
          <w:rtl/>
          <w:lang w:bidi="ar-EG"/>
        </w:rPr>
        <w:t xml:space="preserve"> التي تمت </w:t>
      </w:r>
      <w:r w:rsidR="009A3256" w:rsidRPr="00570758">
        <w:rPr>
          <w:b/>
          <w:bCs/>
          <w:rtl/>
          <w:lang w:bidi="ar-EG"/>
        </w:rPr>
        <w:t>الموافقة عليها</w:t>
      </w:r>
      <w:r w:rsidR="009A3256" w:rsidRPr="00570758">
        <w:rPr>
          <w:rtl/>
          <w:lang w:bidi="ar-EG"/>
        </w:rPr>
        <w:t>.</w:t>
      </w:r>
    </w:p>
    <w:p w14:paraId="4A6B2847" w14:textId="358F3317" w:rsidR="009A3256" w:rsidRPr="00570758" w:rsidRDefault="003C69D1" w:rsidP="009A3256">
      <w:pPr>
        <w:rPr>
          <w:rtl/>
          <w:lang w:bidi="ar-EG"/>
        </w:rPr>
      </w:pPr>
      <w:r w:rsidRPr="00570758">
        <w:rPr>
          <w:lang w:bidi="ar-EG"/>
        </w:rPr>
        <w:lastRenderedPageBreak/>
        <w:t>2.8</w:t>
      </w:r>
      <w:r w:rsidR="009A3256" w:rsidRPr="00570758">
        <w:rPr>
          <w:rtl/>
          <w:lang w:bidi="ar-EG"/>
        </w:rPr>
        <w:tab/>
        <w:t>واسترعت الانتباه أيضا</w:t>
      </w:r>
      <w:r w:rsidR="00CB61D6">
        <w:rPr>
          <w:rFonts w:hint="cs"/>
          <w:rtl/>
          <w:lang w:bidi="ar-EG"/>
        </w:rPr>
        <w:t>ً</w:t>
      </w:r>
      <w:r w:rsidR="009A3256" w:rsidRPr="00570758">
        <w:rPr>
          <w:rtl/>
          <w:lang w:bidi="ar-EG"/>
        </w:rPr>
        <w:t xml:space="preserve"> إلى خطة إدارة الوقت للجنة الدائمة للإدارة الواردة في الوثيقة </w:t>
      </w:r>
      <w:r w:rsidR="009A3256" w:rsidRPr="00570758">
        <w:rPr>
          <w:lang w:bidi="ar-EG"/>
        </w:rPr>
        <w:t>C24/DT/3(Rev.3)</w:t>
      </w:r>
      <w:r w:rsidR="009A3256" w:rsidRPr="00570758">
        <w:rPr>
          <w:rtl/>
          <w:lang w:bidi="ar-EG"/>
        </w:rPr>
        <w:t>. وسيتم تحديث خطتي إدارة الوقت مع تقدم أعمال المجلس.</w:t>
      </w:r>
    </w:p>
    <w:p w14:paraId="0BF50124" w14:textId="77777777" w:rsidR="009A3256" w:rsidRPr="00570758" w:rsidRDefault="009A3256" w:rsidP="00570758">
      <w:pPr>
        <w:pStyle w:val="Heading1"/>
        <w:rPr>
          <w:rtl/>
          <w:lang w:bidi="ar-EG"/>
        </w:rPr>
      </w:pPr>
      <w:r w:rsidRPr="00570758">
        <w:rPr>
          <w:rtl/>
          <w:lang w:bidi="ar-EG"/>
        </w:rPr>
        <w:t>9</w:t>
      </w:r>
      <w:r w:rsidRPr="00570758">
        <w:rPr>
          <w:rtl/>
          <w:lang w:bidi="ar-EG"/>
        </w:rPr>
        <w:tab/>
        <w:t>المسائل التنظيمية</w:t>
      </w:r>
    </w:p>
    <w:p w14:paraId="21486260" w14:textId="550E0409" w:rsidR="00CB61D6" w:rsidRDefault="003C69D1" w:rsidP="009A3256">
      <w:pPr>
        <w:rPr>
          <w:rtl/>
          <w:lang w:bidi="ar-EG"/>
        </w:rPr>
      </w:pPr>
      <w:r w:rsidRPr="00570758">
        <w:rPr>
          <w:lang w:bidi="ar-EG"/>
        </w:rPr>
        <w:t>1.9</w:t>
      </w:r>
      <w:r w:rsidR="009A3256" w:rsidRPr="00570758">
        <w:rPr>
          <w:rtl/>
          <w:lang w:bidi="ar-EG"/>
        </w:rPr>
        <w:tab/>
        <w:t>قالت أمين الجلسة العامة، بعد تأكيد ساعات العمل المعتادة، إن الترجمة الشفوية والوثائق ستقدَّم باللغات الرسمية الست للاتحاد. وستتاح جميع الوثائق في الصفحة الإلكترونية للمجلس وعن طريق تطبيق مزامنة وثائق المجلس في دورته لعام</w:t>
      </w:r>
      <w:r w:rsidR="00890696">
        <w:rPr>
          <w:rFonts w:hint="cs"/>
          <w:rtl/>
          <w:lang w:bidi="ar-EG"/>
        </w:rPr>
        <w:t> </w:t>
      </w:r>
      <w:r w:rsidR="009A3256" w:rsidRPr="00570758">
        <w:rPr>
          <w:rtl/>
          <w:lang w:bidi="ar-EG"/>
        </w:rPr>
        <w:t>2024. وستُبث المداولات عبر شبكة الإنترنت، وفقا</w:t>
      </w:r>
      <w:r w:rsidR="00CB61D6">
        <w:rPr>
          <w:rFonts w:hint="cs"/>
          <w:rtl/>
          <w:lang w:bidi="ar-EG"/>
        </w:rPr>
        <w:t>ً</w:t>
      </w:r>
      <w:r w:rsidR="009A3256" w:rsidRPr="00570758">
        <w:rPr>
          <w:rtl/>
          <w:lang w:bidi="ar-EG"/>
        </w:rPr>
        <w:t xml:space="preserve"> للعرف السابق. وسيتاح العرض النصي باللغة الإنكليزية للجلسة العامة ومناقشات اللجنة الدائمة داخل قاعة الاجتماع وعلى شبكة الإنترنت.</w:t>
      </w:r>
    </w:p>
    <w:p w14:paraId="23BBC1A2" w14:textId="2BF181EE" w:rsidR="009A3256" w:rsidRPr="00570758" w:rsidRDefault="003C69D1" w:rsidP="009A3256">
      <w:pPr>
        <w:rPr>
          <w:rtl/>
          <w:lang w:bidi="ar-EG"/>
        </w:rPr>
      </w:pPr>
      <w:r w:rsidRPr="00570758">
        <w:rPr>
          <w:lang w:bidi="ar-EG"/>
        </w:rPr>
        <w:t>2.9</w:t>
      </w:r>
      <w:r w:rsidR="009A3256" w:rsidRPr="00570758">
        <w:rPr>
          <w:rtl/>
          <w:lang w:bidi="ar-EG"/>
        </w:rPr>
        <w:tab/>
        <w:t>وكانت المشاركة عن ب</w:t>
      </w:r>
      <w:r w:rsidR="00DF4BBB">
        <w:rPr>
          <w:rFonts w:hint="cs"/>
          <w:rtl/>
          <w:lang w:bidi="ar-EG"/>
        </w:rPr>
        <w:t>ُ</w:t>
      </w:r>
      <w:r w:rsidR="009A3256" w:rsidRPr="00570758">
        <w:rPr>
          <w:rtl/>
          <w:lang w:bidi="ar-EG"/>
        </w:rPr>
        <w:t>عد متاحة. وسيعطى المشاركون عن ب</w:t>
      </w:r>
      <w:r w:rsidR="00DF4BBB">
        <w:rPr>
          <w:rFonts w:hint="cs"/>
          <w:rtl/>
          <w:lang w:bidi="ar-EG"/>
        </w:rPr>
        <w:t>ُ</w:t>
      </w:r>
      <w:r w:rsidR="009A3256" w:rsidRPr="00570758">
        <w:rPr>
          <w:rtl/>
          <w:lang w:bidi="ar-EG"/>
        </w:rPr>
        <w:t xml:space="preserve">عد الكلمة بعد أعضاء المجلس الحاضرين في قاعة </w:t>
      </w:r>
      <w:proofErr w:type="spellStart"/>
      <w:r w:rsidR="009A3256" w:rsidRPr="00570758">
        <w:rPr>
          <w:rtl/>
          <w:lang w:bidi="ar-EG"/>
        </w:rPr>
        <w:t>بوبوف</w:t>
      </w:r>
      <w:proofErr w:type="spellEnd"/>
      <w:r w:rsidR="009A3256" w:rsidRPr="00570758">
        <w:rPr>
          <w:rtl/>
          <w:lang w:bidi="ar-EG"/>
        </w:rPr>
        <w:t>. ولن يتخذ القرارات إلا أعضاء المجلس الحاضرون شخصياً. ولا تستطيع الدول الأعضاء التي لها صفة مراقب التحدث إلا مرة واحدة بشأن بند معين.</w:t>
      </w:r>
    </w:p>
    <w:p w14:paraId="75001B98" w14:textId="2F5DCB54" w:rsidR="009A3256" w:rsidRPr="00570758" w:rsidRDefault="003C69D1" w:rsidP="009A3256">
      <w:pPr>
        <w:rPr>
          <w:rtl/>
          <w:lang w:bidi="ar-EG"/>
        </w:rPr>
      </w:pPr>
      <w:r w:rsidRPr="00570758">
        <w:rPr>
          <w:lang w:bidi="ar-EG"/>
        </w:rPr>
        <w:t>3.9</w:t>
      </w:r>
      <w:r w:rsidR="009A3256" w:rsidRPr="00570758">
        <w:rPr>
          <w:rtl/>
          <w:lang w:bidi="ar-EG"/>
        </w:rPr>
        <w:tab/>
        <w:t>وذُكِّر المشاركون بأن هناك معيارا</w:t>
      </w:r>
      <w:r w:rsidR="00CB61D6">
        <w:rPr>
          <w:rFonts w:hint="cs"/>
          <w:rtl/>
          <w:lang w:bidi="ar-EG"/>
        </w:rPr>
        <w:t>ً</w:t>
      </w:r>
      <w:r w:rsidR="009A3256" w:rsidRPr="00570758">
        <w:rPr>
          <w:rtl/>
          <w:lang w:bidi="ar-EG"/>
        </w:rPr>
        <w:t xml:space="preserve"> للسلوك والنزاهة واحترام التنوع والمهنية يمكن للجميع توقعه بشكل معقول في المناقشات، على نحو يخلو من التمييز والمضايقة. وتنطبق مدونة قواعد السلوك لمنع التحرش، بما في ذلك التحرش الجنسي، في أحداث منظومة الأمم المتحدة على جميع اجتماعات الاتحاد.</w:t>
      </w:r>
    </w:p>
    <w:p w14:paraId="202F9BD1" w14:textId="4D84265D" w:rsidR="009A3256" w:rsidRPr="00570758" w:rsidRDefault="003C69D1" w:rsidP="009A3256">
      <w:pPr>
        <w:rPr>
          <w:rtl/>
          <w:lang w:bidi="ar-EG"/>
        </w:rPr>
      </w:pPr>
      <w:r w:rsidRPr="00570758">
        <w:rPr>
          <w:lang w:bidi="ar-EG"/>
        </w:rPr>
        <w:t>4.9</w:t>
      </w:r>
      <w:r w:rsidR="009A3256" w:rsidRPr="00570758">
        <w:rPr>
          <w:rtl/>
          <w:lang w:bidi="ar-EG"/>
        </w:rPr>
        <w:tab/>
        <w:t xml:space="preserve">وأخذت الجلسة </w:t>
      </w:r>
      <w:r w:rsidR="009A3256" w:rsidRPr="00570758">
        <w:rPr>
          <w:b/>
          <w:bCs/>
          <w:rtl/>
          <w:lang w:bidi="ar-EG"/>
        </w:rPr>
        <w:t>علما</w:t>
      </w:r>
      <w:r w:rsidR="00570758" w:rsidRPr="00570758">
        <w:rPr>
          <w:b/>
          <w:bCs/>
          <w:rtl/>
          <w:lang w:bidi="ar-EG"/>
        </w:rPr>
        <w:t>ً</w:t>
      </w:r>
      <w:r w:rsidR="009A3256" w:rsidRPr="00570758">
        <w:rPr>
          <w:rtl/>
          <w:lang w:bidi="ar-EG"/>
        </w:rPr>
        <w:t xml:space="preserve"> بالمعلومات المتعلقة بتنظيم العمل في دورة عام 2024.</w:t>
      </w:r>
    </w:p>
    <w:p w14:paraId="29951C2C" w14:textId="77777777" w:rsidR="00CB61D6" w:rsidRDefault="009A3256" w:rsidP="00570758">
      <w:pPr>
        <w:pStyle w:val="Heading1"/>
        <w:rPr>
          <w:rtl/>
          <w:lang w:bidi="ar-EG"/>
        </w:rPr>
      </w:pPr>
      <w:r w:rsidRPr="00570758">
        <w:rPr>
          <w:rtl/>
          <w:lang w:bidi="ar-EG"/>
        </w:rPr>
        <w:t>10</w:t>
      </w:r>
      <w:r w:rsidRPr="00570758">
        <w:rPr>
          <w:rtl/>
          <w:lang w:bidi="ar-EG"/>
        </w:rPr>
        <w:tab/>
        <w:t xml:space="preserve">تقرير عن تنفيذ الخطة الاستراتيجية للاتحاد وعن أنشطة الاتحاد للفترة </w:t>
      </w:r>
      <w:r w:rsidR="00CB61D6">
        <w:rPr>
          <w:rFonts w:hint="cs"/>
          <w:rtl/>
          <w:lang w:bidi="ar-EG"/>
        </w:rPr>
        <w:t>2023-2024</w:t>
      </w:r>
      <w:r w:rsidRPr="00570758">
        <w:rPr>
          <w:rtl/>
          <w:lang w:bidi="ar-EG"/>
        </w:rPr>
        <w:t xml:space="preserve"> (الوثيقة</w:t>
      </w:r>
      <w:r w:rsidR="00570758" w:rsidRPr="00570758">
        <w:rPr>
          <w:rtl/>
          <w:lang w:bidi="ar-EG"/>
        </w:rPr>
        <w:t> </w:t>
      </w:r>
      <w:hyperlink r:id="rId18" w:history="1">
        <w:r w:rsidRPr="00570758">
          <w:rPr>
            <w:rStyle w:val="Hyperlink"/>
            <w:lang w:bidi="ar-EG"/>
          </w:rPr>
          <w:t>C24/35</w:t>
        </w:r>
      </w:hyperlink>
      <w:r w:rsidRPr="00570758">
        <w:rPr>
          <w:rtl/>
          <w:lang w:bidi="ar-EG"/>
        </w:rPr>
        <w:t>)</w:t>
      </w:r>
    </w:p>
    <w:p w14:paraId="17A40BAC" w14:textId="1B314DA0" w:rsidR="009A3256" w:rsidRPr="00570758" w:rsidRDefault="003C69D1" w:rsidP="009A3256">
      <w:pPr>
        <w:rPr>
          <w:rtl/>
          <w:lang w:bidi="ar-EG"/>
        </w:rPr>
      </w:pPr>
      <w:r w:rsidRPr="00570758">
        <w:rPr>
          <w:lang w:bidi="ar-EG"/>
        </w:rPr>
        <w:t>1.10</w:t>
      </w:r>
      <w:r w:rsidR="009A3256" w:rsidRPr="00570758">
        <w:rPr>
          <w:rtl/>
          <w:lang w:bidi="ar-EG"/>
        </w:rPr>
        <w:tab/>
        <w:t xml:space="preserve">قدم نائب الأمينة العامة التقرير الوارد في الوثيقة </w:t>
      </w:r>
      <w:r w:rsidR="009A3256" w:rsidRPr="00570758">
        <w:rPr>
          <w:lang w:bidi="ar-EG"/>
        </w:rPr>
        <w:t>C24/35</w:t>
      </w:r>
      <w:r w:rsidR="009A3256" w:rsidRPr="00570758">
        <w:rPr>
          <w:rtl/>
          <w:lang w:bidi="ar-EG"/>
        </w:rPr>
        <w:t xml:space="preserve"> الذي يشكل التقرير السنوي عن تنفيذ الخطة الاستراتيجية للاتحاد وعن أنشطة الاتحاد، إلى جانب منصة الويب المخصصة لتنفيذ قرارات مؤتمر المندوبين المفوضين وتقرير برمجيات</w:t>
      </w:r>
      <w:r w:rsidR="00CB61D6">
        <w:rPr>
          <w:rFonts w:hint="cs"/>
          <w:rtl/>
          <w:lang w:bidi="ar-EG"/>
        </w:rPr>
        <w:t> </w:t>
      </w:r>
      <w:r w:rsidR="009A3256" w:rsidRPr="00570758">
        <w:rPr>
          <w:lang w:bidi="ar-EG"/>
        </w:rPr>
        <w:t>Power BI</w:t>
      </w:r>
      <w:r w:rsidR="009A3256" w:rsidRPr="00570758">
        <w:rPr>
          <w:rtl/>
          <w:lang w:bidi="ar-EG"/>
        </w:rPr>
        <w:t xml:space="preserve"> القائم على لوحات معلومات مختلفة تعرض نتائج كل غاية من الغايات الواردة في الخطط الاستراتيجية. وبما أن التقرير يغطي الفترة من مايو 2023 إلى أبريل 2024، فقد سجل اكتمال الخطة الاستراتيجية للفترة </w:t>
      </w:r>
      <w:r w:rsidR="00CB61D6">
        <w:rPr>
          <w:rFonts w:hint="cs"/>
          <w:rtl/>
          <w:lang w:bidi="ar-EG"/>
        </w:rPr>
        <w:t>2020-2023</w:t>
      </w:r>
      <w:r w:rsidR="009A3256" w:rsidRPr="00570758">
        <w:rPr>
          <w:rtl/>
          <w:lang w:bidi="ar-EG"/>
        </w:rPr>
        <w:t xml:space="preserve">، مع النتائج المتعلقة بغاياتها الأربع وعشرين وأهدافها الخمسة، في حين قدم خط أساس للاتجاه الجديد الجريء نحو الأولويتين الشاملتين للتوصيلية الشاملة للجميع والتحول الرقمي المستدام والغايات الاثني عشر المحددة في الخطة للفترة </w:t>
      </w:r>
      <w:r w:rsidR="00CB61D6">
        <w:rPr>
          <w:rFonts w:hint="cs"/>
          <w:rtl/>
          <w:lang w:bidi="ar-EG"/>
        </w:rPr>
        <w:t>2024-2027</w:t>
      </w:r>
      <w:r w:rsidR="009A3256" w:rsidRPr="00570758">
        <w:rPr>
          <w:rtl/>
          <w:lang w:bidi="ar-EG"/>
        </w:rPr>
        <w:t>. وقال إن النية تتجه مستقبَلاً إلى الانتقال إلى فترة الإبلاغ المقابلة للسنة التقويمية من أجل مواءمة التقارير المالية للاتحاد على نحو أفضل. وتشهد ثروة البيانات الواردة في التقرير على التقدم المطرد نحو التوصيلية الشاملة للجميع والتحول الرقمي المستدام، ولكنها تشهد أيضا</w:t>
      </w:r>
      <w:r w:rsidR="00CB61D6">
        <w:rPr>
          <w:rFonts w:hint="cs"/>
          <w:rtl/>
          <w:lang w:bidi="ar-EG"/>
        </w:rPr>
        <w:t>ً</w:t>
      </w:r>
      <w:r w:rsidR="009A3256" w:rsidRPr="00570758">
        <w:rPr>
          <w:rtl/>
          <w:lang w:bidi="ar-EG"/>
        </w:rPr>
        <w:t xml:space="preserve"> على تحديات مستمرة. وسلط التقرير الضوء أيضا</w:t>
      </w:r>
      <w:r w:rsidR="00CB61D6">
        <w:rPr>
          <w:rFonts w:hint="cs"/>
          <w:rtl/>
          <w:lang w:bidi="ar-EG"/>
        </w:rPr>
        <w:t>ً</w:t>
      </w:r>
      <w:r w:rsidR="009A3256" w:rsidRPr="00570758">
        <w:rPr>
          <w:rtl/>
          <w:lang w:bidi="ar-EG"/>
        </w:rPr>
        <w:t xml:space="preserve"> على الاتجاهات والإجراءات الإيجابية فيما يتعلق بالشراكات والأعضاء والتنفيذ المالي، وسلط الضوء على العمل الذي أنجزته القطاعات الثلاثة.</w:t>
      </w:r>
    </w:p>
    <w:p w14:paraId="0B608434" w14:textId="5A6E75A9" w:rsidR="009A3256" w:rsidRPr="00570758" w:rsidRDefault="003C69D1" w:rsidP="009A3256">
      <w:pPr>
        <w:rPr>
          <w:rtl/>
          <w:lang w:bidi="ar-EG"/>
        </w:rPr>
      </w:pPr>
      <w:r w:rsidRPr="00570758">
        <w:rPr>
          <w:lang w:bidi="ar-EG"/>
        </w:rPr>
        <w:t>2.10</w:t>
      </w:r>
      <w:r w:rsidR="009A3256" w:rsidRPr="00570758">
        <w:rPr>
          <w:rtl/>
          <w:lang w:bidi="ar-EG"/>
        </w:rPr>
        <w:tab/>
        <w:t>وأعرب أعضاء المجلس عن تقديرهم للتقرير الشامل، وأثنوا بوجه خاص على العمل المنجز والتركيز المستمر على التوصيلية الشاملة للجميع والتحول الرقمي المستدام، وسلطوا الضوء على المجالات الرئيسية التي حققت فيها أنشطة الاتحاد تقدما</w:t>
      </w:r>
      <w:r w:rsidR="00D82250">
        <w:rPr>
          <w:rFonts w:hint="cs"/>
          <w:rtl/>
          <w:lang w:bidi="ar-EG"/>
        </w:rPr>
        <w:t>ً</w:t>
      </w:r>
      <w:r w:rsidR="009A3256" w:rsidRPr="00570758">
        <w:rPr>
          <w:rtl/>
          <w:lang w:bidi="ar-EG"/>
        </w:rPr>
        <w:t xml:space="preserve"> والتي تجب متابعتها من أجل التصدي للتحديات التي تواجهها: التوصيلية والقدرة على تحمل التكاليف وسد الفجوة الرقمية والتنمية الرقمية الشاملة للجميع، وتضييق الفجوة بين الجنسين، وإشراك الشباب، والممارسات الرقمية المستدامة، والمعايير المتعلقة بالمعدات التي تتسم بالكفاءة في استهلاك الطاقة، وإدارة المخلفات الإلكترونية، وإعادة التدوير، والاقتصاد الدائري، وتغير المناخ، واستخدام التكنولوجيات الجديدة، ولا سيما الذكاء الاصطناعي (</w:t>
      </w:r>
      <w:r w:rsidR="009A3256" w:rsidRPr="00570758">
        <w:rPr>
          <w:lang w:bidi="ar-EG"/>
        </w:rPr>
        <w:t>AI</w:t>
      </w:r>
      <w:r w:rsidR="009A3256" w:rsidRPr="00570758">
        <w:rPr>
          <w:rtl/>
          <w:lang w:bidi="ar-EG"/>
        </w:rPr>
        <w:t>)، في إطار أخلاقي يخفف من المخاطر. وأشار بعض أعضاء المجلس إلى التدابير الوطنية التي تتخذها بلدانهم من أجل التوصيلية الرقمية والاستدامة.</w:t>
      </w:r>
    </w:p>
    <w:p w14:paraId="10BC73A5" w14:textId="4CB694A5" w:rsidR="009A3256" w:rsidRPr="00570758" w:rsidRDefault="003C69D1" w:rsidP="009A3256">
      <w:pPr>
        <w:rPr>
          <w:rtl/>
          <w:lang w:bidi="ar-EG"/>
        </w:rPr>
      </w:pPr>
      <w:r w:rsidRPr="00570758">
        <w:rPr>
          <w:lang w:bidi="ar-EG"/>
        </w:rPr>
        <w:t>3.10</w:t>
      </w:r>
      <w:r w:rsidR="009A3256" w:rsidRPr="00570758">
        <w:rPr>
          <w:rtl/>
          <w:lang w:bidi="ar-EG"/>
        </w:rPr>
        <w:tab/>
        <w:t>وأكد عدة أعضاء على الأهمية الرئيسية للتعاون والشراكات بين أصحاب المصلحة المتعددين ورحبوا بنجاح مبادرة الائتلاف الرقمي للشراكة من أجل التوصيل (</w:t>
      </w:r>
      <w:r w:rsidR="009A3256" w:rsidRPr="00570758">
        <w:rPr>
          <w:lang w:bidi="ar-EG"/>
        </w:rPr>
        <w:t>P2C</w:t>
      </w:r>
      <w:r w:rsidR="009A3256" w:rsidRPr="00570758">
        <w:rPr>
          <w:rtl/>
          <w:lang w:bidi="ar-EG"/>
        </w:rPr>
        <w:t>) وغيرها من الأفكار الإبداعية بشأن الشراكة والابتكار لتلبية الاحتياجات المتزايدة للأعضاء. وأفادت عضوتان في المجلس أن إداراتهما تسعيان جاهدتين لزيادة مشاركة منظميها وصناعاتها وهيئاتها الأكاديمية في الاتحاد.</w:t>
      </w:r>
    </w:p>
    <w:p w14:paraId="28AD2FA0" w14:textId="7D99C284" w:rsidR="009A3256" w:rsidRPr="00570758" w:rsidRDefault="003C69D1" w:rsidP="009A3256">
      <w:pPr>
        <w:rPr>
          <w:rtl/>
          <w:lang w:bidi="ar-EG"/>
        </w:rPr>
      </w:pPr>
      <w:r w:rsidRPr="00570758">
        <w:rPr>
          <w:lang w:bidi="ar-EG"/>
        </w:rPr>
        <w:t>4.10</w:t>
      </w:r>
      <w:r w:rsidR="009A3256" w:rsidRPr="00570758">
        <w:rPr>
          <w:rtl/>
          <w:lang w:bidi="ar-EG"/>
        </w:rPr>
        <w:tab/>
        <w:t>ورحب عدد من أعضاء المجلس بنتائج المؤتمر العالمي للاتصالات الراديوية عام 2023 المهمة لإدارة واستخدام الطيف وللخدمات الفضائية على وجه الخصوص، بما يعود بالفائدة على التوصيلية وتحقيق أهداف التنمية المستدامة (</w:t>
      </w:r>
      <w:r w:rsidR="009A3256" w:rsidRPr="00570758">
        <w:rPr>
          <w:lang w:bidi="ar-EG"/>
        </w:rPr>
        <w:t>SDG</w:t>
      </w:r>
      <w:r w:rsidR="009A3256" w:rsidRPr="00570758">
        <w:rPr>
          <w:rtl/>
          <w:lang w:bidi="ar-EG"/>
        </w:rPr>
        <w:t>) للأمم المتحدة.</w:t>
      </w:r>
    </w:p>
    <w:p w14:paraId="6EF330AC" w14:textId="5C0015E0" w:rsidR="00CB61D6" w:rsidRDefault="003C69D1" w:rsidP="009A3256">
      <w:pPr>
        <w:rPr>
          <w:rtl/>
          <w:lang w:bidi="ar-EG"/>
        </w:rPr>
      </w:pPr>
      <w:r w:rsidRPr="00570758">
        <w:rPr>
          <w:lang w:bidi="ar-EG"/>
        </w:rPr>
        <w:lastRenderedPageBreak/>
        <w:t>5.10</w:t>
      </w:r>
      <w:r w:rsidR="009A3256" w:rsidRPr="00570758">
        <w:rPr>
          <w:rtl/>
          <w:lang w:bidi="ar-EG"/>
        </w:rPr>
        <w:tab/>
        <w:t>وأعرب عدة أعضاء في المجلس عن تقديرهم الخاص للجهود الجارية لتحويل الاتحاد وجعله ملائما</w:t>
      </w:r>
      <w:r w:rsidR="00CB61D6">
        <w:rPr>
          <w:rFonts w:hint="cs"/>
          <w:rtl/>
          <w:lang w:bidi="ar-EG"/>
        </w:rPr>
        <w:t>ً</w:t>
      </w:r>
      <w:r w:rsidR="009A3256" w:rsidRPr="00570758">
        <w:rPr>
          <w:rtl/>
          <w:lang w:bidi="ar-EG"/>
        </w:rPr>
        <w:t xml:space="preserve"> للغرض منه. وأضافوا أن للمجلس نفسه دورا</w:t>
      </w:r>
      <w:r w:rsidR="00CB61D6">
        <w:rPr>
          <w:rFonts w:hint="cs"/>
          <w:rtl/>
          <w:lang w:bidi="ar-EG"/>
        </w:rPr>
        <w:t>ً</w:t>
      </w:r>
      <w:r w:rsidR="009A3256" w:rsidRPr="00570758">
        <w:rPr>
          <w:rtl/>
          <w:lang w:bidi="ar-EG"/>
        </w:rPr>
        <w:t xml:space="preserve"> يؤديه في تقديم التوجيه والرقابة لكي يحقق الاتحاد أولوياته الأساسية في مجال الاتصالات الراديوية والمعايير وتنمية تكنولوجيا المعلومات والاتصالات. وإن تسريع مبادرات التحول من أجل تعزيز آليات الرقابة والشفافية والأخلاقيات في الاتحاد وتقوية إدارته المالية، فضلا</w:t>
      </w:r>
      <w:r w:rsidR="00CB61D6">
        <w:rPr>
          <w:rFonts w:hint="cs"/>
          <w:rtl/>
          <w:lang w:bidi="ar-EG"/>
        </w:rPr>
        <w:t>ً</w:t>
      </w:r>
      <w:r w:rsidR="009A3256" w:rsidRPr="00570758">
        <w:rPr>
          <w:rtl/>
          <w:lang w:bidi="ar-EG"/>
        </w:rPr>
        <w:t xml:space="preserve"> عن اتخاذ قرار واضح بشأن مقر الاتحاد، هي عوامل تسهم جميعها في تجهيز الاتحاد لمواجهة التحديات الناشئة في مجال التوصيلية والتحول الرقمي المستدام.</w:t>
      </w:r>
    </w:p>
    <w:p w14:paraId="46C03AE2" w14:textId="0A540CAB" w:rsidR="009A3256" w:rsidRPr="00570758" w:rsidRDefault="003C69D1" w:rsidP="009A3256">
      <w:pPr>
        <w:rPr>
          <w:rtl/>
          <w:lang w:bidi="ar-EG"/>
        </w:rPr>
      </w:pPr>
      <w:r w:rsidRPr="00570758">
        <w:rPr>
          <w:lang w:bidi="ar-EG"/>
        </w:rPr>
        <w:t>6.10</w:t>
      </w:r>
      <w:r w:rsidR="009A3256" w:rsidRPr="00570758">
        <w:rPr>
          <w:rtl/>
          <w:lang w:bidi="ar-EG"/>
        </w:rPr>
        <w:tab/>
        <w:t>واقترح أحد أعضاء المجلس أن تتبع التقارير المقبلة السياق المتطور الذي يجري فيه التنفيذ، وأن تحسِّن تحديد المخاطر الاستراتيجية المتطورة وتدابير التخفيف، وأن تقدم مزيدا</w:t>
      </w:r>
      <w:r w:rsidR="00CB61D6">
        <w:rPr>
          <w:rFonts w:hint="cs"/>
          <w:rtl/>
          <w:lang w:bidi="ar-EG"/>
        </w:rPr>
        <w:t>ً</w:t>
      </w:r>
      <w:r w:rsidR="009A3256" w:rsidRPr="00570758">
        <w:rPr>
          <w:rtl/>
          <w:lang w:bidi="ar-EG"/>
        </w:rPr>
        <w:t xml:space="preserve"> من المعلومات عن كيفية مساهمة العوامل التمكينية بفعالية في تنفيذ الخطة الاستراتيجية.</w:t>
      </w:r>
    </w:p>
    <w:p w14:paraId="30CE1203" w14:textId="44863A67" w:rsidR="00CB61D6" w:rsidRDefault="003C69D1" w:rsidP="009A3256">
      <w:pPr>
        <w:rPr>
          <w:rtl/>
          <w:lang w:bidi="ar-EG"/>
        </w:rPr>
      </w:pPr>
      <w:r w:rsidRPr="00570758">
        <w:rPr>
          <w:lang w:bidi="ar-EG"/>
        </w:rPr>
        <w:t>7.10</w:t>
      </w:r>
      <w:r w:rsidR="009A3256" w:rsidRPr="00570758">
        <w:rPr>
          <w:rtl/>
          <w:lang w:bidi="ar-EG"/>
        </w:rPr>
        <w:tab/>
        <w:t>وردا</w:t>
      </w:r>
      <w:r w:rsidR="00CB61D6">
        <w:rPr>
          <w:rFonts w:hint="cs"/>
          <w:rtl/>
          <w:lang w:bidi="ar-EG"/>
        </w:rPr>
        <w:t>ً</w:t>
      </w:r>
      <w:r w:rsidR="009A3256" w:rsidRPr="00570758">
        <w:rPr>
          <w:rtl/>
          <w:lang w:bidi="ar-EG"/>
        </w:rPr>
        <w:t xml:space="preserve"> على سؤال من أحد أعضاء المجلس، أوضح نائب الأمينة العامة أن التقرير يغطي الانتقال بين خطتين استراتيجيتين، ولذلك فإنه ملزم بمعالجة الأولويات المحددة في كلتا الخطتين؛ ولكن من العام المقبل فصاعدا</w:t>
      </w:r>
      <w:r w:rsidR="00CB61D6">
        <w:rPr>
          <w:rFonts w:hint="cs"/>
          <w:rtl/>
          <w:lang w:bidi="ar-EG"/>
        </w:rPr>
        <w:t>ً</w:t>
      </w:r>
      <w:r w:rsidR="009A3256" w:rsidRPr="00570758">
        <w:rPr>
          <w:rtl/>
          <w:lang w:bidi="ar-EG"/>
        </w:rPr>
        <w:t>؛ سيبين التقرير السنوي تماما</w:t>
      </w:r>
      <w:r w:rsidR="00CB61D6">
        <w:rPr>
          <w:rFonts w:hint="cs"/>
          <w:rtl/>
          <w:lang w:bidi="ar-EG"/>
        </w:rPr>
        <w:t>ً</w:t>
      </w:r>
      <w:r w:rsidR="009A3256" w:rsidRPr="00570758">
        <w:rPr>
          <w:rtl/>
          <w:lang w:bidi="ar-EG"/>
        </w:rPr>
        <w:t xml:space="preserve"> الأهداف الاستراتيجية والأولويات المحورية المحددة في الخطة الاستراتيجية للفترة </w:t>
      </w:r>
      <w:r w:rsidR="00CB61D6">
        <w:rPr>
          <w:rFonts w:hint="cs"/>
          <w:rtl/>
          <w:lang w:bidi="ar-EG"/>
        </w:rPr>
        <w:t>2024-2027</w:t>
      </w:r>
      <w:r w:rsidR="009A3256" w:rsidRPr="00570758">
        <w:rPr>
          <w:rtl/>
          <w:lang w:bidi="ar-EG"/>
        </w:rPr>
        <w:t>. وشكر أعضاء المجلس على تعليقاتهم واقتراحاتهم بشأن التحسين، التي ستؤخذ بعين الاعتبار، وشكرهم خاصة على التزامهم ومشاركتهم في أعمال الاتحاد بشكل عام وفي تحوله بشكل خاص. وقال إن الحاجة إلى العمل بطريقة متكاملة مع عمليات الأمم المتحدة العالمية، بما في ذلك الميثاق الرقمي العالمي (</w:t>
      </w:r>
      <w:r w:rsidR="009A3256" w:rsidRPr="00570758">
        <w:rPr>
          <w:lang w:bidi="ar-EG"/>
        </w:rPr>
        <w:t>GDC</w:t>
      </w:r>
      <w:r w:rsidR="009A3256" w:rsidRPr="00570758">
        <w:rPr>
          <w:rtl/>
          <w:lang w:bidi="ar-EG"/>
        </w:rPr>
        <w:t>) مستقبلاً، مفهومة تماما</w:t>
      </w:r>
      <w:r w:rsidR="00CB61D6">
        <w:rPr>
          <w:rFonts w:hint="cs"/>
          <w:rtl/>
          <w:lang w:bidi="ar-EG"/>
        </w:rPr>
        <w:t>ً</w:t>
      </w:r>
      <w:r w:rsidR="009A3256" w:rsidRPr="00570758">
        <w:rPr>
          <w:rtl/>
          <w:lang w:bidi="ar-EG"/>
        </w:rPr>
        <w:t>. وفي معرض الإشارة إلى الثغرات المستمرة التي تحددت، أعطى أعضاء المجلس فكرة عن بعض الأعمال المخططة للفترة المقبلة، مستشهدا</w:t>
      </w:r>
      <w:r w:rsidR="00CB61D6">
        <w:rPr>
          <w:rFonts w:hint="cs"/>
          <w:rtl/>
          <w:lang w:bidi="ar-EG"/>
        </w:rPr>
        <w:t>ً</w:t>
      </w:r>
      <w:r w:rsidR="009A3256" w:rsidRPr="00570758">
        <w:rPr>
          <w:rtl/>
          <w:lang w:bidi="ar-EG"/>
        </w:rPr>
        <w:t xml:space="preserve"> بأمثلة ذات الصلة.</w:t>
      </w:r>
    </w:p>
    <w:p w14:paraId="287D4F70" w14:textId="029F3558" w:rsidR="009A3256" w:rsidRPr="00570758" w:rsidRDefault="003C69D1" w:rsidP="009A3256">
      <w:pPr>
        <w:rPr>
          <w:rtl/>
          <w:lang w:bidi="ar-EG"/>
        </w:rPr>
      </w:pPr>
      <w:r w:rsidRPr="00570758">
        <w:rPr>
          <w:lang w:bidi="ar-EG"/>
        </w:rPr>
        <w:t>8.10</w:t>
      </w:r>
      <w:r w:rsidR="009A3256" w:rsidRPr="00570758">
        <w:rPr>
          <w:rtl/>
          <w:lang w:bidi="ar-EG"/>
        </w:rPr>
        <w:tab/>
        <w:t xml:space="preserve">وتمت </w:t>
      </w:r>
      <w:r w:rsidR="009A3256" w:rsidRPr="00570758">
        <w:rPr>
          <w:b/>
          <w:bCs/>
          <w:rtl/>
          <w:lang w:bidi="ar-EG"/>
        </w:rPr>
        <w:t>الموافقة</w:t>
      </w:r>
      <w:r w:rsidR="009A3256" w:rsidRPr="00570758">
        <w:rPr>
          <w:rtl/>
          <w:lang w:bidi="ar-EG"/>
        </w:rPr>
        <w:t xml:space="preserve"> على الوثيقة </w:t>
      </w:r>
      <w:r w:rsidR="009A3256" w:rsidRPr="00570758">
        <w:rPr>
          <w:lang w:bidi="ar-EG"/>
        </w:rPr>
        <w:t>C24/35</w:t>
      </w:r>
      <w:r w:rsidR="009A3256" w:rsidRPr="00570758">
        <w:rPr>
          <w:rtl/>
          <w:lang w:bidi="ar-EG"/>
        </w:rPr>
        <w:t>.</w:t>
      </w:r>
    </w:p>
    <w:p w14:paraId="6A5D560C" w14:textId="5FA36CCB" w:rsidR="009A3256" w:rsidRPr="00570758" w:rsidRDefault="009A3256" w:rsidP="00570758">
      <w:pPr>
        <w:pStyle w:val="Heading1"/>
        <w:rPr>
          <w:rtl/>
          <w:lang w:bidi="ar-EG"/>
        </w:rPr>
      </w:pPr>
      <w:r w:rsidRPr="00570758">
        <w:rPr>
          <w:rtl/>
          <w:lang w:bidi="ar-EG"/>
        </w:rPr>
        <w:t>11</w:t>
      </w:r>
      <w:r w:rsidRPr="00570758">
        <w:rPr>
          <w:rtl/>
          <w:lang w:bidi="ar-EG"/>
        </w:rPr>
        <w:tab/>
        <w:t xml:space="preserve">الخطة التشغيلية للاتحاد للفترة </w:t>
      </w:r>
      <w:r w:rsidR="00D82250">
        <w:rPr>
          <w:rFonts w:hint="cs"/>
          <w:rtl/>
          <w:lang w:bidi="ar-EG"/>
        </w:rPr>
        <w:t>2025-2028</w:t>
      </w:r>
      <w:r w:rsidRPr="00570758">
        <w:rPr>
          <w:rtl/>
          <w:lang w:bidi="ar-EG"/>
        </w:rPr>
        <w:t xml:space="preserve"> (الوثيقة </w:t>
      </w:r>
      <w:hyperlink r:id="rId19" w:history="1">
        <w:r w:rsidRPr="00570758">
          <w:rPr>
            <w:rStyle w:val="Hyperlink"/>
            <w:lang w:bidi="ar-EG"/>
          </w:rPr>
          <w:t>C24/28</w:t>
        </w:r>
      </w:hyperlink>
      <w:r w:rsidRPr="00570758">
        <w:rPr>
          <w:rtl/>
          <w:lang w:bidi="ar-EG"/>
        </w:rPr>
        <w:t>)</w:t>
      </w:r>
    </w:p>
    <w:p w14:paraId="4BFBAA48" w14:textId="77777777" w:rsidR="00CB61D6" w:rsidRDefault="003C69D1" w:rsidP="009A3256">
      <w:pPr>
        <w:rPr>
          <w:rtl/>
          <w:lang w:bidi="ar-EG"/>
        </w:rPr>
      </w:pPr>
      <w:r w:rsidRPr="00570758">
        <w:rPr>
          <w:lang w:bidi="ar-EG"/>
        </w:rPr>
        <w:t>1.11</w:t>
      </w:r>
      <w:r w:rsidR="009A3256" w:rsidRPr="00570758">
        <w:rPr>
          <w:rtl/>
          <w:lang w:bidi="ar-EG"/>
        </w:rPr>
        <w:tab/>
        <w:t>قدم رئيس دائرة إدارة الموارد المالية (</w:t>
      </w:r>
      <w:r w:rsidR="009A3256" w:rsidRPr="00570758">
        <w:rPr>
          <w:lang w:bidi="ar-EG"/>
        </w:rPr>
        <w:t>FRMD</w:t>
      </w:r>
      <w:r w:rsidR="009A3256" w:rsidRPr="00570758">
        <w:rPr>
          <w:rtl/>
          <w:lang w:bidi="ar-EG"/>
        </w:rPr>
        <w:t xml:space="preserve">) الوثيقة </w:t>
      </w:r>
      <w:r w:rsidR="009A3256" w:rsidRPr="00570758">
        <w:rPr>
          <w:lang w:bidi="ar-EG"/>
        </w:rPr>
        <w:t>C23/28</w:t>
      </w:r>
      <w:r w:rsidR="009A3256" w:rsidRPr="00570758">
        <w:rPr>
          <w:rtl/>
          <w:lang w:bidi="ar-EG"/>
        </w:rPr>
        <w:t xml:space="preserve"> التي تتضمن مشروع الخطة التشغيلية الرباعية المتجددة للاتحاد للفترة </w:t>
      </w:r>
      <w:r w:rsidR="00CB61D6">
        <w:rPr>
          <w:rFonts w:hint="cs"/>
          <w:rtl/>
          <w:lang w:bidi="ar-EG"/>
        </w:rPr>
        <w:t>2025-2028</w:t>
      </w:r>
      <w:r w:rsidR="009A3256" w:rsidRPr="00570758">
        <w:rPr>
          <w:rtl/>
          <w:lang w:bidi="ar-EG"/>
        </w:rPr>
        <w:t xml:space="preserve">، وفي الملحق مشروع قرار بشأن الموافقة عليها. واتبع مشروع الخطة هيكل الخطتين الاستراتيجية والمالية للفترة </w:t>
      </w:r>
      <w:r w:rsidR="00CB61D6">
        <w:rPr>
          <w:rFonts w:hint="cs"/>
          <w:rtl/>
          <w:lang w:bidi="ar-EG"/>
        </w:rPr>
        <w:t>2024-2027</w:t>
      </w:r>
      <w:r w:rsidR="009A3256" w:rsidRPr="00570758">
        <w:rPr>
          <w:rtl/>
          <w:lang w:bidi="ar-EG"/>
        </w:rPr>
        <w:t xml:space="preserve"> التي وافق عليها مؤتمر المندوبين المفوضين عام 2022، وقدم المعلومات التالية عن الأولويات المحورية الخمس والمخرجات الثلاثة والأربعين:</w:t>
      </w:r>
    </w:p>
    <w:p w14:paraId="37E7441B" w14:textId="6C95DAE6" w:rsidR="009A3256" w:rsidRPr="00570758" w:rsidRDefault="009A3256" w:rsidP="009A3256">
      <w:pPr>
        <w:rPr>
          <w:rtl/>
          <w:lang w:bidi="ar-EG"/>
        </w:rPr>
      </w:pPr>
      <w:r w:rsidRPr="00570758">
        <w:rPr>
          <w:rtl/>
          <w:lang w:bidi="ar-EG"/>
        </w:rPr>
        <w:t>وصف الأولوية المحورية؛ وملخص توزيع التكاليف لعام 2025؛ والخطوط العريضة الرئيسية للنتائج ومؤشرات النتائج؛ وعوامل الخطر الرئيسية؛ ومساهمة المخرجات في تكاليف عام 2025 لكل أولوية محورية. وقد عُرضت الخطط التشغيلية لقطاعي الاتصالات الراديوية وتنمية الاتصالات في اجتماعات الفريق الاستشاري للاتصالات الراديوية والفريق الاستشاري لتنمية الاتصالات، على التوالي. وستُعرض الخطة التشغيلية لقطاع تقييس الاتصالات على اجتماع الفريق الاستشاري لتقييس الاتصالات في نهاية شهر يوليو.</w:t>
      </w:r>
    </w:p>
    <w:p w14:paraId="3E2C90A8" w14:textId="50DD817A" w:rsidR="009A3256" w:rsidRPr="00570758" w:rsidRDefault="003C69D1" w:rsidP="009A3256">
      <w:pPr>
        <w:rPr>
          <w:rtl/>
          <w:lang w:bidi="ar-EG"/>
        </w:rPr>
      </w:pPr>
      <w:r w:rsidRPr="00570758">
        <w:rPr>
          <w:lang w:bidi="ar-EG"/>
        </w:rPr>
        <w:t>2.11</w:t>
      </w:r>
      <w:r w:rsidR="009A3256" w:rsidRPr="00570758">
        <w:rPr>
          <w:rtl/>
          <w:lang w:bidi="ar-EG"/>
        </w:rPr>
        <w:tab/>
        <w:t>وأعرب عدة أعضاء عن تقديرهم للخطة المعروضة. وأكد عضوان في المجلس فائدة المعلومات المتعلقة بتوزيع التكاليف على أهداف التنمية المستدامة، مع الاعتراف بالدور الرئيسي الذي يضطلع به الاتحاد في مجال التنمية العالمية.</w:t>
      </w:r>
    </w:p>
    <w:p w14:paraId="4EB6567F" w14:textId="69E431FC" w:rsidR="009A3256" w:rsidRPr="00570758" w:rsidRDefault="003C69D1" w:rsidP="009A3256">
      <w:pPr>
        <w:rPr>
          <w:rtl/>
          <w:lang w:bidi="ar-EG"/>
        </w:rPr>
      </w:pPr>
      <w:r w:rsidRPr="00570758">
        <w:rPr>
          <w:lang w:bidi="ar-EG"/>
        </w:rPr>
        <w:t>3.11</w:t>
      </w:r>
      <w:r w:rsidR="009A3256" w:rsidRPr="00570758">
        <w:rPr>
          <w:rtl/>
          <w:lang w:bidi="ar-EG"/>
        </w:rPr>
        <w:tab/>
        <w:t>وردا</w:t>
      </w:r>
      <w:r w:rsidR="00CB61D6">
        <w:rPr>
          <w:rFonts w:hint="cs"/>
          <w:rtl/>
          <w:lang w:bidi="ar-EG"/>
        </w:rPr>
        <w:t>ً</w:t>
      </w:r>
      <w:r w:rsidR="009A3256" w:rsidRPr="00570758">
        <w:rPr>
          <w:rtl/>
          <w:lang w:bidi="ar-EG"/>
        </w:rPr>
        <w:t xml:space="preserve"> على أسئلة من أعضاء المجلس، قال رئيس دائرة إدارة الموارد المالية إن المقترحات المتعلقة باستخدام فائض الميزانية، البالغ 1,4 مليون فرنك سويسري من الوفورات المحققة في تنفيذ الميزانية في عام 2023 من خلال تدابير الكفاءة، ستتناولها المناقشة المتعلقة بالوثيقة </w:t>
      </w:r>
      <w:hyperlink r:id="rId20" w:history="1">
        <w:r w:rsidR="009A3256" w:rsidRPr="00570758">
          <w:rPr>
            <w:rStyle w:val="Hyperlink"/>
            <w:lang w:bidi="ar-EG"/>
          </w:rPr>
          <w:t>C24/19</w:t>
        </w:r>
      </w:hyperlink>
      <w:r w:rsidR="009A3256" w:rsidRPr="00570758">
        <w:rPr>
          <w:rtl/>
          <w:lang w:bidi="ar-EG"/>
        </w:rPr>
        <w:t>. والعجز البالغ 24 مليون فرنك سويسري المشار إليه في مواضع أخرى هو مجرد عجز محاسبي يشمل استهلاك النفقات، نتيجة لمتطلبات الإبلاغ الجديدة بموجب المعايير المحاسبية الدولية للقطاع العام</w:t>
      </w:r>
      <w:r w:rsidR="00890696">
        <w:rPr>
          <w:rFonts w:hint="cs"/>
          <w:rtl/>
          <w:lang w:bidi="ar-EG"/>
        </w:rPr>
        <w:t> </w:t>
      </w:r>
      <w:r w:rsidR="009A3256" w:rsidRPr="00570758">
        <w:rPr>
          <w:rtl/>
          <w:lang w:bidi="ar-EG"/>
        </w:rPr>
        <w:t>(</w:t>
      </w:r>
      <w:r w:rsidR="009A3256" w:rsidRPr="00570758">
        <w:rPr>
          <w:lang w:bidi="ar-EG"/>
        </w:rPr>
        <w:t>IPSAS</w:t>
      </w:r>
      <w:r w:rsidR="009A3256" w:rsidRPr="00570758">
        <w:rPr>
          <w:rtl/>
          <w:lang w:bidi="ar-EG"/>
        </w:rPr>
        <w:t xml:space="preserve">). ويتفق هيكل التكاليف الوارد في الفقرة </w:t>
      </w:r>
      <w:r w:rsidR="004F50A6">
        <w:rPr>
          <w:lang w:bidi="ar-EG"/>
        </w:rPr>
        <w:t>2.3</w:t>
      </w:r>
      <w:r w:rsidR="009A3256" w:rsidRPr="00570758">
        <w:rPr>
          <w:rtl/>
          <w:lang w:bidi="ar-EG"/>
        </w:rPr>
        <w:t xml:space="preserve"> من الوثيقة مع منهجية توزيع التكاليف الواردة في مقرر المجلس</w:t>
      </w:r>
      <w:r w:rsidR="00890696">
        <w:rPr>
          <w:rFonts w:hint="cs"/>
          <w:rtl/>
          <w:lang w:bidi="ar-EG"/>
        </w:rPr>
        <w:t> </w:t>
      </w:r>
      <w:r w:rsidR="009A3256" w:rsidRPr="00570758">
        <w:rPr>
          <w:rtl/>
          <w:lang w:bidi="ar-EG"/>
        </w:rPr>
        <w:t xml:space="preserve">535 (الصادر في دورة المجلس لعام 2004، والمعدل في دورة المجلس لعام 2014)، حيث توزع تكاليف الموظفين على الأولويات والمخرجات على أساس الاستطلاعات الزمنية. وأعيد توزيع تكاليف الدعم المركزي المقدم من الأمانة العامة والخدمات الإدارية للقطاعات على مخرجات القطاعات؛ وهو ما يوضح المساهمة الراجحة لتكاليف الأمانة العامة في الأولويات المحورية. ونظرت الأفرقة الاستشارية المعنية في الخطط التشغيلية المفصلة للقطاعات، وأخذت الخطة التشغيلية الرباعية المتجددة في الاعتبار نتائج المؤتمرات والجمعيات. وتنص اتفاقية الاتحاد على أن تغطي الخطة التشغيلية الرباعية المتجددة السنة التالية والسنوات الثلاث المتبقية. ومن ثم، فإن الخطة التشغيلية الواردة في الوثيقة </w:t>
      </w:r>
      <w:r w:rsidR="009A3256" w:rsidRPr="00570758">
        <w:rPr>
          <w:lang w:bidi="ar-EG"/>
        </w:rPr>
        <w:t>C24/28</w:t>
      </w:r>
      <w:r w:rsidR="009A3256" w:rsidRPr="00570758">
        <w:rPr>
          <w:rtl/>
          <w:lang w:bidi="ar-EG"/>
        </w:rPr>
        <w:t xml:space="preserve"> تقدم الأرقام المالية لعام 2025 ولم تقدم سوى معلومات عن النتائج والمؤشرات للسنوات الثلاث التالية.</w:t>
      </w:r>
    </w:p>
    <w:p w14:paraId="44211B55" w14:textId="7E3656CE" w:rsidR="009A3256" w:rsidRPr="00570758" w:rsidRDefault="003C69D1" w:rsidP="009A3256">
      <w:pPr>
        <w:rPr>
          <w:rtl/>
          <w:lang w:bidi="ar-EG"/>
        </w:rPr>
      </w:pPr>
      <w:r w:rsidRPr="00570758">
        <w:rPr>
          <w:lang w:bidi="ar-EG"/>
        </w:rPr>
        <w:t>4.11</w:t>
      </w:r>
      <w:r w:rsidR="009A3256" w:rsidRPr="00570758">
        <w:rPr>
          <w:rtl/>
          <w:lang w:bidi="ar-EG"/>
        </w:rPr>
        <w:tab/>
      </w:r>
      <w:r w:rsidR="009A3256" w:rsidRPr="00570758">
        <w:rPr>
          <w:b/>
          <w:bCs/>
          <w:rtl/>
          <w:lang w:bidi="ar-EG"/>
        </w:rPr>
        <w:t>ووافق</w:t>
      </w:r>
      <w:r w:rsidR="009A3256" w:rsidRPr="00570758">
        <w:rPr>
          <w:rtl/>
          <w:lang w:bidi="ar-EG"/>
        </w:rPr>
        <w:t xml:space="preserve"> المجلس على الخطة التشغيلية الرباعية المتجددة للاتحاد للفترة </w:t>
      </w:r>
      <w:r w:rsidR="00570758" w:rsidRPr="00570758">
        <w:rPr>
          <w:rtl/>
          <w:lang w:bidi="ar-EG"/>
        </w:rPr>
        <w:t>2025-2028</w:t>
      </w:r>
      <w:r w:rsidR="009A3256" w:rsidRPr="00570758">
        <w:rPr>
          <w:rtl/>
          <w:lang w:bidi="ar-EG"/>
        </w:rPr>
        <w:t xml:space="preserve"> </w:t>
      </w:r>
      <w:r w:rsidR="009A3256" w:rsidRPr="00737B06">
        <w:rPr>
          <w:b/>
          <w:bCs/>
          <w:rtl/>
          <w:lang w:bidi="ar-EG"/>
        </w:rPr>
        <w:t>واعتمد</w:t>
      </w:r>
      <w:r w:rsidR="009A3256" w:rsidRPr="00570758">
        <w:rPr>
          <w:rtl/>
          <w:lang w:bidi="ar-EG"/>
        </w:rPr>
        <w:t xml:space="preserve"> القرار الوارد في الملحق</w:t>
      </w:r>
      <w:r w:rsidR="00737B06">
        <w:rPr>
          <w:rFonts w:hint="eastAsia"/>
          <w:rtl/>
          <w:lang w:bidi="ar-EG"/>
        </w:rPr>
        <w:t> </w:t>
      </w:r>
      <w:r w:rsidR="00737B06">
        <w:rPr>
          <w:lang w:bidi="ar-EG"/>
        </w:rPr>
        <w:t>A</w:t>
      </w:r>
      <w:r w:rsidR="009A3256" w:rsidRPr="00570758">
        <w:rPr>
          <w:rtl/>
          <w:lang w:bidi="ar-EG"/>
        </w:rPr>
        <w:t xml:space="preserve"> بالوثيقة </w:t>
      </w:r>
      <w:r w:rsidR="009A3256" w:rsidRPr="00570758">
        <w:rPr>
          <w:lang w:bidi="ar-EG"/>
        </w:rPr>
        <w:t>C24/28</w:t>
      </w:r>
      <w:r w:rsidR="009A3256" w:rsidRPr="00570758">
        <w:rPr>
          <w:rtl/>
          <w:lang w:bidi="ar-EG"/>
        </w:rPr>
        <w:t>.</w:t>
      </w:r>
    </w:p>
    <w:p w14:paraId="45225383" w14:textId="1CC79C00" w:rsidR="009A3256" w:rsidRPr="00570758" w:rsidRDefault="003C69D1" w:rsidP="009A3256">
      <w:pPr>
        <w:rPr>
          <w:rtl/>
          <w:lang w:bidi="ar-EG"/>
        </w:rPr>
      </w:pPr>
      <w:r w:rsidRPr="00737B06">
        <w:rPr>
          <w:lang w:bidi="ar-EG"/>
        </w:rPr>
        <w:lastRenderedPageBreak/>
        <w:t>5.11</w:t>
      </w:r>
      <w:r w:rsidR="009A3256" w:rsidRPr="00737B06">
        <w:rPr>
          <w:rtl/>
          <w:lang w:bidi="ar-EG"/>
        </w:rPr>
        <w:tab/>
        <w:t>وأكد نائب الأمين العام لأعضاء المجلس أن الأمانة ستأخذ تعليقاتهم وتعليقات الأفرقة الاستشارية في الاعتبار. وهو ينوي اغتنام الفرصة التي تتيحها الخطة الاستراتيجية الجديدة وعملية التحول، بما في ذلك الإدارة القائمة على النتائج، من أجل تحسين الخطط التشغيلية وتعزيزها، وجعل إطار التخطيط أكثر تركيزا</w:t>
      </w:r>
      <w:r w:rsidR="00CB61D6" w:rsidRPr="00737B06">
        <w:rPr>
          <w:rFonts w:hint="cs"/>
          <w:rtl/>
          <w:lang w:bidi="ar-EG"/>
        </w:rPr>
        <w:t>ً</w:t>
      </w:r>
      <w:r w:rsidR="009A3256" w:rsidRPr="00737B06">
        <w:rPr>
          <w:rtl/>
          <w:lang w:bidi="ar-EG"/>
        </w:rPr>
        <w:t xml:space="preserve"> على النتائج والتأثير وتحويله إلى أداة أفضل لتحديد أولويات الموارد والاستفادة منها على النحو الأمثل.</w:t>
      </w:r>
    </w:p>
    <w:p w14:paraId="50EA94F1" w14:textId="77777777" w:rsidR="009A3256" w:rsidRPr="00570758" w:rsidRDefault="009A3256" w:rsidP="00570758">
      <w:pPr>
        <w:pStyle w:val="Heading1"/>
        <w:rPr>
          <w:rtl/>
          <w:lang w:bidi="ar-EG"/>
        </w:rPr>
      </w:pPr>
      <w:r w:rsidRPr="00570758">
        <w:rPr>
          <w:rtl/>
          <w:lang w:bidi="ar-EG"/>
        </w:rPr>
        <w:t>12</w:t>
      </w:r>
      <w:r w:rsidRPr="00570758">
        <w:rPr>
          <w:rtl/>
          <w:lang w:bidi="ar-EG"/>
        </w:rPr>
        <w:tab/>
        <w:t>إعلان عضو المجلس من أوغندا بشأن الندوة العالمية لمنظمي الاتصالات عام 2024 (</w:t>
      </w:r>
      <w:r w:rsidRPr="00570758">
        <w:rPr>
          <w:lang w:bidi="ar-EG"/>
        </w:rPr>
        <w:t>GSR-24</w:t>
      </w:r>
      <w:r w:rsidRPr="00570758">
        <w:rPr>
          <w:rtl/>
          <w:lang w:bidi="ar-EG"/>
        </w:rPr>
        <w:t>)</w:t>
      </w:r>
    </w:p>
    <w:p w14:paraId="0152045C" w14:textId="7FDBC709" w:rsidR="00C8395F" w:rsidRPr="00570758" w:rsidRDefault="003C69D1" w:rsidP="00890696">
      <w:pPr>
        <w:spacing w:after="240"/>
        <w:rPr>
          <w:spacing w:val="2"/>
          <w:rtl/>
          <w:lang w:bidi="ar-EG"/>
        </w:rPr>
      </w:pPr>
      <w:r w:rsidRPr="00570758">
        <w:rPr>
          <w:spacing w:val="2"/>
          <w:lang w:bidi="ar-EG"/>
        </w:rPr>
        <w:t>1.12</w:t>
      </w:r>
      <w:r w:rsidR="009A3256" w:rsidRPr="00570758">
        <w:rPr>
          <w:spacing w:val="2"/>
          <w:rtl/>
          <w:lang w:bidi="ar-EG"/>
        </w:rPr>
        <w:tab/>
        <w:t>حث عضو المجلس من أوغندا نيابة عن حكومة أوغندا وهيئة الاتصالات الأوغندية</w:t>
      </w:r>
      <w:r w:rsidR="004F50A6">
        <w:rPr>
          <w:rFonts w:hint="cs"/>
          <w:spacing w:val="2"/>
          <w:rtl/>
          <w:lang w:bidi="ar-EG"/>
        </w:rPr>
        <w:t xml:space="preserve"> </w:t>
      </w:r>
      <w:r w:rsidR="004F50A6">
        <w:rPr>
          <w:spacing w:val="2"/>
          <w:lang w:bidi="ar-EG"/>
        </w:rPr>
        <w:t>(UCC)</w:t>
      </w:r>
      <w:r w:rsidR="009A3256" w:rsidRPr="00570758">
        <w:rPr>
          <w:spacing w:val="2"/>
          <w:rtl/>
          <w:lang w:bidi="ar-EG"/>
        </w:rPr>
        <w:t xml:space="preserve"> أعضاء الاتحاد على حضور الندوة العالمية المقبلة لمنظمي الاتصالات عام 2024 (</w:t>
      </w:r>
      <w:r w:rsidR="009A3256" w:rsidRPr="00570758">
        <w:rPr>
          <w:spacing w:val="2"/>
          <w:lang w:bidi="ar-EG"/>
        </w:rPr>
        <w:t>GSR-</w:t>
      </w:r>
      <w:proofErr w:type="gramStart"/>
      <w:r w:rsidR="009A3256" w:rsidRPr="00570758">
        <w:rPr>
          <w:spacing w:val="2"/>
          <w:lang w:bidi="ar-EG"/>
        </w:rPr>
        <w:t>24</w:t>
      </w:r>
      <w:r w:rsidR="009A3256" w:rsidRPr="00570758">
        <w:rPr>
          <w:spacing w:val="2"/>
          <w:rtl/>
          <w:lang w:bidi="ar-EG"/>
        </w:rPr>
        <w:t>)،</w:t>
      </w:r>
      <w:proofErr w:type="gramEnd"/>
      <w:r w:rsidR="009A3256" w:rsidRPr="00570758">
        <w:rPr>
          <w:spacing w:val="2"/>
          <w:rtl/>
          <w:lang w:bidi="ar-EG"/>
        </w:rPr>
        <w:t xml:space="preserve"> التي تفخر أوغندا باستضافتها في كمبالا في الفترة</w:t>
      </w:r>
      <w:r w:rsidR="00737B06">
        <w:rPr>
          <w:rFonts w:hint="cs"/>
          <w:spacing w:val="2"/>
          <w:rtl/>
          <w:lang w:bidi="ar-EG"/>
        </w:rPr>
        <w:t> </w:t>
      </w:r>
      <w:r w:rsidR="00570758">
        <w:rPr>
          <w:rFonts w:hint="cs"/>
          <w:spacing w:val="2"/>
          <w:rtl/>
          <w:lang w:bidi="ar-EG"/>
        </w:rPr>
        <w:t>1</w:t>
      </w:r>
      <w:r w:rsidR="00737B06">
        <w:rPr>
          <w:spacing w:val="2"/>
          <w:rtl/>
          <w:lang w:bidi="ar-EG"/>
        </w:rPr>
        <w:noBreakHyphen/>
      </w:r>
      <w:r w:rsidR="00570758">
        <w:rPr>
          <w:rFonts w:hint="cs"/>
          <w:spacing w:val="2"/>
          <w:rtl/>
          <w:lang w:bidi="ar-EG"/>
        </w:rPr>
        <w:t>4</w:t>
      </w:r>
      <w:r w:rsidR="00737B06">
        <w:rPr>
          <w:rFonts w:hint="cs"/>
          <w:spacing w:val="2"/>
          <w:rtl/>
          <w:lang w:bidi="ar-EG"/>
        </w:rPr>
        <w:t> </w:t>
      </w:r>
      <w:r w:rsidR="009A3256" w:rsidRPr="00570758">
        <w:rPr>
          <w:spacing w:val="2"/>
          <w:rtl/>
          <w:lang w:bidi="ar-EG"/>
        </w:rPr>
        <w:t>يوليو</w:t>
      </w:r>
      <w:r w:rsidR="00570758">
        <w:rPr>
          <w:rFonts w:hint="cs"/>
          <w:spacing w:val="2"/>
          <w:rtl/>
          <w:lang w:bidi="ar-EG"/>
        </w:rPr>
        <w:t> </w:t>
      </w:r>
      <w:r w:rsidR="009A3256" w:rsidRPr="00570758">
        <w:rPr>
          <w:spacing w:val="2"/>
          <w:rtl/>
          <w:lang w:bidi="ar-EG"/>
        </w:rPr>
        <w:t>2024، تحت شعار "التنظيم من أجل التأثير". ويمكن الاطلاع على التفاصيل الكاملة للحدث، الذي سيصادف أيضا</w:t>
      </w:r>
      <w:r w:rsidR="00CB61D6">
        <w:rPr>
          <w:rFonts w:hint="cs"/>
          <w:spacing w:val="2"/>
          <w:rtl/>
          <w:lang w:bidi="ar-EG"/>
        </w:rPr>
        <w:t>ً</w:t>
      </w:r>
      <w:r w:rsidR="009A3256" w:rsidRPr="00570758">
        <w:rPr>
          <w:spacing w:val="2"/>
          <w:rtl/>
          <w:lang w:bidi="ar-EG"/>
        </w:rPr>
        <w:t xml:space="preserve"> الذكرى الخامسة والعشرين لإنشاء هيئة الاتصالات الأوغندية، في الموقع الإلكتروني للمضيف عبر الرابط التالي: </w:t>
      </w:r>
      <w:hyperlink r:id="rId21" w:history="1">
        <w:r w:rsidR="00570758" w:rsidRPr="00570758">
          <w:rPr>
            <w:rStyle w:val="Hyperlink"/>
            <w:rFonts w:eastAsia="SimSun"/>
            <w:spacing w:val="2"/>
            <w:lang w:val="en-CA"/>
          </w:rPr>
          <w:t>https://ugandagsr2024.go.ug/</w:t>
        </w:r>
      </w:hyperlink>
      <w:r w:rsidR="009A3256" w:rsidRPr="00570758">
        <w:rPr>
          <w:spacing w:val="2"/>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8395F" w:rsidRPr="00570758" w14:paraId="4D6138E7" w14:textId="77777777" w:rsidTr="00292BFF">
        <w:trPr>
          <w:trHeight w:val="834"/>
          <w:jc w:val="center"/>
        </w:trPr>
        <w:tc>
          <w:tcPr>
            <w:tcW w:w="4819" w:type="dxa"/>
          </w:tcPr>
          <w:p w14:paraId="5682BCEA" w14:textId="5CAABAB9" w:rsidR="00C8395F" w:rsidRPr="00570758" w:rsidRDefault="00C8395F" w:rsidP="00737B06">
            <w:pPr>
              <w:tabs>
                <w:tab w:val="clear" w:pos="794"/>
              </w:tabs>
              <w:spacing w:before="600"/>
              <w:jc w:val="left"/>
              <w:rPr>
                <w:rtl/>
                <w:lang w:bidi="ar-SY"/>
              </w:rPr>
            </w:pPr>
            <w:r w:rsidRPr="00570758">
              <w:rPr>
                <w:rtl/>
                <w:lang w:bidi="ar-EG"/>
              </w:rPr>
              <w:t>الأمينة العامة</w:t>
            </w:r>
            <w:r w:rsidR="00FA418A">
              <w:rPr>
                <w:rFonts w:hint="cs"/>
                <w:rtl/>
                <w:lang w:bidi="ar-EG"/>
              </w:rPr>
              <w:t>:</w:t>
            </w:r>
            <w:r w:rsidRPr="00570758">
              <w:rPr>
                <w:rtl/>
                <w:lang w:bidi="ar-EG"/>
              </w:rPr>
              <w:br/>
              <w:t xml:space="preserve">د. </w:t>
            </w:r>
            <w:proofErr w:type="spellStart"/>
            <w:r w:rsidRPr="00570758">
              <w:rPr>
                <w:rtl/>
                <w:lang w:bidi="ar-EG"/>
              </w:rPr>
              <w:t>بوغدان</w:t>
            </w:r>
            <w:proofErr w:type="spellEnd"/>
            <w:r w:rsidRPr="00570758">
              <w:rPr>
                <w:rtl/>
                <w:lang w:bidi="ar-EG"/>
              </w:rPr>
              <w:t>-مارتن</w:t>
            </w:r>
          </w:p>
        </w:tc>
        <w:tc>
          <w:tcPr>
            <w:tcW w:w="4820" w:type="dxa"/>
          </w:tcPr>
          <w:p w14:paraId="7096344C" w14:textId="32F5DB3B" w:rsidR="00C8395F" w:rsidRPr="00570758" w:rsidRDefault="00C8395F" w:rsidP="00737B06">
            <w:pPr>
              <w:tabs>
                <w:tab w:val="clear" w:pos="794"/>
              </w:tabs>
              <w:spacing w:before="600"/>
              <w:rPr>
                <w:rtl/>
                <w:lang w:bidi="ar-EG"/>
              </w:rPr>
            </w:pPr>
            <w:r w:rsidRPr="00570758">
              <w:rPr>
                <w:rtl/>
                <w:lang w:bidi="ar-EG"/>
              </w:rPr>
              <w:t>الرئيس:</w:t>
            </w:r>
            <w:r w:rsidRPr="00570758">
              <w:rPr>
                <w:rtl/>
                <w:lang w:bidi="ar-EG"/>
              </w:rPr>
              <w:br/>
              <w:t xml:space="preserve">ف. </w:t>
            </w:r>
            <w:proofErr w:type="spellStart"/>
            <w:r w:rsidRPr="00570758">
              <w:rPr>
                <w:rtl/>
                <w:lang w:bidi="ar-EG"/>
              </w:rPr>
              <w:t>سوفاج</w:t>
            </w:r>
            <w:proofErr w:type="spellEnd"/>
          </w:p>
        </w:tc>
      </w:tr>
    </w:tbl>
    <w:p w14:paraId="4BAAA7EF" w14:textId="2D6FA958" w:rsidR="00F50E3F" w:rsidRPr="00570758" w:rsidRDefault="00F50E3F" w:rsidP="00737B06"/>
    <w:sectPr w:rsidR="00F50E3F" w:rsidRPr="00570758" w:rsidSect="006C3242">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7EBF" w14:textId="77777777" w:rsidR="00B821AE" w:rsidRDefault="00B821AE" w:rsidP="006C3242">
      <w:pPr>
        <w:spacing w:before="0" w:line="240" w:lineRule="auto"/>
      </w:pPr>
      <w:r>
        <w:separator/>
      </w:r>
    </w:p>
  </w:endnote>
  <w:endnote w:type="continuationSeparator" w:id="0">
    <w:p w14:paraId="553D9A82" w14:textId="77777777" w:rsidR="00B821AE" w:rsidRDefault="00B821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2A264C8" w14:textId="77777777" w:rsidTr="00357086">
      <w:trPr>
        <w:jc w:val="center"/>
      </w:trPr>
      <w:tc>
        <w:tcPr>
          <w:tcW w:w="868" w:type="pct"/>
          <w:vAlign w:val="center"/>
        </w:tcPr>
        <w:p w14:paraId="4141A79F"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0EC84A38" w14:textId="5C475663"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A3256">
            <w:rPr>
              <w:rFonts w:ascii="Calibri" w:hAnsi="Calibri" w:cs="Arial"/>
              <w:bCs/>
              <w:color w:val="7F7F7F"/>
              <w:sz w:val="18"/>
            </w:rPr>
            <w:t>110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4D3F673"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B011FA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C3D51CE" w14:textId="77777777" w:rsidTr="00F50E3F">
      <w:trPr>
        <w:jc w:val="center"/>
      </w:trPr>
      <w:tc>
        <w:tcPr>
          <w:tcW w:w="868" w:type="pct"/>
          <w:vAlign w:val="center"/>
        </w:tcPr>
        <w:p w14:paraId="7D3BB0B1" w14:textId="77777777" w:rsidR="007B0AA0" w:rsidRPr="007B0AA0" w:rsidRDefault="0096367E"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5F6644B" w14:textId="34FF04A6"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A3256">
            <w:rPr>
              <w:rFonts w:ascii="Calibri" w:hAnsi="Calibri" w:cs="Arial"/>
              <w:bCs/>
              <w:color w:val="7F7F7F"/>
              <w:sz w:val="18"/>
            </w:rPr>
            <w:t>110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7283F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7812B8"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0C6F" w14:textId="77777777" w:rsidR="00B821AE" w:rsidRDefault="00B821AE" w:rsidP="006C3242">
      <w:pPr>
        <w:spacing w:before="0" w:line="240" w:lineRule="auto"/>
      </w:pPr>
      <w:r>
        <w:separator/>
      </w:r>
    </w:p>
  </w:footnote>
  <w:footnote w:type="continuationSeparator" w:id="0">
    <w:p w14:paraId="35BF188D" w14:textId="77777777" w:rsidR="00B821AE" w:rsidRDefault="00B821A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E59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020DCAF" wp14:editId="07BED39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7AA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EC7C2D6" wp14:editId="108A6D71">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77"/>
    <w:rsid w:val="0006468A"/>
    <w:rsid w:val="00090574"/>
    <w:rsid w:val="0009186A"/>
    <w:rsid w:val="000C1C0E"/>
    <w:rsid w:val="000C548A"/>
    <w:rsid w:val="001320E6"/>
    <w:rsid w:val="001755B3"/>
    <w:rsid w:val="001959D5"/>
    <w:rsid w:val="00195B5F"/>
    <w:rsid w:val="001A0979"/>
    <w:rsid w:val="001C0169"/>
    <w:rsid w:val="001D1D50"/>
    <w:rsid w:val="001D6745"/>
    <w:rsid w:val="001E446E"/>
    <w:rsid w:val="001E7636"/>
    <w:rsid w:val="001F2A62"/>
    <w:rsid w:val="002154EE"/>
    <w:rsid w:val="002276D2"/>
    <w:rsid w:val="0023283D"/>
    <w:rsid w:val="0026373E"/>
    <w:rsid w:val="00271C43"/>
    <w:rsid w:val="00290728"/>
    <w:rsid w:val="002978F4"/>
    <w:rsid w:val="002B028D"/>
    <w:rsid w:val="002B1AB2"/>
    <w:rsid w:val="002E6541"/>
    <w:rsid w:val="0030153C"/>
    <w:rsid w:val="00332089"/>
    <w:rsid w:val="00334924"/>
    <w:rsid w:val="003409BC"/>
    <w:rsid w:val="00357185"/>
    <w:rsid w:val="00383829"/>
    <w:rsid w:val="00387876"/>
    <w:rsid w:val="003B7CE9"/>
    <w:rsid w:val="003C69D1"/>
    <w:rsid w:val="003E326A"/>
    <w:rsid w:val="003F4B29"/>
    <w:rsid w:val="0042686F"/>
    <w:rsid w:val="004317D8"/>
    <w:rsid w:val="00434183"/>
    <w:rsid w:val="00443869"/>
    <w:rsid w:val="00447F32"/>
    <w:rsid w:val="0045634B"/>
    <w:rsid w:val="00464640"/>
    <w:rsid w:val="00490A6C"/>
    <w:rsid w:val="004B14F7"/>
    <w:rsid w:val="004B7334"/>
    <w:rsid w:val="004E11DC"/>
    <w:rsid w:val="004F50A6"/>
    <w:rsid w:val="00525DDD"/>
    <w:rsid w:val="005409AC"/>
    <w:rsid w:val="0055516A"/>
    <w:rsid w:val="00562A38"/>
    <w:rsid w:val="00570758"/>
    <w:rsid w:val="0058491B"/>
    <w:rsid w:val="00592EA5"/>
    <w:rsid w:val="005A3170"/>
    <w:rsid w:val="005E7855"/>
    <w:rsid w:val="00667777"/>
    <w:rsid w:val="00677396"/>
    <w:rsid w:val="0069200F"/>
    <w:rsid w:val="006943AD"/>
    <w:rsid w:val="006A65CB"/>
    <w:rsid w:val="006A78E3"/>
    <w:rsid w:val="006C3242"/>
    <w:rsid w:val="006C7CC0"/>
    <w:rsid w:val="006E1537"/>
    <w:rsid w:val="006F63F7"/>
    <w:rsid w:val="007025C7"/>
    <w:rsid w:val="00706D7A"/>
    <w:rsid w:val="00722F0D"/>
    <w:rsid w:val="00737B06"/>
    <w:rsid w:val="0074420E"/>
    <w:rsid w:val="00783E26"/>
    <w:rsid w:val="007B0AA0"/>
    <w:rsid w:val="007C3BC7"/>
    <w:rsid w:val="007C3BCD"/>
    <w:rsid w:val="007D4ACF"/>
    <w:rsid w:val="007F0787"/>
    <w:rsid w:val="00805CE2"/>
    <w:rsid w:val="00810B7B"/>
    <w:rsid w:val="0082358A"/>
    <w:rsid w:val="008235CD"/>
    <w:rsid w:val="008247DE"/>
    <w:rsid w:val="008339C0"/>
    <w:rsid w:val="00840B10"/>
    <w:rsid w:val="008513CB"/>
    <w:rsid w:val="00890696"/>
    <w:rsid w:val="008A7F84"/>
    <w:rsid w:val="008C6907"/>
    <w:rsid w:val="00907B08"/>
    <w:rsid w:val="0091702E"/>
    <w:rsid w:val="00923B0C"/>
    <w:rsid w:val="0094021C"/>
    <w:rsid w:val="00952F86"/>
    <w:rsid w:val="00956D5F"/>
    <w:rsid w:val="0096367E"/>
    <w:rsid w:val="00974B51"/>
    <w:rsid w:val="00982B28"/>
    <w:rsid w:val="009A3256"/>
    <w:rsid w:val="009B22F2"/>
    <w:rsid w:val="009D313F"/>
    <w:rsid w:val="00A47A5A"/>
    <w:rsid w:val="00A609F2"/>
    <w:rsid w:val="00A6683B"/>
    <w:rsid w:val="00A97F94"/>
    <w:rsid w:val="00AA7EA2"/>
    <w:rsid w:val="00AB1F37"/>
    <w:rsid w:val="00AB2CC8"/>
    <w:rsid w:val="00AC549E"/>
    <w:rsid w:val="00AD42A3"/>
    <w:rsid w:val="00B03099"/>
    <w:rsid w:val="00B05BC8"/>
    <w:rsid w:val="00B31870"/>
    <w:rsid w:val="00B6080B"/>
    <w:rsid w:val="00B64B47"/>
    <w:rsid w:val="00B821AE"/>
    <w:rsid w:val="00B91B14"/>
    <w:rsid w:val="00B95654"/>
    <w:rsid w:val="00C002DE"/>
    <w:rsid w:val="00C004DA"/>
    <w:rsid w:val="00C1011E"/>
    <w:rsid w:val="00C25B68"/>
    <w:rsid w:val="00C53BF8"/>
    <w:rsid w:val="00C66157"/>
    <w:rsid w:val="00C674FE"/>
    <w:rsid w:val="00C67501"/>
    <w:rsid w:val="00C75633"/>
    <w:rsid w:val="00C8395F"/>
    <w:rsid w:val="00CB61D6"/>
    <w:rsid w:val="00CC0D97"/>
    <w:rsid w:val="00CE2EE1"/>
    <w:rsid w:val="00CE3349"/>
    <w:rsid w:val="00CE36E5"/>
    <w:rsid w:val="00CF27F5"/>
    <w:rsid w:val="00CF3FFD"/>
    <w:rsid w:val="00D10CCF"/>
    <w:rsid w:val="00D13941"/>
    <w:rsid w:val="00D63735"/>
    <w:rsid w:val="00D77D0F"/>
    <w:rsid w:val="00D82250"/>
    <w:rsid w:val="00DA1CF0"/>
    <w:rsid w:val="00DC1E02"/>
    <w:rsid w:val="00DC24B4"/>
    <w:rsid w:val="00DC5FB0"/>
    <w:rsid w:val="00DD183D"/>
    <w:rsid w:val="00DF16DC"/>
    <w:rsid w:val="00DF4BBB"/>
    <w:rsid w:val="00E0767B"/>
    <w:rsid w:val="00E45211"/>
    <w:rsid w:val="00E473C5"/>
    <w:rsid w:val="00E61BE8"/>
    <w:rsid w:val="00E84A83"/>
    <w:rsid w:val="00E92863"/>
    <w:rsid w:val="00E95327"/>
    <w:rsid w:val="00EB796D"/>
    <w:rsid w:val="00EC43A2"/>
    <w:rsid w:val="00F02B69"/>
    <w:rsid w:val="00F058DC"/>
    <w:rsid w:val="00F24FC4"/>
    <w:rsid w:val="00F2676C"/>
    <w:rsid w:val="00F363FE"/>
    <w:rsid w:val="00F50E3F"/>
    <w:rsid w:val="00F567E7"/>
    <w:rsid w:val="00F62926"/>
    <w:rsid w:val="00F84366"/>
    <w:rsid w:val="00F85089"/>
    <w:rsid w:val="00F974C5"/>
    <w:rsid w:val="00FA418A"/>
    <w:rsid w:val="00FA6F46"/>
    <w:rsid w:val="00FC4592"/>
    <w:rsid w:val="00FC6A7A"/>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DD31"/>
  <w15:chartTrackingRefBased/>
  <w15:docId w15:val="{83373D08-996B-4933-93EA-DE23C211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1320E6"/>
    <w:rPr>
      <w:color w:val="605E5C"/>
      <w:shd w:val="clear" w:color="auto" w:fill="E1DFDD"/>
    </w:rPr>
  </w:style>
  <w:style w:type="character" w:styleId="CommentReference">
    <w:name w:val="annotation reference"/>
    <w:basedOn w:val="DefaultParagraphFont"/>
    <w:semiHidden/>
    <w:unhideWhenUsed/>
    <w:rsid w:val="00490A6C"/>
    <w:rPr>
      <w:sz w:val="16"/>
      <w:szCs w:val="16"/>
    </w:rPr>
  </w:style>
  <w:style w:type="paragraph" w:styleId="CommentText">
    <w:name w:val="annotation text"/>
    <w:basedOn w:val="Normal"/>
    <w:link w:val="CommentTextChar"/>
    <w:unhideWhenUsed/>
    <w:rsid w:val="00490A6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490A6C"/>
    <w:rPr>
      <w:rFonts w:ascii="Calibri" w:eastAsia="Times New Roman" w:hAnsi="Calibri"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1/en" TargetMode="External"/><Relationship Id="rId13" Type="http://schemas.openxmlformats.org/officeDocument/2006/relationships/hyperlink" Target="http://council.itu.int/2024/wp-content/uploads/sites/4/2024/07/C24-Statement-Chair-Council_PLinaug.docx" TargetMode="External"/><Relationship Id="rId18" Type="http://schemas.openxmlformats.org/officeDocument/2006/relationships/hyperlink" Target="https://www.itu.int/md/S24-CL-C-003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gandagsr2024.go.ug/" TargetMode="External"/><Relationship Id="rId7" Type="http://schemas.openxmlformats.org/officeDocument/2006/relationships/endnotes" Target="endnotes.xml"/><Relationship Id="rId12" Type="http://schemas.openxmlformats.org/officeDocument/2006/relationships/hyperlink" Target="https://www.itu.int/md/S24-CL-C-0028/en" TargetMode="External"/><Relationship Id="rId17" Type="http://schemas.openxmlformats.org/officeDocument/2006/relationships/hyperlink" Target="https://www.itu.int/md/S24-CL-240604-TD-000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240604-TD-0001/en" TargetMode="External"/><Relationship Id="rId20" Type="http://schemas.openxmlformats.org/officeDocument/2006/relationships/hyperlink" Target="https://www.itu.int/md/S24-CL-C-0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5/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L-C-0001/en" TargetMode="External"/><Relationship Id="rId23" Type="http://schemas.openxmlformats.org/officeDocument/2006/relationships/header" Target="header1.xml"/><Relationship Id="rId10" Type="http://schemas.openxmlformats.org/officeDocument/2006/relationships/hyperlink" Target="https://www.itu.int/md/S24-CL-240604-TD-0002/en" TargetMode="External"/><Relationship Id="rId19" Type="http://schemas.openxmlformats.org/officeDocument/2006/relationships/hyperlink" Target="https://www.itu.int/md/S24-CL-C-0028/en" TargetMode="External"/><Relationship Id="rId4" Type="http://schemas.openxmlformats.org/officeDocument/2006/relationships/settings" Target="settings.xml"/><Relationship Id="rId9" Type="http://schemas.openxmlformats.org/officeDocument/2006/relationships/hyperlink" Target="https://www.itu.int/md/S24-CL-240604-TD-0001/en" TargetMode="External"/><Relationship Id="rId14" Type="http://schemas.openxmlformats.org/officeDocument/2006/relationships/hyperlink" Target="https://www.itu.int/en/osg/Pages/Speeches.aspx?ItemID=51"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5</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ITU Council 2024</dc:subject>
  <cp:keywords>C2024, C24, Council-24</cp:keywords>
  <dc:description/>
  <cp:revision>2</cp:revision>
  <dcterms:created xsi:type="dcterms:W3CDTF">2024-09-04T06:21:00Z</dcterms:created>
  <dcterms:modified xsi:type="dcterms:W3CDTF">2024-09-04T06:21:00Z</dcterms:modified>
  <cp:category>Conference document</cp:category>
</cp:coreProperties>
</file>