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horzAnchor="page" w:tblpX="1821" w:tblpY="2314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FE57F6" w:rsidRPr="00AC6198" w14:paraId="16C8DD02" w14:textId="77777777" w:rsidTr="00C538FC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380780FF" w14:textId="1C5E0DB5" w:rsidR="00FE57F6" w:rsidRPr="00AC6198" w:rsidRDefault="00D43B85" w:rsidP="00B455AC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0" w:name="_Hlk133421839"/>
            <w:r w:rsidRPr="00AC6198">
              <w:rPr>
                <w:b/>
              </w:rPr>
              <w:t>Punto del orden del día</w:t>
            </w:r>
            <w:r w:rsidR="00B455AC" w:rsidRPr="00AC6198">
              <w:rPr>
                <w:b/>
              </w:rPr>
              <w:t>: PL 2</w:t>
            </w:r>
          </w:p>
        </w:tc>
        <w:tc>
          <w:tcPr>
            <w:tcW w:w="5245" w:type="dxa"/>
          </w:tcPr>
          <w:p w14:paraId="12EC8577" w14:textId="28CDACF4" w:rsidR="00FE57F6" w:rsidRPr="00AC6198" w:rsidRDefault="00FE57F6" w:rsidP="00C538FC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 w:rsidRPr="00AC6198">
              <w:rPr>
                <w:b/>
              </w:rPr>
              <w:t>Document</w:t>
            </w:r>
            <w:r w:rsidR="00F24B71" w:rsidRPr="00AC6198">
              <w:rPr>
                <w:b/>
              </w:rPr>
              <w:t>o</w:t>
            </w:r>
            <w:r w:rsidRPr="00AC6198">
              <w:rPr>
                <w:b/>
              </w:rPr>
              <w:t xml:space="preserve"> </w:t>
            </w:r>
            <w:proofErr w:type="spellStart"/>
            <w:r w:rsidRPr="00AC6198">
              <w:rPr>
                <w:b/>
              </w:rPr>
              <w:t>C2</w:t>
            </w:r>
            <w:r w:rsidR="0064481D" w:rsidRPr="00AC6198">
              <w:rPr>
                <w:b/>
              </w:rPr>
              <w:t>4</w:t>
            </w:r>
            <w:proofErr w:type="spellEnd"/>
            <w:r w:rsidRPr="00AC6198">
              <w:rPr>
                <w:b/>
              </w:rPr>
              <w:t>/</w:t>
            </w:r>
            <w:r w:rsidR="00B455AC" w:rsidRPr="00AC6198">
              <w:rPr>
                <w:b/>
              </w:rPr>
              <w:t>103-S</w:t>
            </w:r>
          </w:p>
        </w:tc>
      </w:tr>
      <w:tr w:rsidR="00FE57F6" w:rsidRPr="00AC6198" w14:paraId="2F7BAD0F" w14:textId="77777777" w:rsidTr="00C538FC">
        <w:trPr>
          <w:cantSplit/>
        </w:trPr>
        <w:tc>
          <w:tcPr>
            <w:tcW w:w="3969" w:type="dxa"/>
            <w:vMerge/>
          </w:tcPr>
          <w:p w14:paraId="32D340BD" w14:textId="77777777" w:rsidR="00FE57F6" w:rsidRPr="00AC6198" w:rsidRDefault="00FE57F6" w:rsidP="00C538FC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6D67502D" w14:textId="7DD83358" w:rsidR="00FE57F6" w:rsidRPr="00AC6198" w:rsidRDefault="00B455AC" w:rsidP="00B455AC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 w:rsidRPr="00AC6198">
              <w:rPr>
                <w:b/>
              </w:rPr>
              <w:t>21 de mayo de</w:t>
            </w:r>
            <w:r w:rsidR="00FE57F6" w:rsidRPr="00AC6198">
              <w:rPr>
                <w:b/>
              </w:rPr>
              <w:t xml:space="preserve"> 202</w:t>
            </w:r>
            <w:r w:rsidR="0064481D" w:rsidRPr="00AC6198">
              <w:rPr>
                <w:b/>
              </w:rPr>
              <w:t>4</w:t>
            </w:r>
          </w:p>
        </w:tc>
      </w:tr>
      <w:tr w:rsidR="00FE57F6" w:rsidRPr="00AC6198" w14:paraId="14ED61B8" w14:textId="77777777" w:rsidTr="00C538FC">
        <w:trPr>
          <w:cantSplit/>
          <w:trHeight w:val="23"/>
        </w:trPr>
        <w:tc>
          <w:tcPr>
            <w:tcW w:w="3969" w:type="dxa"/>
            <w:vMerge/>
          </w:tcPr>
          <w:p w14:paraId="36AAE2B4" w14:textId="77777777" w:rsidR="00FE57F6" w:rsidRPr="00AC6198" w:rsidRDefault="00FE57F6" w:rsidP="00C538FC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54C7ED74" w14:textId="31F1AF0E" w:rsidR="00FE57F6" w:rsidRPr="00AC6198" w:rsidRDefault="00F24B71" w:rsidP="00C538FC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bCs/>
              </w:rPr>
            </w:pPr>
            <w:r w:rsidRPr="00AC6198">
              <w:rPr>
                <w:rFonts w:cstheme="minorHAnsi"/>
                <w:b/>
                <w:bCs/>
              </w:rPr>
              <w:t xml:space="preserve">Original: </w:t>
            </w:r>
            <w:r w:rsidR="00B455AC" w:rsidRPr="00AC6198">
              <w:rPr>
                <w:rFonts w:cstheme="minorHAnsi"/>
                <w:b/>
                <w:bCs/>
              </w:rPr>
              <w:t>árabe/</w:t>
            </w:r>
            <w:r w:rsidRPr="00AC6198">
              <w:rPr>
                <w:rFonts w:cstheme="minorHAnsi"/>
                <w:b/>
                <w:bCs/>
              </w:rPr>
              <w:t>inglés</w:t>
            </w:r>
          </w:p>
        </w:tc>
      </w:tr>
      <w:tr w:rsidR="00FE57F6" w:rsidRPr="00AC6198" w14:paraId="28C23F0D" w14:textId="77777777" w:rsidTr="00C538FC">
        <w:trPr>
          <w:cantSplit/>
          <w:trHeight w:val="23"/>
        </w:trPr>
        <w:tc>
          <w:tcPr>
            <w:tcW w:w="3969" w:type="dxa"/>
          </w:tcPr>
          <w:p w14:paraId="71CA9CDE" w14:textId="77777777" w:rsidR="00FE57F6" w:rsidRPr="00AC6198" w:rsidRDefault="00FE57F6" w:rsidP="00C538FC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04F0E65D" w14:textId="77777777" w:rsidR="00FE57F6" w:rsidRPr="00AC6198" w:rsidRDefault="00FE57F6" w:rsidP="00C538FC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  <w:tr w:rsidR="00FE57F6" w:rsidRPr="00AC6198" w14:paraId="0744CD5D" w14:textId="77777777" w:rsidTr="00C538FC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3EF99137" w14:textId="36A39873" w:rsidR="00FE57F6" w:rsidRPr="00C161FF" w:rsidRDefault="00B455AC" w:rsidP="00766522">
            <w:pPr>
              <w:pStyle w:val="Source"/>
              <w:ind w:right="-57"/>
              <w:jc w:val="left"/>
              <w:rPr>
                <w:spacing w:val="-2"/>
                <w:sz w:val="34"/>
                <w:szCs w:val="34"/>
              </w:rPr>
            </w:pPr>
            <w:r w:rsidRPr="00C161FF">
              <w:rPr>
                <w:rFonts w:cstheme="minorHAnsi"/>
                <w:spacing w:val="-2"/>
                <w:sz w:val="34"/>
                <w:szCs w:val="34"/>
              </w:rPr>
              <w:t xml:space="preserve">Contribución de Arabia Saudita (Reino de), y Argelia (República Argelina Democrática y Popular), </w:t>
            </w:r>
            <w:proofErr w:type="spellStart"/>
            <w:r w:rsidRPr="00C161FF">
              <w:rPr>
                <w:rFonts w:cstheme="minorHAnsi"/>
                <w:spacing w:val="-2"/>
                <w:sz w:val="34"/>
                <w:szCs w:val="34"/>
              </w:rPr>
              <w:t>Bahrein</w:t>
            </w:r>
            <w:proofErr w:type="spellEnd"/>
            <w:r w:rsidRPr="00C161FF">
              <w:rPr>
                <w:rFonts w:cstheme="minorHAnsi"/>
                <w:spacing w:val="-2"/>
                <w:sz w:val="34"/>
                <w:szCs w:val="34"/>
              </w:rPr>
              <w:t xml:space="preserve"> (Reino de), </w:t>
            </w:r>
            <w:r w:rsidR="00F146D4" w:rsidRPr="00F146D4">
              <w:rPr>
                <w:rFonts w:cstheme="minorHAnsi"/>
                <w:spacing w:val="-2"/>
                <w:sz w:val="34"/>
                <w:szCs w:val="34"/>
              </w:rPr>
              <w:t>Bangladesh (República Popular de)</w:t>
            </w:r>
            <w:r w:rsidR="00F146D4">
              <w:rPr>
                <w:rFonts w:cstheme="minorHAnsi"/>
                <w:spacing w:val="-2"/>
                <w:sz w:val="34"/>
                <w:szCs w:val="34"/>
              </w:rPr>
              <w:t xml:space="preserve">, </w:t>
            </w:r>
            <w:r w:rsidR="0038264A" w:rsidRPr="0038264A">
              <w:rPr>
                <w:rFonts w:cstheme="minorHAnsi"/>
                <w:spacing w:val="-2"/>
                <w:sz w:val="34"/>
                <w:szCs w:val="34"/>
              </w:rPr>
              <w:t>China (República Popular de)</w:t>
            </w:r>
            <w:r w:rsidR="0038264A">
              <w:rPr>
                <w:rFonts w:cstheme="minorHAnsi"/>
                <w:spacing w:val="-2"/>
                <w:sz w:val="34"/>
                <w:szCs w:val="34"/>
              </w:rPr>
              <w:t>,</w:t>
            </w:r>
            <w:r w:rsidR="0038264A" w:rsidRPr="0038264A">
              <w:rPr>
                <w:rFonts w:cstheme="minorHAnsi"/>
                <w:spacing w:val="-2"/>
                <w:sz w:val="34"/>
                <w:szCs w:val="34"/>
              </w:rPr>
              <w:t xml:space="preserve"> </w:t>
            </w:r>
            <w:r w:rsidR="00CD73FE" w:rsidRPr="00CD73FE">
              <w:rPr>
                <w:rFonts w:cstheme="minorHAnsi"/>
                <w:spacing w:val="-2"/>
                <w:sz w:val="34"/>
                <w:szCs w:val="34"/>
              </w:rPr>
              <w:t>Colombia (República de)</w:t>
            </w:r>
            <w:r w:rsidR="00CD73FE">
              <w:rPr>
                <w:rFonts w:cstheme="minorHAnsi"/>
                <w:spacing w:val="-2"/>
                <w:sz w:val="34"/>
                <w:szCs w:val="34"/>
              </w:rPr>
              <w:t xml:space="preserve">, </w:t>
            </w:r>
            <w:r w:rsidRPr="00C161FF">
              <w:rPr>
                <w:rFonts w:cstheme="minorHAnsi"/>
                <w:spacing w:val="-2"/>
                <w:sz w:val="34"/>
                <w:szCs w:val="34"/>
              </w:rPr>
              <w:t xml:space="preserve">Comoras (Unión de las), Cuba, </w:t>
            </w:r>
            <w:proofErr w:type="spellStart"/>
            <w:r w:rsidRPr="00C161FF">
              <w:rPr>
                <w:rFonts w:cstheme="minorHAnsi"/>
                <w:spacing w:val="-2"/>
                <w:sz w:val="34"/>
                <w:szCs w:val="34"/>
              </w:rPr>
              <w:t>Djibouti</w:t>
            </w:r>
            <w:proofErr w:type="spellEnd"/>
            <w:r w:rsidRPr="00C161FF">
              <w:rPr>
                <w:rFonts w:cstheme="minorHAnsi"/>
                <w:spacing w:val="-2"/>
                <w:sz w:val="34"/>
                <w:szCs w:val="34"/>
              </w:rPr>
              <w:t xml:space="preserve"> (República de), Egipto (República Árabe de), Emiratos Árabes Unidos, Estado de Palestina</w:t>
            </w:r>
            <w:r w:rsidRPr="00C161FF">
              <w:rPr>
                <w:rStyle w:val="FootnoteReference"/>
                <w:rFonts w:cstheme="minorHAnsi"/>
                <w:bCs/>
                <w:spacing w:val="-2"/>
                <w:szCs w:val="34"/>
              </w:rPr>
              <w:footnoteReference w:customMarkFollows="1" w:id="1"/>
              <w:sym w:font="Symbol" w:char="F02A"/>
            </w:r>
            <w:r w:rsidRPr="00C161FF">
              <w:rPr>
                <w:rFonts w:cstheme="minorHAnsi"/>
                <w:bCs/>
                <w:spacing w:val="-2"/>
                <w:sz w:val="34"/>
                <w:szCs w:val="34"/>
              </w:rPr>
              <w:t xml:space="preserve">, </w:t>
            </w:r>
            <w:r w:rsidR="00A536E7" w:rsidRPr="00A536E7">
              <w:rPr>
                <w:rFonts w:cstheme="minorHAnsi"/>
                <w:bCs/>
                <w:spacing w:val="-2"/>
                <w:sz w:val="34"/>
                <w:szCs w:val="34"/>
              </w:rPr>
              <w:t>Indonesia (República de)</w:t>
            </w:r>
            <w:r w:rsidR="00A536E7">
              <w:rPr>
                <w:rFonts w:cstheme="minorHAnsi"/>
                <w:bCs/>
                <w:spacing w:val="-2"/>
                <w:sz w:val="34"/>
                <w:szCs w:val="34"/>
              </w:rPr>
              <w:t xml:space="preserve">, </w:t>
            </w:r>
            <w:r w:rsidRPr="00C161FF">
              <w:rPr>
                <w:rFonts w:cstheme="minorHAnsi"/>
                <w:spacing w:val="-2"/>
                <w:sz w:val="34"/>
                <w:szCs w:val="34"/>
              </w:rPr>
              <w:t xml:space="preserve">Iraq (República del), Jordania (Reino Hachemita de), Kuwait (Estado de), Líbano, Libia (Estado de la), </w:t>
            </w:r>
            <w:r w:rsidR="00EC7793" w:rsidRPr="00EC7793">
              <w:rPr>
                <w:rFonts w:cstheme="minorHAnsi"/>
                <w:spacing w:val="-2"/>
                <w:sz w:val="34"/>
                <w:szCs w:val="34"/>
              </w:rPr>
              <w:t>Malasia</w:t>
            </w:r>
            <w:r w:rsidR="00EC7793">
              <w:rPr>
                <w:rFonts w:cstheme="minorHAnsi"/>
                <w:spacing w:val="-2"/>
                <w:sz w:val="34"/>
                <w:szCs w:val="34"/>
              </w:rPr>
              <w:t xml:space="preserve">, </w:t>
            </w:r>
            <w:r w:rsidRPr="00C161FF">
              <w:rPr>
                <w:rFonts w:cstheme="minorHAnsi"/>
                <w:spacing w:val="-2"/>
                <w:sz w:val="34"/>
                <w:szCs w:val="34"/>
              </w:rPr>
              <w:t xml:space="preserve">Marruecos (Reino de), </w:t>
            </w:r>
            <w:r w:rsidRPr="00C161FF">
              <w:rPr>
                <w:rFonts w:cstheme="minorHAnsi"/>
                <w:spacing w:val="-3"/>
                <w:sz w:val="34"/>
                <w:szCs w:val="34"/>
              </w:rPr>
              <w:t>Mauritania (República Islámica de),</w:t>
            </w:r>
            <w:r w:rsidR="002C575D">
              <w:t xml:space="preserve"> </w:t>
            </w:r>
            <w:r w:rsidR="002C575D" w:rsidRPr="002C575D">
              <w:rPr>
                <w:rFonts w:cstheme="minorHAnsi"/>
                <w:spacing w:val="-3"/>
                <w:sz w:val="34"/>
                <w:szCs w:val="34"/>
              </w:rPr>
              <w:t>Nicaragua</w:t>
            </w:r>
            <w:r w:rsidR="002C575D">
              <w:rPr>
                <w:rFonts w:cstheme="minorHAnsi"/>
                <w:spacing w:val="-3"/>
                <w:sz w:val="34"/>
                <w:szCs w:val="34"/>
              </w:rPr>
              <w:t>,</w:t>
            </w:r>
            <w:r w:rsidRPr="00C161FF">
              <w:rPr>
                <w:rFonts w:cstheme="minorHAnsi"/>
                <w:spacing w:val="-3"/>
                <w:sz w:val="34"/>
                <w:szCs w:val="34"/>
              </w:rPr>
              <w:t xml:space="preserve"> </w:t>
            </w:r>
            <w:r w:rsidR="00C71D98" w:rsidRPr="00C161FF">
              <w:rPr>
                <w:rFonts w:cstheme="minorHAnsi"/>
                <w:spacing w:val="-3"/>
                <w:sz w:val="34"/>
                <w:szCs w:val="34"/>
              </w:rPr>
              <w:t>Nigeria</w:t>
            </w:r>
            <w:r w:rsidR="00C71D98" w:rsidRPr="00C161FF">
              <w:rPr>
                <w:rFonts w:cstheme="minorHAnsi"/>
                <w:spacing w:val="-3"/>
                <w:szCs w:val="28"/>
              </w:rPr>
              <w:t xml:space="preserve"> </w:t>
            </w:r>
            <w:r w:rsidR="00C71D98" w:rsidRPr="00C161FF">
              <w:rPr>
                <w:rFonts w:cstheme="minorHAnsi"/>
                <w:spacing w:val="-3"/>
                <w:sz w:val="34"/>
                <w:szCs w:val="34"/>
              </w:rPr>
              <w:t>(República</w:t>
            </w:r>
            <w:r w:rsidR="00C71D98" w:rsidRPr="00C161FF">
              <w:rPr>
                <w:rFonts w:cstheme="minorHAnsi"/>
                <w:spacing w:val="-3"/>
                <w:szCs w:val="28"/>
              </w:rPr>
              <w:t xml:space="preserve"> </w:t>
            </w:r>
            <w:r w:rsidR="00C71D98" w:rsidRPr="00C161FF">
              <w:rPr>
                <w:rFonts w:cstheme="minorHAnsi"/>
                <w:spacing w:val="-3"/>
                <w:sz w:val="34"/>
                <w:szCs w:val="34"/>
              </w:rPr>
              <w:t>Federal</w:t>
            </w:r>
            <w:r w:rsidR="00C71D98" w:rsidRPr="00C161FF">
              <w:rPr>
                <w:rFonts w:cstheme="minorHAnsi"/>
                <w:spacing w:val="-3"/>
                <w:szCs w:val="28"/>
              </w:rPr>
              <w:t xml:space="preserve"> </w:t>
            </w:r>
            <w:r w:rsidR="00C71D98" w:rsidRPr="00C161FF">
              <w:rPr>
                <w:rFonts w:cstheme="minorHAnsi"/>
                <w:spacing w:val="-3"/>
                <w:sz w:val="34"/>
                <w:szCs w:val="34"/>
              </w:rPr>
              <w:t>de)</w:t>
            </w:r>
            <w:r w:rsidR="00C71D98" w:rsidRPr="00C161FF">
              <w:rPr>
                <w:rFonts w:cstheme="minorHAnsi"/>
                <w:spacing w:val="-2"/>
                <w:sz w:val="34"/>
                <w:szCs w:val="34"/>
              </w:rPr>
              <w:t>,</w:t>
            </w:r>
            <w:r w:rsidR="00F146D4">
              <w:rPr>
                <w:rFonts w:cstheme="minorHAnsi"/>
                <w:spacing w:val="-2"/>
                <w:sz w:val="34"/>
                <w:szCs w:val="34"/>
              </w:rPr>
              <w:t xml:space="preserve"> </w:t>
            </w:r>
            <w:r w:rsidRPr="00C161FF">
              <w:rPr>
                <w:rFonts w:cstheme="minorHAnsi"/>
                <w:spacing w:val="-2"/>
                <w:sz w:val="34"/>
                <w:szCs w:val="34"/>
              </w:rPr>
              <w:t xml:space="preserve">Omán (Sultanía de), </w:t>
            </w:r>
            <w:r w:rsidR="00A536E7" w:rsidRPr="00A536E7">
              <w:rPr>
                <w:rFonts w:cstheme="minorHAnsi"/>
                <w:spacing w:val="-2"/>
                <w:sz w:val="34"/>
                <w:szCs w:val="34"/>
              </w:rPr>
              <w:t>Pakistán (República Islámica del)</w:t>
            </w:r>
            <w:r w:rsidR="00A536E7">
              <w:rPr>
                <w:rFonts w:cstheme="minorHAnsi"/>
                <w:spacing w:val="-2"/>
                <w:sz w:val="34"/>
                <w:szCs w:val="34"/>
              </w:rPr>
              <w:t xml:space="preserve">, </w:t>
            </w:r>
            <w:r w:rsidRPr="00C161FF">
              <w:rPr>
                <w:rFonts w:cstheme="minorHAnsi"/>
                <w:spacing w:val="-2"/>
                <w:sz w:val="34"/>
                <w:szCs w:val="34"/>
              </w:rPr>
              <w:t xml:space="preserve">Qatar (Estado de), República Árabe Siria, </w:t>
            </w:r>
            <w:r w:rsidR="00F146D4" w:rsidRPr="00F146D4">
              <w:rPr>
                <w:rFonts w:cstheme="minorHAnsi"/>
                <w:spacing w:val="-2"/>
                <w:sz w:val="34"/>
                <w:szCs w:val="34"/>
              </w:rPr>
              <w:t xml:space="preserve">República de </w:t>
            </w:r>
            <w:proofErr w:type="spellStart"/>
            <w:r w:rsidR="00F146D4" w:rsidRPr="00F146D4">
              <w:rPr>
                <w:rFonts w:cstheme="minorHAnsi"/>
                <w:spacing w:val="-2"/>
                <w:sz w:val="34"/>
                <w:szCs w:val="34"/>
              </w:rPr>
              <w:t>Türkiye</w:t>
            </w:r>
            <w:proofErr w:type="spellEnd"/>
            <w:r w:rsidR="00F146D4">
              <w:rPr>
                <w:rFonts w:cstheme="minorHAnsi"/>
                <w:spacing w:val="-2"/>
                <w:sz w:val="34"/>
                <w:szCs w:val="34"/>
              </w:rPr>
              <w:t xml:space="preserve">, </w:t>
            </w:r>
            <w:r w:rsidRPr="00C161FF">
              <w:rPr>
                <w:rFonts w:cstheme="minorHAnsi"/>
                <w:spacing w:val="-2"/>
                <w:sz w:val="34"/>
                <w:szCs w:val="34"/>
              </w:rPr>
              <w:t>Somalia (República Federal de), Sudán (República del), Sudafricana (República), Túnez,</w:t>
            </w:r>
            <w:r w:rsidR="002C575D">
              <w:t xml:space="preserve"> </w:t>
            </w:r>
            <w:r w:rsidR="002C575D" w:rsidRPr="002C575D">
              <w:rPr>
                <w:rFonts w:cstheme="minorHAnsi"/>
                <w:spacing w:val="-2"/>
                <w:sz w:val="34"/>
                <w:szCs w:val="34"/>
              </w:rPr>
              <w:t>Venezuela (República Bolivariana de)</w:t>
            </w:r>
            <w:r w:rsidRPr="00C161FF">
              <w:rPr>
                <w:rFonts w:cstheme="minorHAnsi"/>
                <w:spacing w:val="-2"/>
                <w:sz w:val="34"/>
                <w:szCs w:val="34"/>
              </w:rPr>
              <w:t xml:space="preserve"> y Yemen (República de)</w:t>
            </w:r>
          </w:p>
        </w:tc>
      </w:tr>
      <w:tr w:rsidR="00FE57F6" w:rsidRPr="00AC6198" w14:paraId="5E2B474A" w14:textId="77777777" w:rsidTr="00C538FC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75872F37" w14:textId="35AFECE9" w:rsidR="00FE57F6" w:rsidRPr="00AC6198" w:rsidRDefault="00B455AC" w:rsidP="00C538FC">
            <w:pPr>
              <w:pStyle w:val="Subtitle"/>
              <w:framePr w:hSpace="0" w:wrap="auto" w:hAnchor="text" w:xAlign="left" w:yAlign="inline"/>
              <w:rPr>
                <w:lang w:val="es-ES_tradnl"/>
              </w:rPr>
            </w:pPr>
            <w:r w:rsidRPr="00AC6198">
              <w:rPr>
                <w:lang w:val="es-ES_tradnl"/>
              </w:rPr>
              <w:t>PROYECTO DE NUEVA RESOLUCIÓN DEL CONSEJO SOBRE ASISTENCIA Y AYUDA A PALESTINA PARA LA RECONSTRUCCIÓN DE SU SECTOR DE TELECOMUNICACIONES</w:t>
            </w:r>
          </w:p>
        </w:tc>
      </w:tr>
      <w:tr w:rsidR="00FE57F6" w:rsidRPr="00AC6198" w14:paraId="4DC483B4" w14:textId="77777777" w:rsidTr="00766522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</w:tcBorders>
            <w:tcMar>
              <w:left w:w="0" w:type="dxa"/>
            </w:tcMar>
          </w:tcPr>
          <w:p w14:paraId="3D5ADAE4" w14:textId="7F1410ED" w:rsidR="00FE57F6" w:rsidRPr="00AC6198" w:rsidRDefault="00B455AC" w:rsidP="00C538FC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AC6198">
              <w:rPr>
                <w:b/>
                <w:bCs/>
                <w:sz w:val="26"/>
                <w:szCs w:val="26"/>
              </w:rPr>
              <w:t>Finalidad</w:t>
            </w:r>
          </w:p>
          <w:p w14:paraId="618C4414" w14:textId="32CEBD6F" w:rsidR="00FE57F6" w:rsidRPr="00AC6198" w:rsidRDefault="00B455AC" w:rsidP="00C538FC">
            <w:r w:rsidRPr="00AC6198">
              <w:t>Este es un proyecto Resolución para el Consejo de la Unión Internacional de Comunicaciones, a fin de que la UIT siga prestando a Palestina la asistencia y el apoyo que tanto necesita para la reconstrucción de su sector de telecomunicaciones.</w:t>
            </w:r>
          </w:p>
          <w:p w14:paraId="5D1C98A4" w14:textId="77777777" w:rsidR="00FE57F6" w:rsidRPr="00AC6198" w:rsidRDefault="00F24B71" w:rsidP="00C538FC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AC6198">
              <w:rPr>
                <w:b/>
                <w:bCs/>
                <w:sz w:val="26"/>
                <w:szCs w:val="26"/>
              </w:rPr>
              <w:t xml:space="preserve">Acción solicitada </w:t>
            </w:r>
            <w:r w:rsidR="00677A97" w:rsidRPr="00AC6198">
              <w:rPr>
                <w:b/>
                <w:bCs/>
                <w:sz w:val="26"/>
                <w:szCs w:val="26"/>
              </w:rPr>
              <w:t>al</w:t>
            </w:r>
            <w:r w:rsidRPr="00AC6198">
              <w:rPr>
                <w:b/>
                <w:bCs/>
                <w:sz w:val="26"/>
                <w:szCs w:val="26"/>
              </w:rPr>
              <w:t xml:space="preserve"> Consejo</w:t>
            </w:r>
          </w:p>
          <w:p w14:paraId="58339413" w14:textId="294D4D4D" w:rsidR="00FE57F6" w:rsidRPr="00766522" w:rsidRDefault="00B455AC" w:rsidP="00766522">
            <w:pPr>
              <w:spacing w:after="240"/>
            </w:pPr>
            <w:r w:rsidRPr="00AC6198">
              <w:t xml:space="preserve">Se invita al Consejo a </w:t>
            </w:r>
            <w:r w:rsidRPr="00AC6198">
              <w:rPr>
                <w:b/>
                <w:bCs/>
              </w:rPr>
              <w:t xml:space="preserve">considerar </w:t>
            </w:r>
            <w:r w:rsidRPr="00AC6198">
              <w:t xml:space="preserve">y </w:t>
            </w:r>
            <w:r w:rsidRPr="00AC6198">
              <w:rPr>
                <w:b/>
                <w:bCs/>
              </w:rPr>
              <w:t xml:space="preserve">adoptar </w:t>
            </w:r>
            <w:r w:rsidRPr="00AC6198">
              <w:t>el proyecto de nueva Resolución.</w:t>
            </w:r>
          </w:p>
        </w:tc>
      </w:tr>
      <w:tr w:rsidR="00766522" w:rsidRPr="00AC6198" w14:paraId="4DDC7FAD" w14:textId="77777777" w:rsidTr="00766522">
        <w:trPr>
          <w:cantSplit/>
        </w:trPr>
        <w:tc>
          <w:tcPr>
            <w:tcW w:w="9214" w:type="dxa"/>
            <w:gridSpan w:val="2"/>
            <w:tcBorders>
              <w:bottom w:val="single" w:sz="4" w:space="0" w:color="auto"/>
            </w:tcBorders>
            <w:tcMar>
              <w:left w:w="0" w:type="dxa"/>
            </w:tcMar>
          </w:tcPr>
          <w:p w14:paraId="33313A8B" w14:textId="77777777" w:rsidR="00766522" w:rsidRPr="00AC6198" w:rsidRDefault="00766522" w:rsidP="00766522">
            <w:pPr>
              <w:keepNext/>
              <w:keepLines/>
              <w:spacing w:before="160"/>
              <w:rPr>
                <w:caps/>
                <w:sz w:val="22"/>
              </w:rPr>
            </w:pPr>
            <w:r w:rsidRPr="00AC6198">
              <w:rPr>
                <w:sz w:val="22"/>
              </w:rPr>
              <w:lastRenderedPageBreak/>
              <w:t>__________________</w:t>
            </w:r>
          </w:p>
          <w:p w14:paraId="029FC24A" w14:textId="77777777" w:rsidR="00766522" w:rsidRPr="00AC6198" w:rsidRDefault="00766522" w:rsidP="00766522">
            <w:pPr>
              <w:keepNext/>
              <w:keepLines/>
              <w:rPr>
                <w:b/>
                <w:bCs/>
                <w:sz w:val="26"/>
                <w:szCs w:val="26"/>
              </w:rPr>
            </w:pPr>
            <w:r w:rsidRPr="00AC6198">
              <w:rPr>
                <w:b/>
                <w:bCs/>
                <w:sz w:val="26"/>
                <w:szCs w:val="26"/>
              </w:rPr>
              <w:t>Referencias</w:t>
            </w:r>
          </w:p>
          <w:p w14:paraId="076BCE78" w14:textId="45ED318D" w:rsidR="00766522" w:rsidRPr="00AC6198" w:rsidRDefault="00766522" w:rsidP="00766522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3F463C">
              <w:rPr>
                <w:i/>
                <w:iCs/>
                <w:sz w:val="22"/>
                <w:szCs w:val="22"/>
              </w:rPr>
              <w:t>Resolución de la Asamblea General de las Naciones Unidas</w:t>
            </w:r>
            <w:r w:rsidRPr="003F463C">
              <w:rPr>
                <w:i/>
                <w:iCs/>
                <w:sz w:val="22"/>
                <w:szCs w:val="22"/>
                <w:rtl/>
              </w:rPr>
              <w:t xml:space="preserve"> </w:t>
            </w:r>
            <w:hyperlink r:id="rId8" w:history="1">
              <w:r w:rsidRPr="003F463C">
                <w:rPr>
                  <w:rStyle w:val="Hyperlink"/>
                  <w:i/>
                  <w:iCs/>
                  <w:sz w:val="22"/>
                  <w:szCs w:val="22"/>
                </w:rPr>
                <w:t>A/RES/78/170</w:t>
              </w:r>
            </w:hyperlink>
            <w:r w:rsidRPr="003F463C">
              <w:rPr>
                <w:iCs/>
                <w:sz w:val="22"/>
                <w:szCs w:val="22"/>
              </w:rPr>
              <w:t xml:space="preserve">, </w:t>
            </w:r>
            <w:r w:rsidRPr="003F463C">
              <w:rPr>
                <w:i/>
                <w:iCs/>
                <w:sz w:val="22"/>
                <w:szCs w:val="22"/>
              </w:rPr>
              <w:br/>
            </w:r>
            <w:bookmarkStart w:id="1" w:name="lt_pId016"/>
            <w:r w:rsidRPr="003F463C">
              <w:rPr>
                <w:i/>
                <w:iCs/>
                <w:sz w:val="22"/>
                <w:szCs w:val="22"/>
              </w:rPr>
              <w:t xml:space="preserve">Resolución de la Organización de las Naciones Unidas para la Educación, la Ciencia y la Cultura </w:t>
            </w:r>
            <w:hyperlink r:id="rId9" w:history="1">
              <w:r w:rsidRPr="003F463C">
                <w:rPr>
                  <w:rStyle w:val="Hyperlink"/>
                  <w:i/>
                  <w:iCs/>
                  <w:sz w:val="22"/>
                  <w:szCs w:val="22"/>
                </w:rPr>
                <w:t>42 C/</w:t>
              </w:r>
              <w:proofErr w:type="spellStart"/>
              <w:r w:rsidRPr="003F463C">
                <w:rPr>
                  <w:rStyle w:val="Hyperlink"/>
                  <w:i/>
                  <w:iCs/>
                  <w:sz w:val="22"/>
                  <w:szCs w:val="22"/>
                </w:rPr>
                <w:t>COM.APX</w:t>
              </w:r>
              <w:proofErr w:type="spellEnd"/>
              <w:r w:rsidRPr="003F463C">
                <w:rPr>
                  <w:rStyle w:val="Hyperlink"/>
                  <w:i/>
                  <w:iCs/>
                  <w:sz w:val="22"/>
                  <w:szCs w:val="22"/>
                </w:rPr>
                <w:t>/</w:t>
              </w:r>
              <w:proofErr w:type="spellStart"/>
              <w:r w:rsidRPr="003F463C">
                <w:rPr>
                  <w:rStyle w:val="Hyperlink"/>
                  <w:i/>
                  <w:iCs/>
                  <w:sz w:val="22"/>
                  <w:szCs w:val="22"/>
                </w:rPr>
                <w:t>DR.2</w:t>
              </w:r>
              <w:bookmarkEnd w:id="1"/>
              <w:proofErr w:type="spellEnd"/>
            </w:hyperlink>
          </w:p>
        </w:tc>
      </w:tr>
      <w:bookmarkEnd w:id="0"/>
    </w:tbl>
    <w:p w14:paraId="06FD7253" w14:textId="77777777" w:rsidR="00093EEB" w:rsidRPr="00A84DB1" w:rsidRDefault="00093EEB" w:rsidP="00A84DB1">
      <w:pPr>
        <w:spacing w:before="0"/>
        <w:rPr>
          <w:sz w:val="10"/>
          <w:szCs w:val="10"/>
        </w:rPr>
      </w:pPr>
    </w:p>
    <w:p w14:paraId="2E6E7492" w14:textId="77777777" w:rsidR="001E0255" w:rsidRDefault="001E0255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caps/>
          <w:sz w:val="28"/>
        </w:rPr>
      </w:pPr>
      <w:bookmarkStart w:id="2" w:name="lt_pId019"/>
      <w:r>
        <w:br w:type="page"/>
      </w:r>
    </w:p>
    <w:p w14:paraId="1965D082" w14:textId="38BC64A9" w:rsidR="00B455AC" w:rsidRPr="00AC6198" w:rsidRDefault="00B455AC" w:rsidP="00504C86">
      <w:pPr>
        <w:pStyle w:val="ResNo"/>
      </w:pPr>
      <w:r w:rsidRPr="007F36CD">
        <w:lastRenderedPageBreak/>
        <w:t>PROYECTO DE NUEVA RESOLUCIÓN […]</w:t>
      </w:r>
      <w:bookmarkEnd w:id="2"/>
    </w:p>
    <w:p w14:paraId="71FCC6F1" w14:textId="7990A378" w:rsidR="00B455AC" w:rsidRPr="00AC6198" w:rsidRDefault="00B455AC" w:rsidP="00504C86">
      <w:pPr>
        <w:pStyle w:val="Restitle"/>
      </w:pPr>
      <w:r w:rsidRPr="007F36CD">
        <w:t xml:space="preserve">Asistencia y ayuda a Palestina para la reconstrucción </w:t>
      </w:r>
      <w:r w:rsidRPr="007F36CD">
        <w:br/>
        <w:t>de su sector de telecomunicaciones</w:t>
      </w:r>
    </w:p>
    <w:p w14:paraId="096902D7" w14:textId="77777777" w:rsidR="00B455AC" w:rsidRPr="00AC6198" w:rsidRDefault="00B455AC" w:rsidP="00EB352C">
      <w:pPr>
        <w:pStyle w:val="Normalaftertitle"/>
      </w:pPr>
      <w:bookmarkStart w:id="3" w:name="lt_pId022"/>
      <w:r w:rsidRPr="00AC6198">
        <w:t>El Consejo de la UIT,</w:t>
      </w:r>
      <w:bookmarkEnd w:id="3"/>
    </w:p>
    <w:p w14:paraId="1C9EAC2D" w14:textId="77777777" w:rsidR="00B455AC" w:rsidRPr="00AC6198" w:rsidRDefault="00B455AC" w:rsidP="00EB352C">
      <w:pPr>
        <w:pStyle w:val="Call"/>
      </w:pPr>
      <w:bookmarkStart w:id="4" w:name="lt_pId023"/>
      <w:r w:rsidRPr="00AC6198">
        <w:t>rec</w:t>
      </w:r>
      <w:bookmarkEnd w:id="4"/>
      <w:r w:rsidRPr="00AC6198">
        <w:t>ordando</w:t>
      </w:r>
    </w:p>
    <w:p w14:paraId="0E400B6C" w14:textId="6C2BE1E8" w:rsidR="00B455AC" w:rsidRPr="00AC6198" w:rsidRDefault="00EB352C" w:rsidP="00522775">
      <w:bookmarkStart w:id="5" w:name="lt_pId024"/>
      <w:r w:rsidRPr="00AC6198">
        <w:rPr>
          <w:i/>
        </w:rPr>
        <w:t>a)</w:t>
      </w:r>
      <w:r w:rsidRPr="00AC6198">
        <w:tab/>
      </w:r>
      <w:r w:rsidR="00167E6D">
        <w:t>l</w:t>
      </w:r>
      <w:r w:rsidR="00B455AC" w:rsidRPr="00AC6198">
        <w:t>os nobles principios, fines y objetivos consignados en la Carta de las Naciones Unidas y en la Declaración Universal de Derechos Humanos;</w:t>
      </w:r>
      <w:bookmarkEnd w:id="5"/>
    </w:p>
    <w:p w14:paraId="4A02F63D" w14:textId="5FBF6750" w:rsidR="00B455AC" w:rsidRPr="00AC6198" w:rsidRDefault="00EB352C" w:rsidP="00522775">
      <w:r w:rsidRPr="00AC6198">
        <w:rPr>
          <w:i/>
        </w:rPr>
        <w:t>b)</w:t>
      </w:r>
      <w:r w:rsidRPr="00AC6198">
        <w:rPr>
          <w:i/>
        </w:rPr>
        <w:tab/>
      </w:r>
      <w:r w:rsidR="00B455AC" w:rsidRPr="00AC6198">
        <w:t>así como en la Declaración de Principios de la Cumbre Mundial sobre</w:t>
      </w:r>
      <w:r w:rsidR="008C6770" w:rsidRPr="00AC6198">
        <w:t xml:space="preserve"> la Sociedad de la Información;</w:t>
      </w:r>
    </w:p>
    <w:p w14:paraId="6EAD715A" w14:textId="7618A423" w:rsidR="00B455AC" w:rsidRPr="00AC6198" w:rsidRDefault="00EB352C" w:rsidP="00522775">
      <w:bookmarkStart w:id="6" w:name="lt_pId026"/>
      <w:r w:rsidRPr="00AC6198">
        <w:rPr>
          <w:i/>
        </w:rPr>
        <w:t>c)</w:t>
      </w:r>
      <w:r w:rsidRPr="00AC6198">
        <w:rPr>
          <w:i/>
        </w:rPr>
        <w:tab/>
      </w:r>
      <w:r w:rsidR="00B455AC" w:rsidRPr="00AC6198">
        <w:t>los esfuerzos realizados por las Naciones Unidas para promover un desarrollo sostenible;</w:t>
      </w:r>
      <w:bookmarkEnd w:id="6"/>
    </w:p>
    <w:p w14:paraId="0EE278D1" w14:textId="04F3EFFF" w:rsidR="00B455AC" w:rsidRPr="00AC6198" w:rsidRDefault="00EB352C" w:rsidP="00522775">
      <w:r w:rsidRPr="00AC6198">
        <w:rPr>
          <w:i/>
        </w:rPr>
        <w:t>d)</w:t>
      </w:r>
      <w:r w:rsidRPr="00AC6198">
        <w:rPr>
          <w:i/>
        </w:rPr>
        <w:tab/>
      </w:r>
      <w:r w:rsidR="00B455AC" w:rsidRPr="00AC6198">
        <w:t xml:space="preserve">los propósitos de la Unión enunciados en el Artículo </w:t>
      </w:r>
      <w:r w:rsidR="008C6770" w:rsidRPr="00AC6198">
        <w:t>1 de la Constitución de la UIT;</w:t>
      </w:r>
    </w:p>
    <w:p w14:paraId="2141ABCA" w14:textId="4552404D" w:rsidR="00B455AC" w:rsidRPr="00AC6198" w:rsidRDefault="00EB352C" w:rsidP="00522775">
      <w:r w:rsidRPr="00AC6198">
        <w:rPr>
          <w:i/>
        </w:rPr>
        <w:t>e)</w:t>
      </w:r>
      <w:r w:rsidRPr="00AC6198">
        <w:rPr>
          <w:i/>
        </w:rPr>
        <w:tab/>
      </w:r>
      <w:r w:rsidR="00B455AC" w:rsidRPr="00AC6198">
        <w:t>los esfuerzos realizados por la UIT, por no dejar a nadie atrás, para conectar a los desconectados, y para lograr el desarro</w:t>
      </w:r>
      <w:r w:rsidR="008C6770" w:rsidRPr="00AC6198">
        <w:t>llo sostenible y sus objetivos;</w:t>
      </w:r>
    </w:p>
    <w:p w14:paraId="6F683142" w14:textId="38A9B2BE" w:rsidR="00B455AC" w:rsidRPr="00AC6198" w:rsidRDefault="00EB352C" w:rsidP="00522775">
      <w:r w:rsidRPr="00AC6198">
        <w:rPr>
          <w:i/>
        </w:rPr>
        <w:t>f)</w:t>
      </w:r>
      <w:r w:rsidRPr="00AC6198">
        <w:rPr>
          <w:i/>
        </w:rPr>
        <w:tab/>
      </w:r>
      <w:r w:rsidR="00B455AC" w:rsidRPr="00AC6198">
        <w:t xml:space="preserve">que en los números 6 y 7 del Artículo 1 de la Constitución de la UIT se estipula que se deberá </w:t>
      </w:r>
      <w:r w:rsidR="00A768EA" w:rsidRPr="00AC6198">
        <w:t>"</w:t>
      </w:r>
      <w:r w:rsidR="00B455AC" w:rsidRPr="00AC6198">
        <w:rPr>
          <w:i/>
          <w:iCs/>
        </w:rPr>
        <w:t>promover la extensión de los beneficios de las nuevas tecnologías de telecomunicaciones a todos los habitantes del Planeta</w:t>
      </w:r>
      <w:r w:rsidR="00A768EA" w:rsidRPr="00AC6198">
        <w:t>"</w:t>
      </w:r>
      <w:r w:rsidR="00B455AC" w:rsidRPr="00AC6198">
        <w:t xml:space="preserve"> y </w:t>
      </w:r>
      <w:r w:rsidR="00A768EA" w:rsidRPr="00AC6198">
        <w:t>"</w:t>
      </w:r>
      <w:r w:rsidR="00B455AC" w:rsidRPr="00AC6198">
        <w:rPr>
          <w:i/>
          <w:iCs/>
        </w:rPr>
        <w:t>promover la utilización de los servicios de telecomunicaciones con el fin de facilitar las relaciones pacíficas</w:t>
      </w:r>
      <w:r w:rsidR="00A768EA" w:rsidRPr="00AC6198">
        <w:t>"</w:t>
      </w:r>
      <w:r w:rsidR="008C6770" w:rsidRPr="00AC6198">
        <w:t>,</w:t>
      </w:r>
    </w:p>
    <w:p w14:paraId="0B3698C1" w14:textId="59F1C0D8" w:rsidR="00B455AC" w:rsidRPr="00AC6198" w:rsidRDefault="00B455AC" w:rsidP="00504C86">
      <w:pPr>
        <w:pStyle w:val="Call"/>
      </w:pPr>
      <w:bookmarkStart w:id="7" w:name="lt_pId030"/>
      <w:proofErr w:type="gramStart"/>
      <w:r w:rsidRPr="00AC6198">
        <w:t>rec</w:t>
      </w:r>
      <w:bookmarkEnd w:id="7"/>
      <w:r w:rsidRPr="00AC6198">
        <w:t>ordando</w:t>
      </w:r>
      <w:proofErr w:type="gramEnd"/>
      <w:r w:rsidRPr="00AC6198">
        <w:t xml:space="preserve"> además</w:t>
      </w:r>
    </w:p>
    <w:p w14:paraId="488EED9E" w14:textId="22BF4496" w:rsidR="00B455AC" w:rsidRPr="00AC6198" w:rsidRDefault="005E014C" w:rsidP="00522775">
      <w:r w:rsidRPr="00AC6198">
        <w:rPr>
          <w:i/>
        </w:rPr>
        <w:t>a)</w:t>
      </w:r>
      <w:r w:rsidRPr="00AC6198">
        <w:tab/>
      </w:r>
      <w:r w:rsidR="00B455AC" w:rsidRPr="00AC6198">
        <w:t xml:space="preserve">la Resolución de la Asamblea General de las Naciones Unidas </w:t>
      </w:r>
      <w:hyperlink r:id="rId10" w:history="1">
        <w:r w:rsidR="00B455AC" w:rsidRPr="009A0BA8">
          <w:rPr>
            <w:rStyle w:val="Hyperlink"/>
          </w:rPr>
          <w:t>A/RES/78/170</w:t>
        </w:r>
      </w:hyperlink>
      <w:r w:rsidR="00A768EA" w:rsidRPr="00AC6198">
        <w:rPr>
          <w:rtl/>
        </w:rPr>
        <w:t xml:space="preserve"> </w:t>
      </w:r>
      <w:r w:rsidR="00B455AC" w:rsidRPr="00AC6198">
        <w:t>del 19 de diciembre de 2023 relativa a la soberanía permanente del pueblo palestino en el territorio palestino ocupado, incluida Jerusalén Oriental, y de la población árabe en el Golán sirio ocupad</w:t>
      </w:r>
      <w:r w:rsidR="008C6770" w:rsidRPr="00AC6198">
        <w:t>o sobre sus recursos naturales;</w:t>
      </w:r>
    </w:p>
    <w:p w14:paraId="2E3EA782" w14:textId="1A7C40C4" w:rsidR="00B455AC" w:rsidRPr="00AC6198" w:rsidRDefault="005E014C" w:rsidP="00522775">
      <w:r w:rsidRPr="00AC6198">
        <w:rPr>
          <w:i/>
        </w:rPr>
        <w:t>b)</w:t>
      </w:r>
      <w:r w:rsidRPr="00AC6198">
        <w:rPr>
          <w:i/>
        </w:rPr>
        <w:tab/>
      </w:r>
      <w:r w:rsidR="00B455AC" w:rsidRPr="00AC6198">
        <w:t xml:space="preserve">la Resolución de la Organización de las Naciones Unidas para la Educación, la Ciencia y la Cultura </w:t>
      </w:r>
      <w:hyperlink r:id="rId11" w:history="1">
        <w:r w:rsidR="008C6770" w:rsidRPr="00AC6198">
          <w:rPr>
            <w:rStyle w:val="Hyperlink"/>
          </w:rPr>
          <w:t xml:space="preserve">42 </w:t>
        </w:r>
        <w:r w:rsidR="00B455AC" w:rsidRPr="00AC6198">
          <w:rPr>
            <w:rStyle w:val="Hyperlink"/>
          </w:rPr>
          <w:t>C/</w:t>
        </w:r>
        <w:proofErr w:type="spellStart"/>
        <w:r w:rsidR="00B455AC" w:rsidRPr="00AC6198">
          <w:rPr>
            <w:rStyle w:val="Hyperlink"/>
          </w:rPr>
          <w:t>COM.APX</w:t>
        </w:r>
        <w:proofErr w:type="spellEnd"/>
        <w:r w:rsidR="00B455AC" w:rsidRPr="00AC6198">
          <w:rPr>
            <w:rStyle w:val="Hyperlink"/>
          </w:rPr>
          <w:t>/</w:t>
        </w:r>
        <w:proofErr w:type="spellStart"/>
        <w:r w:rsidR="00B455AC" w:rsidRPr="00AC6198">
          <w:rPr>
            <w:rStyle w:val="Hyperlink"/>
          </w:rPr>
          <w:t>DR.2</w:t>
        </w:r>
        <w:proofErr w:type="spellEnd"/>
      </w:hyperlink>
      <w:r w:rsidR="00B455AC" w:rsidRPr="00AC6198">
        <w:t xml:space="preserve"> del 9 de noviembre de 2023 relativa al impacto y las consecuencias de la situación actual en la Franja de Gaza/Palestina en todos los asp</w:t>
      </w:r>
      <w:r w:rsidR="008C6770" w:rsidRPr="00AC6198">
        <w:t>ectos del mandato de la UNESCO;</w:t>
      </w:r>
    </w:p>
    <w:p w14:paraId="34ACE94A" w14:textId="46CE2CA9" w:rsidR="00B455AC" w:rsidRPr="00AC6198" w:rsidRDefault="005E014C" w:rsidP="00522775">
      <w:r w:rsidRPr="00AC6198">
        <w:rPr>
          <w:i/>
        </w:rPr>
        <w:t>c)</w:t>
      </w:r>
      <w:r w:rsidRPr="00AC6198">
        <w:rPr>
          <w:i/>
        </w:rPr>
        <w:tab/>
      </w:r>
      <w:r w:rsidR="00B455AC" w:rsidRPr="00AC6198">
        <w:t>la Resolución 34 (Rev. Dubái, 2018) de la Conferencia de Plenipotenciarios sobre asistencia y apoyo a países con necesidades especiales para la reconstrucción de s</w:t>
      </w:r>
      <w:r w:rsidR="008C6770" w:rsidRPr="00AC6198">
        <w:t>u sector de telecomunicaciones;</w:t>
      </w:r>
    </w:p>
    <w:p w14:paraId="687E8529" w14:textId="31790012" w:rsidR="00B455AC" w:rsidRPr="00AC6198" w:rsidRDefault="005E014C" w:rsidP="00522775">
      <w:r w:rsidRPr="00AC6198">
        <w:rPr>
          <w:i/>
        </w:rPr>
        <w:t>d)</w:t>
      </w:r>
      <w:r w:rsidRPr="00AC6198">
        <w:rPr>
          <w:i/>
        </w:rPr>
        <w:tab/>
      </w:r>
      <w:r w:rsidR="00B455AC" w:rsidRPr="00AC6198">
        <w:t>la Resolución 125 (Rev. Bucarest, 2022) de la Conferencia de Plenipotenciarios sobre la asistencia y ayuda a Palestina para el desarrollo de infraestructuras y la capacitación en el sector de las telecomunicaciones y las</w:t>
      </w:r>
      <w:r w:rsidR="008C6770" w:rsidRPr="00AC6198">
        <w:t xml:space="preserve"> tecnologías de la información;</w:t>
      </w:r>
    </w:p>
    <w:p w14:paraId="58C76875" w14:textId="17D8822D" w:rsidR="00B455AC" w:rsidRPr="00AC6198" w:rsidRDefault="005E014C" w:rsidP="00522775">
      <w:r w:rsidRPr="00AC6198">
        <w:rPr>
          <w:i/>
        </w:rPr>
        <w:t>e)</w:t>
      </w:r>
      <w:r w:rsidRPr="00AC6198">
        <w:rPr>
          <w:i/>
        </w:rPr>
        <w:tab/>
      </w:r>
      <w:r w:rsidR="00B455AC" w:rsidRPr="00AC6198">
        <w:t>la Resolución 99 (Rev. Dubái, 2018) de la Conferencia de Plenipotenciarios sobre la situación j</w:t>
      </w:r>
      <w:r w:rsidR="008C6770" w:rsidRPr="00AC6198">
        <w:t>urídica de Palestina en la UIT;</w:t>
      </w:r>
    </w:p>
    <w:p w14:paraId="74FF464A" w14:textId="56A0BF5A" w:rsidR="00B455AC" w:rsidRPr="00AC6198" w:rsidRDefault="005E014C" w:rsidP="00522775">
      <w:r w:rsidRPr="00AC6198">
        <w:rPr>
          <w:i/>
        </w:rPr>
        <w:t>f)</w:t>
      </w:r>
      <w:r w:rsidRPr="00AC6198">
        <w:rPr>
          <w:i/>
        </w:rPr>
        <w:tab/>
      </w:r>
      <w:r w:rsidR="00B455AC" w:rsidRPr="00AC6198">
        <w:t>la Resolución 18 (Rev. Kigali, 2022) de la Conferencia Mundial de Desarrollo de las Telecomunicaciones sobre asistenci</w:t>
      </w:r>
      <w:r w:rsidR="008C6770" w:rsidRPr="00AC6198">
        <w:t>a técnica especial a Palestina;</w:t>
      </w:r>
    </w:p>
    <w:p w14:paraId="00387368" w14:textId="72D82856" w:rsidR="00B455AC" w:rsidRPr="00AC6198" w:rsidRDefault="005E014C" w:rsidP="00522775">
      <w:r w:rsidRPr="00AC6198">
        <w:rPr>
          <w:i/>
        </w:rPr>
        <w:t>g)</w:t>
      </w:r>
      <w:r w:rsidRPr="00AC6198">
        <w:rPr>
          <w:i/>
        </w:rPr>
        <w:tab/>
      </w:r>
      <w:r w:rsidR="00B455AC" w:rsidRPr="00AC6198">
        <w:t>la Resolución 137 (Rev. Bucarest, 2022) de la Conferencia de Plenipotenciarios sobre la instalación de redes futur</w:t>
      </w:r>
      <w:r w:rsidR="008C6770" w:rsidRPr="00AC6198">
        <w:t>as en los países en desarrollo,</w:t>
      </w:r>
    </w:p>
    <w:p w14:paraId="10B00D43" w14:textId="77777777" w:rsidR="00B455AC" w:rsidRPr="00AC6198" w:rsidRDefault="00B455AC" w:rsidP="005E014C">
      <w:pPr>
        <w:pStyle w:val="Call"/>
      </w:pPr>
      <w:bookmarkStart w:id="8" w:name="lt_pId038"/>
      <w:r w:rsidRPr="00AC6198">
        <w:lastRenderedPageBreak/>
        <w:t>conside</w:t>
      </w:r>
      <w:bookmarkEnd w:id="8"/>
      <w:r w:rsidRPr="00AC6198">
        <w:t>rando</w:t>
      </w:r>
    </w:p>
    <w:p w14:paraId="4CF98AD3" w14:textId="5F870270" w:rsidR="00B455AC" w:rsidRPr="00AC6198" w:rsidRDefault="00B455AC" w:rsidP="00522775">
      <w:bookmarkStart w:id="9" w:name="lt_pId039"/>
      <w:r w:rsidRPr="00AC6198">
        <w:rPr>
          <w:i/>
          <w:iCs/>
        </w:rPr>
        <w:t>a)</w:t>
      </w:r>
      <w:bookmarkEnd w:id="9"/>
      <w:r w:rsidRPr="00AC6198">
        <w:tab/>
        <w:t>que los Instrumentos Fundamentales de la Unión, incluida la Cons</w:t>
      </w:r>
      <w:r w:rsidR="00F10409" w:rsidRPr="00AC6198">
        <w:t>t</w:t>
      </w:r>
      <w:r w:rsidRPr="00AC6198">
        <w:t>itución y los Convenios, tienen por objeto fortalecer la paz y la seguridad en el mundo por medio de la cooperación internacional y de una mejor comprensión entre los pueblos;</w:t>
      </w:r>
    </w:p>
    <w:p w14:paraId="1C4F8D70" w14:textId="071A11FF" w:rsidR="00B455AC" w:rsidRPr="00AC6198" w:rsidRDefault="00B455AC" w:rsidP="00522775">
      <w:bookmarkStart w:id="10" w:name="lt_pId041"/>
      <w:r w:rsidRPr="00AC6198">
        <w:rPr>
          <w:i/>
          <w:iCs/>
        </w:rPr>
        <w:t>b)</w:t>
      </w:r>
      <w:bookmarkEnd w:id="10"/>
      <w:r w:rsidRPr="00AC6198">
        <w:tab/>
        <w:t>la importancia de la participación efectiva de Palestina en la nueva sociedad de la información y de apoyarla en la construcción de</w:t>
      </w:r>
      <w:r w:rsidR="00F10409" w:rsidRPr="00AC6198">
        <w:t xml:space="preserve"> su sociedad de la información;</w:t>
      </w:r>
    </w:p>
    <w:p w14:paraId="32F1C400" w14:textId="5EFC7970" w:rsidR="00B455AC" w:rsidRPr="00AC6198" w:rsidRDefault="00B455AC" w:rsidP="00522775">
      <w:bookmarkStart w:id="11" w:name="lt_pId043"/>
      <w:r w:rsidRPr="00AC6198">
        <w:rPr>
          <w:i/>
          <w:iCs/>
        </w:rPr>
        <w:t>c)</w:t>
      </w:r>
      <w:bookmarkEnd w:id="11"/>
      <w:r w:rsidRPr="00AC6198">
        <w:tab/>
        <w:t>que la UIT desempeña una importante función en el establecimiento y el desarrollo de una red de telecomunicaciones moderna y fiable, y que su aplicación es una parte esencial del desarrollo económico y social y es de suma importancia para el futuro del pueblo palestino;</w:t>
      </w:r>
    </w:p>
    <w:p w14:paraId="7FF90452" w14:textId="77777777" w:rsidR="00B455AC" w:rsidRPr="00AC6198" w:rsidRDefault="00B455AC" w:rsidP="00522775">
      <w:bookmarkStart w:id="12" w:name="lt_pId045"/>
      <w:r w:rsidRPr="00AC6198">
        <w:rPr>
          <w:i/>
          <w:iCs/>
        </w:rPr>
        <w:t>d)</w:t>
      </w:r>
      <w:bookmarkEnd w:id="12"/>
      <w:r w:rsidRPr="00AC6198">
        <w:tab/>
        <w:t>que la comunidad internacional desempeña una importante función para asistir a Palestina en general, y a la Franja de Gaza en particular, a desarrollar una red de telecomunicaciones moderna y fiable;</w:t>
      </w:r>
    </w:p>
    <w:p w14:paraId="0F27B334" w14:textId="1C2990F9" w:rsidR="00B455AC" w:rsidRPr="00AC6198" w:rsidRDefault="00B455AC" w:rsidP="00522775">
      <w:bookmarkStart w:id="13" w:name="lt_pId047"/>
      <w:r w:rsidRPr="00AC6198">
        <w:rPr>
          <w:i/>
          <w:iCs/>
        </w:rPr>
        <w:t>e)</w:t>
      </w:r>
      <w:bookmarkEnd w:id="13"/>
      <w:r w:rsidRPr="00AC6198">
        <w:tab/>
        <w:t>que el objetivo de la UIT es promover el uso de los servicios de telecomunicaciones con el objetivo de faci</w:t>
      </w:r>
      <w:r w:rsidR="00F10409" w:rsidRPr="00AC6198">
        <w:t>litar las relaciones pacíficas,</w:t>
      </w:r>
    </w:p>
    <w:p w14:paraId="01129DA6" w14:textId="77777777" w:rsidR="00B455AC" w:rsidRPr="00AC6198" w:rsidRDefault="00B455AC" w:rsidP="00B56186">
      <w:pPr>
        <w:pStyle w:val="Call"/>
      </w:pPr>
      <w:bookmarkStart w:id="14" w:name="lt_pId049"/>
      <w:r w:rsidRPr="00AC6198">
        <w:t>deplo</w:t>
      </w:r>
      <w:bookmarkEnd w:id="14"/>
      <w:r w:rsidRPr="00AC6198">
        <w:t>rando a este respecto</w:t>
      </w:r>
    </w:p>
    <w:p w14:paraId="42368EEB" w14:textId="51E7AE94" w:rsidR="00B455AC" w:rsidRPr="00B56186" w:rsidRDefault="00B455AC" w:rsidP="00522775">
      <w:bookmarkStart w:id="15" w:name="lt_pId050"/>
      <w:r w:rsidRPr="00A84DB1">
        <w:rPr>
          <w:i/>
          <w:iCs/>
        </w:rPr>
        <w:t>a)</w:t>
      </w:r>
      <w:bookmarkEnd w:id="15"/>
      <w:r w:rsidRPr="00B56186">
        <w:tab/>
        <w:t>la destrucción generalizada de infraestructuras esenciales, los fallos en los servicios de telecomunicaciones y las interrupciones de la telefonía móvil que se han producido a través de la Franja de Gaza desde el comienzo de la agr</w:t>
      </w:r>
      <w:r w:rsidR="00F10409" w:rsidRPr="00B56186">
        <w:t>esión por la potencia ocupante;</w:t>
      </w:r>
    </w:p>
    <w:p w14:paraId="4215AE41" w14:textId="77777777" w:rsidR="00B455AC" w:rsidRPr="00B56186" w:rsidRDefault="00B455AC" w:rsidP="00522775">
      <w:bookmarkStart w:id="16" w:name="lt_pId052"/>
      <w:r w:rsidRPr="00A84DB1">
        <w:rPr>
          <w:i/>
          <w:iCs/>
        </w:rPr>
        <w:t>b)</w:t>
      </w:r>
      <w:bookmarkEnd w:id="16"/>
      <w:r w:rsidRPr="00B56186">
        <w:tab/>
        <w:t xml:space="preserve">las tecnologías y servicios </w:t>
      </w:r>
      <w:proofErr w:type="spellStart"/>
      <w:r w:rsidRPr="00B56186">
        <w:t>2G</w:t>
      </w:r>
      <w:proofErr w:type="spellEnd"/>
      <w:r w:rsidRPr="00B56186">
        <w:t xml:space="preserve"> que aún se prestan a la población de la Franja de Gaza, y la dificultad de encontrar dispositivos para realizar el mantenimiento de la red actual, ya que las empresas que los fabrican han dejado de producirlos;</w:t>
      </w:r>
    </w:p>
    <w:p w14:paraId="54CAD398" w14:textId="3F988B0C" w:rsidR="00B455AC" w:rsidRPr="00B56186" w:rsidRDefault="00B455AC" w:rsidP="00522775">
      <w:bookmarkStart w:id="17" w:name="lt_pId054"/>
      <w:r w:rsidRPr="00A84DB1">
        <w:rPr>
          <w:i/>
          <w:iCs/>
        </w:rPr>
        <w:t>c)</w:t>
      </w:r>
      <w:bookmarkEnd w:id="17"/>
      <w:r w:rsidRPr="00B56186">
        <w:tab/>
        <w:t xml:space="preserve">los obstáculos practicados por la potencia ocupante para impedir el uso de las nuevas tecnologías de la comunicación y no permitir el empleo de las generaciones </w:t>
      </w:r>
      <w:proofErr w:type="spellStart"/>
      <w:r w:rsidRPr="00B56186">
        <w:t>3G</w:t>
      </w:r>
      <w:proofErr w:type="spellEnd"/>
      <w:r w:rsidRPr="00B56186">
        <w:t xml:space="preserve">, </w:t>
      </w:r>
      <w:proofErr w:type="spellStart"/>
      <w:r w:rsidRPr="00B56186">
        <w:t>4G</w:t>
      </w:r>
      <w:proofErr w:type="spellEnd"/>
      <w:r w:rsidRPr="00B56186">
        <w:t xml:space="preserve"> y </w:t>
      </w:r>
      <w:proofErr w:type="spellStart"/>
      <w:r w:rsidRPr="00B56186">
        <w:t>5G</w:t>
      </w:r>
      <w:proofErr w:type="spellEnd"/>
      <w:r w:rsidRPr="00B56186">
        <w:t xml:space="preserve"> hasta ahora en Palestina, y en l</w:t>
      </w:r>
      <w:r w:rsidR="00F10409" w:rsidRPr="00B56186">
        <w:t>a Franja de Gaza en particular,</w:t>
      </w:r>
    </w:p>
    <w:p w14:paraId="04246236" w14:textId="77777777" w:rsidR="00B455AC" w:rsidRPr="00AC6198" w:rsidRDefault="00B455AC" w:rsidP="005E014C">
      <w:pPr>
        <w:pStyle w:val="Call"/>
      </w:pPr>
      <w:r w:rsidRPr="00AC6198">
        <w:t>teniendo en cuenta</w:t>
      </w:r>
    </w:p>
    <w:p w14:paraId="02D86BFE" w14:textId="77777777" w:rsidR="00B455AC" w:rsidRPr="00AC6198" w:rsidRDefault="00B455AC" w:rsidP="00EB352C">
      <w:bookmarkStart w:id="18" w:name="lt_pId057"/>
      <w:r w:rsidRPr="00AC6198">
        <w:t>los principios fundamentales consignados en el Preámbulo a la Constitución,</w:t>
      </w:r>
      <w:bookmarkEnd w:id="18"/>
    </w:p>
    <w:p w14:paraId="43B38F7E" w14:textId="77777777" w:rsidR="00B455AC" w:rsidRPr="00AC6198" w:rsidRDefault="00B455AC" w:rsidP="005E014C">
      <w:pPr>
        <w:pStyle w:val="Call"/>
      </w:pPr>
      <w:r w:rsidRPr="00AC6198">
        <w:t>observando</w:t>
      </w:r>
    </w:p>
    <w:p w14:paraId="5A94B2A9" w14:textId="79DF73FB" w:rsidR="00B455AC" w:rsidRPr="004808D6" w:rsidRDefault="00B455AC" w:rsidP="00522775">
      <w:bookmarkStart w:id="19" w:name="lt_pId059"/>
      <w:r w:rsidRPr="00A84DB1">
        <w:rPr>
          <w:i/>
          <w:iCs/>
        </w:rPr>
        <w:t>a)</w:t>
      </w:r>
      <w:bookmarkEnd w:id="19"/>
      <w:r w:rsidRPr="004808D6">
        <w:tab/>
        <w:t>la asistencia técnica de larga duración prestada por la Oficina de Desarrollo de las Telecomunicaciones (BDT) a Palestina para el desarrollo de sus telecomunicaciones en aplicación de la Resolución 32 (</w:t>
      </w:r>
      <w:proofErr w:type="spellStart"/>
      <w:r w:rsidRPr="004808D6">
        <w:t>Kyoto</w:t>
      </w:r>
      <w:proofErr w:type="spellEnd"/>
      <w:r w:rsidRPr="004808D6">
        <w:t>, 1994) de la Conferencia de Plenipotenciarios y la urgente necesidad de asistencia en diversos campos de la</w:t>
      </w:r>
      <w:r w:rsidR="00981928" w:rsidRPr="004808D6">
        <w:t xml:space="preserve"> comunicación y la información,</w:t>
      </w:r>
    </w:p>
    <w:p w14:paraId="1596DEBB" w14:textId="16CBB3C8" w:rsidR="00B455AC" w:rsidRPr="004808D6" w:rsidRDefault="00B455AC" w:rsidP="00522775">
      <w:bookmarkStart w:id="20" w:name="lt_pId061"/>
      <w:r w:rsidRPr="00A84DB1">
        <w:rPr>
          <w:i/>
          <w:iCs/>
        </w:rPr>
        <w:t>b)</w:t>
      </w:r>
      <w:bookmarkEnd w:id="20"/>
      <w:r w:rsidRPr="004808D6">
        <w:tab/>
        <w:t>las restricciones y dificultades relacionadas con la actual situación en Palestina que están impidiendo el acceso a los medios, servicios y aplicaciones de telecomunicaciones/tecnologías de la información y la comunicación (TIC) y que constituyen un obstáculo permanente al desarrollo de las telecomunicaciones/TIC en Palestina,</w:t>
      </w:r>
    </w:p>
    <w:p w14:paraId="57EB5D89" w14:textId="77777777" w:rsidR="00B455AC" w:rsidRPr="00AC6198" w:rsidRDefault="00B455AC" w:rsidP="005E014C">
      <w:pPr>
        <w:pStyle w:val="Call"/>
      </w:pPr>
      <w:bookmarkStart w:id="21" w:name="lt_pId063"/>
      <w:r w:rsidRPr="00AC6198">
        <w:t>reaf</w:t>
      </w:r>
      <w:bookmarkEnd w:id="21"/>
      <w:r w:rsidRPr="00AC6198">
        <w:t>irmando</w:t>
      </w:r>
    </w:p>
    <w:p w14:paraId="7B70340C" w14:textId="12F1BB22" w:rsidR="00B455AC" w:rsidRPr="00C17E64" w:rsidRDefault="00B455AC" w:rsidP="00522775">
      <w:bookmarkStart w:id="22" w:name="lt_pId064"/>
      <w:r w:rsidRPr="00A84DB1">
        <w:rPr>
          <w:i/>
          <w:iCs/>
        </w:rPr>
        <w:t>a)</w:t>
      </w:r>
      <w:bookmarkEnd w:id="22"/>
      <w:r w:rsidRPr="00C17E64">
        <w:tab/>
        <w:t>la soberanía, la independencia política, la unidad y la integridad territorial de Palestina dentro de sus fronteras reconocidas internacionalmente, que se extie</w:t>
      </w:r>
      <w:r w:rsidR="003029BC" w:rsidRPr="00C17E64">
        <w:t>nden a sus aguas territoriales;</w:t>
      </w:r>
    </w:p>
    <w:p w14:paraId="1A89A40D" w14:textId="5D38B32B" w:rsidR="00B455AC" w:rsidRPr="00C17E64" w:rsidRDefault="00B455AC" w:rsidP="00522775">
      <w:bookmarkStart w:id="23" w:name="lt_pId066"/>
      <w:r w:rsidRPr="00A84DB1">
        <w:rPr>
          <w:i/>
          <w:iCs/>
        </w:rPr>
        <w:lastRenderedPageBreak/>
        <w:t>b)</w:t>
      </w:r>
      <w:bookmarkEnd w:id="23"/>
      <w:r w:rsidRPr="00C17E64">
        <w:tab/>
        <w:t>la necesidad de respetar y preservar la unidad, la contigüidad y la integridad en el territorio palestino ocupad</w:t>
      </w:r>
      <w:r w:rsidR="003029BC" w:rsidRPr="00C17E64">
        <w:t>o, incluido Jerusalén Oriental,</w:t>
      </w:r>
    </w:p>
    <w:p w14:paraId="2D674B95" w14:textId="77777777" w:rsidR="00B455AC" w:rsidRPr="00AC6198" w:rsidRDefault="00B455AC" w:rsidP="005E014C">
      <w:pPr>
        <w:pStyle w:val="Call"/>
      </w:pPr>
      <w:bookmarkStart w:id="24" w:name="lt_pId068"/>
      <w:r w:rsidRPr="00AC6198">
        <w:t>reiter</w:t>
      </w:r>
      <w:bookmarkEnd w:id="24"/>
      <w:r w:rsidRPr="00AC6198">
        <w:t>ando el compromiso de la UIT</w:t>
      </w:r>
    </w:p>
    <w:p w14:paraId="6ECB6A31" w14:textId="2779204C" w:rsidR="00B455AC" w:rsidRPr="00AC6198" w:rsidRDefault="00B455AC" w:rsidP="00EB352C">
      <w:r w:rsidRPr="003111D7">
        <w:t>de promover la adopción de medidas destinadas a garantizar la seguridad de la vida humana, mediante la cooperación de los servicios de t</w:t>
      </w:r>
      <w:r w:rsidR="003029BC" w:rsidRPr="003111D7">
        <w:t>elecomunicación,</w:t>
      </w:r>
    </w:p>
    <w:p w14:paraId="0CB5DC8E" w14:textId="77777777" w:rsidR="00B455AC" w:rsidRPr="00AC6198" w:rsidRDefault="00B455AC" w:rsidP="005E014C">
      <w:pPr>
        <w:pStyle w:val="Call"/>
      </w:pPr>
      <w:r w:rsidRPr="00AC6198">
        <w:t>insta a los Estados Miembros</w:t>
      </w:r>
    </w:p>
    <w:p w14:paraId="37DAE5B7" w14:textId="72E53F7F" w:rsidR="00B455AC" w:rsidRPr="00AC6198" w:rsidRDefault="00B455AC" w:rsidP="00504C86">
      <w:pPr>
        <w:tabs>
          <w:tab w:val="left" w:pos="6351"/>
        </w:tabs>
      </w:pPr>
      <w:r w:rsidRPr="00AC6198">
        <w:t>a que hagan todos los esfuerzos que están a su alcance para:</w:t>
      </w:r>
    </w:p>
    <w:p w14:paraId="63AB64CF" w14:textId="77777777" w:rsidR="00B455AC" w:rsidRPr="00A84DB1" w:rsidRDefault="00B455AC" w:rsidP="00167E6D">
      <w:pPr>
        <w:pStyle w:val="enumlev1"/>
        <w:rPr>
          <w:szCs w:val="24"/>
        </w:rPr>
      </w:pPr>
      <w:r w:rsidRPr="00A84DB1">
        <w:rPr>
          <w:szCs w:val="24"/>
          <w:rtl/>
        </w:rPr>
        <w:t>1</w:t>
      </w:r>
      <w:r w:rsidRPr="00A84DB1">
        <w:rPr>
          <w:szCs w:val="24"/>
          <w:rtl/>
        </w:rPr>
        <w:tab/>
      </w:r>
      <w:bookmarkStart w:id="25" w:name="lt_pId073"/>
      <w:r w:rsidRPr="00A84DB1">
        <w:rPr>
          <w:szCs w:val="24"/>
        </w:rPr>
        <w:t>reestablecer las comunicaciones en la Franja de Gaza;</w:t>
      </w:r>
      <w:bookmarkEnd w:id="25"/>
    </w:p>
    <w:p w14:paraId="41475668" w14:textId="03C38F9A" w:rsidR="00B455AC" w:rsidRPr="00A84DB1" w:rsidRDefault="00B455AC" w:rsidP="00167E6D">
      <w:pPr>
        <w:pStyle w:val="enumlev1"/>
        <w:rPr>
          <w:szCs w:val="24"/>
        </w:rPr>
      </w:pPr>
      <w:r w:rsidRPr="00A84DB1">
        <w:rPr>
          <w:szCs w:val="24"/>
          <w:rtl/>
        </w:rPr>
        <w:t>2</w:t>
      </w:r>
      <w:r w:rsidRPr="00A84DB1">
        <w:rPr>
          <w:szCs w:val="24"/>
        </w:rPr>
        <w:tab/>
        <w:t>conservar la infraestructura de la telecomunicación en Palestina, en general, y de la</w:t>
      </w:r>
      <w:r w:rsidR="003029BC" w:rsidRPr="00A84DB1">
        <w:rPr>
          <w:szCs w:val="24"/>
        </w:rPr>
        <w:t xml:space="preserve"> Franja de Gaza, en particular;</w:t>
      </w:r>
    </w:p>
    <w:p w14:paraId="68CA9B43" w14:textId="61F2A68C" w:rsidR="00B455AC" w:rsidRPr="00A84DB1" w:rsidRDefault="00B455AC" w:rsidP="00167E6D">
      <w:pPr>
        <w:pStyle w:val="enumlev1"/>
        <w:rPr>
          <w:szCs w:val="24"/>
        </w:rPr>
      </w:pPr>
      <w:r w:rsidRPr="00A84DB1">
        <w:rPr>
          <w:szCs w:val="24"/>
          <w:rtl/>
        </w:rPr>
        <w:t>3</w:t>
      </w:r>
      <w:r w:rsidRPr="00A84DB1">
        <w:rPr>
          <w:szCs w:val="24"/>
        </w:rPr>
        <w:tab/>
        <w:t>proporcionar todo tipo de ayuda y apoyo a la Franja de Gaza, tanto bilateralmente como a través de medidas ejecutivas tomadas por la UIT;</w:t>
      </w:r>
    </w:p>
    <w:p w14:paraId="3FB33E1E" w14:textId="77777777" w:rsidR="00B455AC" w:rsidRPr="00A84DB1" w:rsidRDefault="00B455AC" w:rsidP="00167E6D">
      <w:pPr>
        <w:pStyle w:val="enumlev1"/>
        <w:rPr>
          <w:szCs w:val="24"/>
        </w:rPr>
      </w:pPr>
      <w:r w:rsidRPr="00A84DB1">
        <w:rPr>
          <w:szCs w:val="24"/>
          <w:rtl/>
        </w:rPr>
        <w:t>4</w:t>
      </w:r>
      <w:r w:rsidRPr="00A84DB1">
        <w:rPr>
          <w:szCs w:val="24"/>
        </w:rPr>
        <w:tab/>
        <w:t xml:space="preserve">prestar la asistencia necesaria para crear y activar servicios </w:t>
      </w:r>
      <w:proofErr w:type="spellStart"/>
      <w:r w:rsidRPr="00A84DB1">
        <w:rPr>
          <w:szCs w:val="24"/>
        </w:rPr>
        <w:t>4G</w:t>
      </w:r>
      <w:proofErr w:type="spellEnd"/>
      <w:r w:rsidRPr="00A84DB1">
        <w:rPr>
          <w:szCs w:val="24"/>
        </w:rPr>
        <w:t xml:space="preserve"> y </w:t>
      </w:r>
      <w:proofErr w:type="spellStart"/>
      <w:r w:rsidRPr="00A84DB1">
        <w:rPr>
          <w:szCs w:val="24"/>
        </w:rPr>
        <w:t>5G</w:t>
      </w:r>
      <w:proofErr w:type="spellEnd"/>
      <w:r w:rsidRPr="00A84DB1">
        <w:rPr>
          <w:szCs w:val="24"/>
        </w:rPr>
        <w:t xml:space="preserve"> en la Franja de Gaza;</w:t>
      </w:r>
    </w:p>
    <w:p w14:paraId="5A62EA80" w14:textId="64ADBED5" w:rsidR="00B455AC" w:rsidRPr="00A84DB1" w:rsidRDefault="00B455AC" w:rsidP="00167E6D">
      <w:pPr>
        <w:pStyle w:val="enumlev1"/>
        <w:rPr>
          <w:szCs w:val="24"/>
        </w:rPr>
      </w:pPr>
      <w:r w:rsidRPr="00A84DB1">
        <w:rPr>
          <w:szCs w:val="24"/>
          <w:rtl/>
        </w:rPr>
        <w:t>5</w:t>
      </w:r>
      <w:r w:rsidRPr="00A84DB1">
        <w:rPr>
          <w:szCs w:val="24"/>
        </w:rPr>
        <w:tab/>
        <w:t>prestar asistencia a Gaza para apoyar la aplicación de proyectos de las tres Oficinas de la UIT y de iniciativas region</w:t>
      </w:r>
      <w:r w:rsidR="003029BC" w:rsidRPr="00A84DB1">
        <w:rPr>
          <w:szCs w:val="24"/>
        </w:rPr>
        <w:t>ales, incluida la capacitación,</w:t>
      </w:r>
    </w:p>
    <w:p w14:paraId="1FCB1608" w14:textId="65FF5012" w:rsidR="00B455AC" w:rsidRPr="00A84DB1" w:rsidRDefault="00B455AC" w:rsidP="005E014C">
      <w:pPr>
        <w:pStyle w:val="Call"/>
        <w:rPr>
          <w:szCs w:val="24"/>
        </w:rPr>
      </w:pPr>
      <w:r w:rsidRPr="00A84DB1">
        <w:rPr>
          <w:szCs w:val="24"/>
        </w:rPr>
        <w:t>inv</w:t>
      </w:r>
      <w:r w:rsidR="003029BC" w:rsidRPr="00A84DB1">
        <w:rPr>
          <w:szCs w:val="24"/>
        </w:rPr>
        <w:t>ita al Consejo</w:t>
      </w:r>
    </w:p>
    <w:p w14:paraId="4D18E91A" w14:textId="1057DE27" w:rsidR="00B455AC" w:rsidRPr="00A84DB1" w:rsidRDefault="00723288" w:rsidP="003111D7">
      <w:pPr>
        <w:pStyle w:val="enumlev1"/>
        <w:rPr>
          <w:szCs w:val="24"/>
        </w:rPr>
      </w:pPr>
      <w:r w:rsidRPr="00A84DB1">
        <w:rPr>
          <w:szCs w:val="24"/>
          <w:rtl/>
        </w:rPr>
        <w:t>1</w:t>
      </w:r>
      <w:r w:rsidRPr="00A84DB1">
        <w:rPr>
          <w:szCs w:val="24"/>
          <w:rtl/>
        </w:rPr>
        <w:tab/>
      </w:r>
      <w:r w:rsidR="00B455AC" w:rsidRPr="00A84DB1">
        <w:rPr>
          <w:szCs w:val="24"/>
        </w:rPr>
        <w:t>a consignar los fondos necesarios dentro de los recursos disponibles para la</w:t>
      </w:r>
      <w:r w:rsidR="000B3642" w:rsidRPr="00A84DB1">
        <w:rPr>
          <w:szCs w:val="24"/>
        </w:rPr>
        <w:t xml:space="preserve"> aplicación de esta Resolución;</w:t>
      </w:r>
    </w:p>
    <w:p w14:paraId="4FB36D20" w14:textId="673ACB8D" w:rsidR="00B455AC" w:rsidRPr="00A84DB1" w:rsidRDefault="00723288" w:rsidP="003111D7">
      <w:pPr>
        <w:pStyle w:val="enumlev1"/>
        <w:rPr>
          <w:szCs w:val="24"/>
        </w:rPr>
      </w:pPr>
      <w:r w:rsidRPr="00A84DB1">
        <w:rPr>
          <w:szCs w:val="24"/>
          <w:rtl/>
        </w:rPr>
        <w:t>2</w:t>
      </w:r>
      <w:r w:rsidRPr="00A84DB1">
        <w:rPr>
          <w:szCs w:val="24"/>
        </w:rPr>
        <w:tab/>
      </w:r>
      <w:r w:rsidR="00B455AC" w:rsidRPr="00A84DB1">
        <w:rPr>
          <w:szCs w:val="24"/>
        </w:rPr>
        <w:t>a examinar los informes y las propuestas de la Secretaria General y las tres Oficinas de la Unión en relación con la aplicación</w:t>
      </w:r>
      <w:r w:rsidR="000B3642" w:rsidRPr="00A84DB1">
        <w:rPr>
          <w:szCs w:val="24"/>
        </w:rPr>
        <w:t xml:space="preserve"> de la presente Decisión,</w:t>
      </w:r>
    </w:p>
    <w:p w14:paraId="316E46EF" w14:textId="77777777" w:rsidR="00B455AC" w:rsidRPr="00A84DB1" w:rsidRDefault="00B455AC" w:rsidP="004808D6">
      <w:pPr>
        <w:pStyle w:val="Call"/>
        <w:rPr>
          <w:szCs w:val="24"/>
        </w:rPr>
      </w:pPr>
      <w:r w:rsidRPr="00A84DB1">
        <w:rPr>
          <w:szCs w:val="24"/>
        </w:rPr>
        <w:t xml:space="preserve">resuelve encargar a los </w:t>
      </w:r>
      <w:proofErr w:type="gramStart"/>
      <w:r w:rsidRPr="00A84DB1">
        <w:rPr>
          <w:szCs w:val="24"/>
        </w:rPr>
        <w:t>Directores</w:t>
      </w:r>
      <w:proofErr w:type="gramEnd"/>
      <w:r w:rsidRPr="00A84DB1">
        <w:rPr>
          <w:szCs w:val="24"/>
        </w:rPr>
        <w:t xml:space="preserve"> de las tres Oficinas</w:t>
      </w:r>
    </w:p>
    <w:p w14:paraId="6EA3FE49" w14:textId="3BCDD5F6" w:rsidR="00B455AC" w:rsidRPr="00A84DB1" w:rsidRDefault="00723288" w:rsidP="003111D7">
      <w:pPr>
        <w:pStyle w:val="enumlev1"/>
        <w:rPr>
          <w:szCs w:val="24"/>
        </w:rPr>
      </w:pPr>
      <w:r w:rsidRPr="00A84DB1">
        <w:rPr>
          <w:szCs w:val="24"/>
          <w:rtl/>
        </w:rPr>
        <w:t>1</w:t>
      </w:r>
      <w:r w:rsidRPr="00A84DB1">
        <w:rPr>
          <w:szCs w:val="24"/>
          <w:rtl/>
        </w:rPr>
        <w:tab/>
      </w:r>
      <w:r w:rsidR="00B455AC" w:rsidRPr="00A84DB1">
        <w:rPr>
          <w:szCs w:val="24"/>
        </w:rPr>
        <w:t>que supervisen y presenten informes periódicos sobre las necesidades concretas de Palestina en el ámbito de las telecomunicaciones, y que preparen propuestas para la prestació</w:t>
      </w:r>
      <w:r w:rsidR="000B3642" w:rsidRPr="00A84DB1">
        <w:rPr>
          <w:szCs w:val="24"/>
        </w:rPr>
        <w:t>n eficaz de asistencia técnica;</w:t>
      </w:r>
    </w:p>
    <w:p w14:paraId="245F30F4" w14:textId="4CB7E6C6" w:rsidR="00B455AC" w:rsidRPr="00A84DB1" w:rsidRDefault="00723288" w:rsidP="003111D7">
      <w:pPr>
        <w:pStyle w:val="enumlev1"/>
        <w:rPr>
          <w:szCs w:val="24"/>
        </w:rPr>
      </w:pPr>
      <w:r w:rsidRPr="00A84DB1">
        <w:rPr>
          <w:szCs w:val="24"/>
          <w:rtl/>
        </w:rPr>
        <w:t>2</w:t>
      </w:r>
      <w:r w:rsidRPr="00A84DB1">
        <w:rPr>
          <w:szCs w:val="24"/>
          <w:rtl/>
        </w:rPr>
        <w:tab/>
      </w:r>
      <w:r w:rsidR="00B455AC" w:rsidRPr="00A84DB1">
        <w:rPr>
          <w:szCs w:val="24"/>
        </w:rPr>
        <w:t>que evalúen las repercusiones de la guerra en Palestina en los programas y actividades de la UIT en la región y pr</w:t>
      </w:r>
      <w:r w:rsidR="000B3642" w:rsidRPr="00A84DB1">
        <w:rPr>
          <w:szCs w:val="24"/>
        </w:rPr>
        <w:t>esenten un informe al respecto;</w:t>
      </w:r>
    </w:p>
    <w:p w14:paraId="72E5D2FC" w14:textId="7EA78EAF" w:rsidR="00B455AC" w:rsidRPr="00A84DB1" w:rsidRDefault="00723288" w:rsidP="003111D7">
      <w:pPr>
        <w:pStyle w:val="enumlev1"/>
        <w:rPr>
          <w:szCs w:val="24"/>
        </w:rPr>
      </w:pPr>
      <w:bookmarkStart w:id="26" w:name="lt_pId088"/>
      <w:r w:rsidRPr="00A84DB1">
        <w:rPr>
          <w:szCs w:val="24"/>
          <w:rtl/>
        </w:rPr>
        <w:t>3</w:t>
      </w:r>
      <w:r w:rsidRPr="00A84DB1">
        <w:rPr>
          <w:szCs w:val="24"/>
          <w:rtl/>
        </w:rPr>
        <w:tab/>
      </w:r>
      <w:r w:rsidR="00B455AC" w:rsidRPr="00A84DB1">
        <w:rPr>
          <w:szCs w:val="24"/>
        </w:rPr>
        <w:t>que</w:t>
      </w:r>
      <w:bookmarkEnd w:id="26"/>
      <w:r w:rsidR="00B455AC" w:rsidRPr="00A84DB1">
        <w:rPr>
          <w:szCs w:val="24"/>
        </w:rPr>
        <w:t xml:space="preserve"> velen por la adecuada movilización de recursos humanos y financieros, incluso con cargo al presupuesto interno y al Fondo de Desarrollo de las Tecnologías de la Información y la Comunicación, para la aplicación de las medidas propuestas,</w:t>
      </w:r>
    </w:p>
    <w:p w14:paraId="75DBFF49" w14:textId="60AA1113" w:rsidR="00B455AC" w:rsidRPr="00AC6198" w:rsidRDefault="000B3642" w:rsidP="005E014C">
      <w:pPr>
        <w:pStyle w:val="Call"/>
      </w:pPr>
      <w:r w:rsidRPr="00AC6198">
        <w:t xml:space="preserve">encarga a la </w:t>
      </w:r>
      <w:proofErr w:type="gramStart"/>
      <w:r w:rsidRPr="00AC6198">
        <w:t>Secretaria General</w:t>
      </w:r>
      <w:proofErr w:type="gramEnd"/>
    </w:p>
    <w:p w14:paraId="13DD8989" w14:textId="72F9DD11" w:rsidR="00B455AC" w:rsidRPr="00AC6198" w:rsidRDefault="00B455AC" w:rsidP="00EB352C">
      <w:r w:rsidRPr="00AC6198">
        <w:t>que coordine las actividades realizadas por los tres Sectores de la Unión de conformidad con el resuelve anterior, a fin de garantizar la mayor eficacia posible de la acción de la Unión en favor de Palestina, y que presente un informe al respecto en la Conferencia de Plenipotenciarios de 2026 y en la reunión del Consejo de 2025, así como en futuras reuniones</w:t>
      </w:r>
      <w:r w:rsidR="000B3642" w:rsidRPr="00AC6198">
        <w:t xml:space="preserve"> y conferencias, según proceda,</w:t>
      </w:r>
    </w:p>
    <w:p w14:paraId="34F2038B" w14:textId="79D278E9" w:rsidR="00B455AC" w:rsidRPr="00AC6198" w:rsidRDefault="000B3642" w:rsidP="005E014C">
      <w:pPr>
        <w:pStyle w:val="Call"/>
      </w:pPr>
      <w:r w:rsidRPr="00AC6198">
        <w:lastRenderedPageBreak/>
        <w:t>invita a los Estados Miembros</w:t>
      </w:r>
    </w:p>
    <w:p w14:paraId="19019FA1" w14:textId="358019F7" w:rsidR="00E13924" w:rsidRPr="00AC6198" w:rsidRDefault="00B455AC" w:rsidP="00C17E64">
      <w:r w:rsidRPr="00AC6198">
        <w:t xml:space="preserve">a presentar contribuciones a la </w:t>
      </w:r>
      <w:proofErr w:type="spellStart"/>
      <w:r w:rsidRPr="00AC6198">
        <w:t>CMDT</w:t>
      </w:r>
      <w:proofErr w:type="spellEnd"/>
      <w:r w:rsidRPr="00AC6198">
        <w:t xml:space="preserve">-25 y a la PP-26 para respaldar los esfuerzos de la UIT por </w:t>
      </w:r>
      <w:r w:rsidRPr="00C17E64">
        <w:t>reconstruir</w:t>
      </w:r>
      <w:r w:rsidRPr="00AC6198">
        <w:t xml:space="preserve"> la infraestructura de telecomunicaciones de Palestina y prestar la asistencia y c</w:t>
      </w:r>
      <w:r w:rsidR="00E13924" w:rsidRPr="00AC6198">
        <w:t>apacitación técnica necesarias.</w:t>
      </w:r>
    </w:p>
    <w:p w14:paraId="0E70E96E" w14:textId="77777777" w:rsidR="00E13924" w:rsidRPr="00C17E64" w:rsidRDefault="00E13924" w:rsidP="00C17E64"/>
    <w:p w14:paraId="6E55B2E9" w14:textId="77777777" w:rsidR="00E13924" w:rsidRPr="00AC6198" w:rsidRDefault="00E13924">
      <w:pPr>
        <w:jc w:val="center"/>
      </w:pPr>
      <w:r w:rsidRPr="00AC6198">
        <w:t>______________</w:t>
      </w:r>
    </w:p>
    <w:sectPr w:rsidR="00E13924" w:rsidRPr="00AC6198" w:rsidSect="00C538F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73FBA5" w14:textId="77777777" w:rsidR="004204A9" w:rsidRDefault="004204A9">
      <w:r>
        <w:separator/>
      </w:r>
    </w:p>
  </w:endnote>
  <w:endnote w:type="continuationSeparator" w:id="0">
    <w:p w14:paraId="797D0537" w14:textId="77777777" w:rsidR="004204A9" w:rsidRDefault="00420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D04E5" w14:textId="77777777" w:rsidR="00F64D12" w:rsidRDefault="00F64D1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3273A4" w:rsidRPr="00784011" w14:paraId="79DB5C18" w14:textId="77777777" w:rsidTr="00E31DCE">
      <w:trPr>
        <w:jc w:val="center"/>
      </w:trPr>
      <w:tc>
        <w:tcPr>
          <w:tcW w:w="1803" w:type="dxa"/>
          <w:vAlign w:val="center"/>
        </w:tcPr>
        <w:p w14:paraId="06DEECE3" w14:textId="2E33DEB7" w:rsidR="003273A4" w:rsidRDefault="00F64D12" w:rsidP="003273A4">
          <w:pPr>
            <w:pStyle w:val="Header"/>
            <w:jc w:val="left"/>
            <w:rPr>
              <w:noProof/>
            </w:rPr>
          </w:pPr>
          <w:r>
            <w:rPr>
              <w:noProof/>
            </w:rPr>
            <w:t>2400835</w:t>
          </w:r>
        </w:p>
      </w:tc>
      <w:tc>
        <w:tcPr>
          <w:tcW w:w="8261" w:type="dxa"/>
        </w:tcPr>
        <w:p w14:paraId="31328314" w14:textId="3D78CE5B" w:rsidR="003273A4" w:rsidRPr="00E06FD5" w:rsidRDefault="003273A4" w:rsidP="00EB352C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proofErr w:type="spellStart"/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64481D">
            <w:rPr>
              <w:bCs/>
            </w:rPr>
            <w:t>4</w:t>
          </w:r>
          <w:proofErr w:type="spellEnd"/>
          <w:r w:rsidRPr="00623AE3">
            <w:rPr>
              <w:bCs/>
            </w:rPr>
            <w:t>/</w:t>
          </w:r>
          <w:r w:rsidR="00EB352C">
            <w:rPr>
              <w:bCs/>
            </w:rPr>
            <w:t>103</w:t>
          </w:r>
          <w:r w:rsidRPr="00623AE3">
            <w:rPr>
              <w:bCs/>
            </w:rPr>
            <w:t>-</w:t>
          </w:r>
          <w:r>
            <w:rPr>
              <w:bCs/>
            </w:rPr>
            <w:t>S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9A0BA8">
            <w:rPr>
              <w:noProof/>
            </w:rPr>
            <w:t>2</w:t>
          </w:r>
          <w:r>
            <w:rPr>
              <w:noProof/>
            </w:rPr>
            <w:fldChar w:fldCharType="end"/>
          </w:r>
        </w:p>
      </w:tc>
    </w:tr>
  </w:tbl>
  <w:p w14:paraId="6F691002" w14:textId="77777777" w:rsidR="00760F1C" w:rsidRPr="003273A4" w:rsidRDefault="00760F1C" w:rsidP="003273A4">
    <w:pPr>
      <w:pStyle w:val="Footer"/>
      <w:rPr>
        <w:b/>
        <w:bCs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F24B71" w:rsidRPr="00784011" w14:paraId="4A8F164E" w14:textId="77777777" w:rsidTr="00E31DCE">
      <w:trPr>
        <w:jc w:val="center"/>
      </w:trPr>
      <w:tc>
        <w:tcPr>
          <w:tcW w:w="1803" w:type="dxa"/>
          <w:vAlign w:val="center"/>
        </w:tcPr>
        <w:p w14:paraId="00FA64BD" w14:textId="4747333A" w:rsidR="00F24B71" w:rsidRDefault="00F24B71" w:rsidP="00F24B71">
          <w:pPr>
            <w:pStyle w:val="Header"/>
            <w:jc w:val="left"/>
            <w:rPr>
              <w:noProof/>
            </w:rPr>
          </w:pPr>
          <w:proofErr w:type="spellStart"/>
          <w:r w:rsidRPr="0064481D">
            <w:rPr>
              <w:color w:val="0563C1"/>
              <w:szCs w:val="14"/>
            </w:rPr>
            <w:t>www.itu.int</w:t>
          </w:r>
          <w:proofErr w:type="spellEnd"/>
          <w:r w:rsidRPr="0064481D">
            <w:rPr>
              <w:color w:val="0563C1"/>
              <w:szCs w:val="14"/>
            </w:rPr>
            <w:t>/</w:t>
          </w:r>
          <w:proofErr w:type="spellStart"/>
          <w:r w:rsidRPr="0064481D">
            <w:rPr>
              <w:color w:val="0563C1"/>
              <w:szCs w:val="14"/>
            </w:rPr>
            <w:t>council</w:t>
          </w:r>
          <w:proofErr w:type="spellEnd"/>
        </w:p>
      </w:tc>
      <w:tc>
        <w:tcPr>
          <w:tcW w:w="8261" w:type="dxa"/>
        </w:tcPr>
        <w:p w14:paraId="20F74E99" w14:textId="470BBFB0" w:rsidR="00F24B71" w:rsidRPr="00E06FD5" w:rsidRDefault="00F24B71" w:rsidP="00EB352C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proofErr w:type="spellStart"/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64481D">
            <w:rPr>
              <w:bCs/>
            </w:rPr>
            <w:t>4</w:t>
          </w:r>
          <w:proofErr w:type="spellEnd"/>
          <w:r w:rsidRPr="00623AE3">
            <w:rPr>
              <w:bCs/>
            </w:rPr>
            <w:t>/</w:t>
          </w:r>
          <w:r w:rsidR="00EB352C">
            <w:rPr>
              <w:bCs/>
            </w:rPr>
            <w:t>103</w:t>
          </w:r>
          <w:r w:rsidRPr="00623AE3">
            <w:rPr>
              <w:bCs/>
            </w:rPr>
            <w:t>-</w:t>
          </w:r>
          <w:r w:rsidR="003273A4">
            <w:rPr>
              <w:bCs/>
            </w:rPr>
            <w:t>S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9A0BA8">
            <w:rPr>
              <w:noProof/>
            </w:rPr>
            <w:t>1</w:t>
          </w:r>
          <w:r>
            <w:rPr>
              <w:noProof/>
            </w:rPr>
            <w:fldChar w:fldCharType="end"/>
          </w:r>
        </w:p>
      </w:tc>
    </w:tr>
  </w:tbl>
  <w:p w14:paraId="6E5781B1" w14:textId="77777777" w:rsidR="00760F1C" w:rsidRPr="00F24B71" w:rsidRDefault="00760F1C" w:rsidP="00F24B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C915F2" w14:textId="77777777" w:rsidR="004204A9" w:rsidRDefault="004204A9">
      <w:r>
        <w:t>____________________</w:t>
      </w:r>
    </w:p>
  </w:footnote>
  <w:footnote w:type="continuationSeparator" w:id="0">
    <w:p w14:paraId="5423B9A0" w14:textId="77777777" w:rsidR="004204A9" w:rsidRDefault="004204A9">
      <w:r>
        <w:continuationSeparator/>
      </w:r>
    </w:p>
  </w:footnote>
  <w:footnote w:id="1">
    <w:p w14:paraId="076CE6E4" w14:textId="7D720DC3" w:rsidR="00B455AC" w:rsidRPr="003C00BE" w:rsidRDefault="00B455AC" w:rsidP="003F463C">
      <w:pPr>
        <w:pStyle w:val="FootnoteText"/>
        <w:spacing w:before="0"/>
        <w:rPr>
          <w:lang w:val="fr-CH"/>
        </w:rPr>
      </w:pPr>
      <w:r w:rsidRPr="00B455AC">
        <w:rPr>
          <w:rStyle w:val="FootnoteReference"/>
        </w:rPr>
        <w:sym w:font="Symbol" w:char="F02A"/>
      </w:r>
      <w:r w:rsidRPr="000822C3">
        <w:tab/>
      </w:r>
      <w:r w:rsidRPr="001645B3">
        <w:rPr>
          <w:i/>
          <w:iCs/>
          <w:sz w:val="20"/>
          <w:lang w:val="es-ES"/>
        </w:rPr>
        <w:t>Resolución 99</w:t>
      </w:r>
      <w:r w:rsidR="003F463C">
        <w:rPr>
          <w:i/>
          <w:iCs/>
          <w:sz w:val="20"/>
          <w:lang w:val="es-ES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EC0B6" w14:textId="77777777" w:rsidR="00F64D12" w:rsidRDefault="00F64D1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807F1" w14:textId="77777777" w:rsidR="00F64D12" w:rsidRDefault="00F64D1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5630"/>
    </w:tblGrid>
    <w:tr w:rsidR="001559F5" w:rsidRPr="00784011" w14:paraId="76B6746D" w14:textId="77777777" w:rsidTr="00E31DCE">
      <w:trPr>
        <w:trHeight w:val="1104"/>
        <w:jc w:val="center"/>
      </w:trPr>
      <w:tc>
        <w:tcPr>
          <w:tcW w:w="4390" w:type="dxa"/>
          <w:vAlign w:val="center"/>
        </w:tcPr>
        <w:p w14:paraId="60B7BDEF" w14:textId="13E11BFA" w:rsidR="001559F5" w:rsidRPr="009621F8" w:rsidRDefault="0064481D" w:rsidP="001559F5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27" w:name="_Hlk133422111"/>
          <w:r>
            <w:rPr>
              <w:noProof/>
              <w:lang w:val="en-US" w:eastAsia="ja-JP"/>
            </w:rPr>
            <w:drawing>
              <wp:inline distT="0" distB="0" distL="0" distR="0" wp14:anchorId="609EF78D" wp14:editId="2F51CA14">
                <wp:extent cx="2368800" cy="558000"/>
                <wp:effectExtent l="0" t="0" r="0" b="0"/>
                <wp:docPr id="1205964815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68800" cy="55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03FE5BFC" w14:textId="77777777" w:rsidR="001559F5" w:rsidRDefault="001559F5" w:rsidP="001559F5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501B8413" w14:textId="77777777" w:rsidR="001559F5" w:rsidRDefault="001559F5" w:rsidP="001559F5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4AA6A937" w14:textId="77777777" w:rsidR="001559F5" w:rsidRPr="00784011" w:rsidRDefault="001559F5" w:rsidP="001559F5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27"/>
  <w:p w14:paraId="509D6472" w14:textId="77777777" w:rsidR="001559F5" w:rsidRDefault="001559F5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  <w:lang w:val="en-US" w:eastAsia="ja-JP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B578359" wp14:editId="4756C778">
              <wp:simplePos x="0" y="0"/>
              <wp:positionH relativeFrom="page">
                <wp:posOffset>13005</wp:posOffset>
              </wp:positionH>
              <wp:positionV relativeFrom="topMargin">
                <wp:posOffset>659765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37754A" id="Rectangle 5" o:spid="_x0000_s1026" style="position:absolute;margin-left:1pt;margin-top:51.95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E0FF9"/>
    <w:multiLevelType w:val="multilevel"/>
    <w:tmpl w:val="FFFFFFFF"/>
    <w:lvl w:ilvl="0">
      <w:start w:val="1"/>
      <w:numFmt w:val="lowerLetter"/>
      <w:lvlText w:val="%1)"/>
      <w:lvlJc w:val="left"/>
      <w:pPr>
        <w:ind w:left="720" w:hanging="360"/>
      </w:pPr>
      <w:rPr>
        <w:i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7B29C2"/>
    <w:multiLevelType w:val="multilevel"/>
    <w:tmpl w:val="FFFFFFFF"/>
    <w:lvl w:ilvl="0">
      <w:start w:val="1"/>
      <w:numFmt w:val="decimal"/>
      <w:lvlText w:val="%1"/>
      <w:lvlJc w:val="left"/>
      <w:pPr>
        <w:ind w:left="570" w:hanging="57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82C617C"/>
    <w:multiLevelType w:val="multilevel"/>
    <w:tmpl w:val="FFFFFFFF"/>
    <w:lvl w:ilvl="0">
      <w:start w:val="1"/>
      <w:numFmt w:val="lowerLetter"/>
      <w:lvlText w:val="%1)"/>
      <w:lvlJc w:val="left"/>
      <w:pPr>
        <w:ind w:left="720" w:hanging="360"/>
      </w:pPr>
      <w:rPr>
        <w:i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235ACB"/>
    <w:multiLevelType w:val="multilevel"/>
    <w:tmpl w:val="FFFFFFFF"/>
    <w:lvl w:ilvl="0">
      <w:start w:val="1"/>
      <w:numFmt w:val="decimal"/>
      <w:lvlText w:val="%1"/>
      <w:lvlJc w:val="left"/>
      <w:pPr>
        <w:ind w:left="930" w:hanging="57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58451401">
    <w:abstractNumId w:val="3"/>
  </w:num>
  <w:num w:numId="2" w16cid:durableId="1843162955">
    <w:abstractNumId w:val="0"/>
  </w:num>
  <w:num w:numId="3" w16cid:durableId="1018583553">
    <w:abstractNumId w:val="2"/>
  </w:num>
  <w:num w:numId="4" w16cid:durableId="11989311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81D"/>
    <w:rsid w:val="000007D1"/>
    <w:rsid w:val="00093EEB"/>
    <w:rsid w:val="000B0D00"/>
    <w:rsid w:val="000B3642"/>
    <w:rsid w:val="000B7C15"/>
    <w:rsid w:val="000D1D0F"/>
    <w:rsid w:val="000F5290"/>
    <w:rsid w:val="0010165C"/>
    <w:rsid w:val="00134BCB"/>
    <w:rsid w:val="00146BFB"/>
    <w:rsid w:val="00147175"/>
    <w:rsid w:val="001559F5"/>
    <w:rsid w:val="00167E6D"/>
    <w:rsid w:val="0018599C"/>
    <w:rsid w:val="001E0255"/>
    <w:rsid w:val="001E2585"/>
    <w:rsid w:val="001F14A2"/>
    <w:rsid w:val="001F2A24"/>
    <w:rsid w:val="002801AA"/>
    <w:rsid w:val="002904E3"/>
    <w:rsid w:val="002B0F14"/>
    <w:rsid w:val="002C4676"/>
    <w:rsid w:val="002C575D"/>
    <w:rsid w:val="002C70B0"/>
    <w:rsid w:val="002F3CC4"/>
    <w:rsid w:val="003029BC"/>
    <w:rsid w:val="003111D7"/>
    <w:rsid w:val="003273A4"/>
    <w:rsid w:val="00371B8B"/>
    <w:rsid w:val="0038264A"/>
    <w:rsid w:val="003C4EB3"/>
    <w:rsid w:val="003F463C"/>
    <w:rsid w:val="0040299B"/>
    <w:rsid w:val="004204A9"/>
    <w:rsid w:val="00437152"/>
    <w:rsid w:val="00451993"/>
    <w:rsid w:val="00473962"/>
    <w:rsid w:val="00477568"/>
    <w:rsid w:val="004808D6"/>
    <w:rsid w:val="004B5D49"/>
    <w:rsid w:val="00504C86"/>
    <w:rsid w:val="00513630"/>
    <w:rsid w:val="00522775"/>
    <w:rsid w:val="005346AD"/>
    <w:rsid w:val="00560125"/>
    <w:rsid w:val="00585553"/>
    <w:rsid w:val="005B34D9"/>
    <w:rsid w:val="005D0CCF"/>
    <w:rsid w:val="005E014C"/>
    <w:rsid w:val="005F3BCB"/>
    <w:rsid w:val="005F410F"/>
    <w:rsid w:val="0060149A"/>
    <w:rsid w:val="00601924"/>
    <w:rsid w:val="006447EA"/>
    <w:rsid w:val="0064481D"/>
    <w:rsid w:val="0064731F"/>
    <w:rsid w:val="00664572"/>
    <w:rsid w:val="006710F6"/>
    <w:rsid w:val="00677A97"/>
    <w:rsid w:val="00680D26"/>
    <w:rsid w:val="006C1B56"/>
    <w:rsid w:val="006D4761"/>
    <w:rsid w:val="00720027"/>
    <w:rsid w:val="00723288"/>
    <w:rsid w:val="00726872"/>
    <w:rsid w:val="00760F1C"/>
    <w:rsid w:val="007657F0"/>
    <w:rsid w:val="00766522"/>
    <w:rsid w:val="0077252D"/>
    <w:rsid w:val="00786DBB"/>
    <w:rsid w:val="007955DA"/>
    <w:rsid w:val="007E5DD3"/>
    <w:rsid w:val="007F350B"/>
    <w:rsid w:val="007F36CD"/>
    <w:rsid w:val="00820BE4"/>
    <w:rsid w:val="008451E8"/>
    <w:rsid w:val="00853F68"/>
    <w:rsid w:val="00861D02"/>
    <w:rsid w:val="00871AE7"/>
    <w:rsid w:val="008C6770"/>
    <w:rsid w:val="008E0E43"/>
    <w:rsid w:val="008F70A8"/>
    <w:rsid w:val="00913B9C"/>
    <w:rsid w:val="00927F93"/>
    <w:rsid w:val="00956E77"/>
    <w:rsid w:val="00981928"/>
    <w:rsid w:val="009A0BA8"/>
    <w:rsid w:val="009D2878"/>
    <w:rsid w:val="009E312B"/>
    <w:rsid w:val="009F4811"/>
    <w:rsid w:val="00A005CD"/>
    <w:rsid w:val="00A536E7"/>
    <w:rsid w:val="00A768EA"/>
    <w:rsid w:val="00A774CD"/>
    <w:rsid w:val="00A84DB1"/>
    <w:rsid w:val="00AA390C"/>
    <w:rsid w:val="00AC6198"/>
    <w:rsid w:val="00B0200A"/>
    <w:rsid w:val="00B455AC"/>
    <w:rsid w:val="00B56186"/>
    <w:rsid w:val="00B574DB"/>
    <w:rsid w:val="00B826C2"/>
    <w:rsid w:val="00B8298E"/>
    <w:rsid w:val="00BD0723"/>
    <w:rsid w:val="00BD2518"/>
    <w:rsid w:val="00BF1D1C"/>
    <w:rsid w:val="00C161FF"/>
    <w:rsid w:val="00C17E64"/>
    <w:rsid w:val="00C20C59"/>
    <w:rsid w:val="00C2727F"/>
    <w:rsid w:val="00C538FC"/>
    <w:rsid w:val="00C55B1F"/>
    <w:rsid w:val="00C71D98"/>
    <w:rsid w:val="00CB421D"/>
    <w:rsid w:val="00CD73FE"/>
    <w:rsid w:val="00CF1A67"/>
    <w:rsid w:val="00D2750E"/>
    <w:rsid w:val="00D43B85"/>
    <w:rsid w:val="00D50A36"/>
    <w:rsid w:val="00D62446"/>
    <w:rsid w:val="00DA4EA2"/>
    <w:rsid w:val="00DC3D3E"/>
    <w:rsid w:val="00DE2C90"/>
    <w:rsid w:val="00DE3B24"/>
    <w:rsid w:val="00E00A27"/>
    <w:rsid w:val="00E06947"/>
    <w:rsid w:val="00E13924"/>
    <w:rsid w:val="00E34072"/>
    <w:rsid w:val="00E3592D"/>
    <w:rsid w:val="00E50D76"/>
    <w:rsid w:val="00E92DE8"/>
    <w:rsid w:val="00EB1212"/>
    <w:rsid w:val="00EB352C"/>
    <w:rsid w:val="00EC7793"/>
    <w:rsid w:val="00ED65AB"/>
    <w:rsid w:val="00F10409"/>
    <w:rsid w:val="00F12850"/>
    <w:rsid w:val="00F146D4"/>
    <w:rsid w:val="00F24B71"/>
    <w:rsid w:val="00F33BF4"/>
    <w:rsid w:val="00F64D12"/>
    <w:rsid w:val="00F7105E"/>
    <w:rsid w:val="00F75F57"/>
    <w:rsid w:val="00F82FEE"/>
    <w:rsid w:val="00FD57D3"/>
    <w:rsid w:val="00FE57F6"/>
    <w:rsid w:val="00FF11BD"/>
    <w:rsid w:val="00FF1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18F011FC"/>
  <w15:docId w15:val="{19AABEA5-5120-4023-B43A-3E68776CD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0D0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0B0D00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0B0D00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0B0D00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0B0D00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0B0D00"/>
    <w:pPr>
      <w:outlineLvl w:val="4"/>
    </w:pPr>
  </w:style>
  <w:style w:type="paragraph" w:styleId="Heading6">
    <w:name w:val="heading 6"/>
    <w:basedOn w:val="Heading4"/>
    <w:next w:val="Normal"/>
    <w:qFormat/>
    <w:rsid w:val="000B0D00"/>
    <w:pPr>
      <w:outlineLvl w:val="5"/>
    </w:pPr>
  </w:style>
  <w:style w:type="paragraph" w:styleId="Heading7">
    <w:name w:val="heading 7"/>
    <w:basedOn w:val="Heading4"/>
    <w:next w:val="Normal"/>
    <w:qFormat/>
    <w:rsid w:val="000B0D00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0B0D00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0B0D00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6710F6"/>
  </w:style>
  <w:style w:type="paragraph" w:styleId="TOC4">
    <w:name w:val="toc 4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6710F6"/>
    <w:pPr>
      <w:ind w:left="1698"/>
    </w:pPr>
  </w:style>
  <w:style w:type="paragraph" w:styleId="Index6">
    <w:name w:val="index 6"/>
    <w:basedOn w:val="Normal"/>
    <w:next w:val="Normal"/>
    <w:rsid w:val="006710F6"/>
    <w:pPr>
      <w:ind w:left="1415"/>
    </w:pPr>
  </w:style>
  <w:style w:type="paragraph" w:styleId="Index5">
    <w:name w:val="index 5"/>
    <w:basedOn w:val="Normal"/>
    <w:next w:val="Normal"/>
    <w:rsid w:val="006710F6"/>
    <w:pPr>
      <w:ind w:left="1132"/>
    </w:pPr>
  </w:style>
  <w:style w:type="paragraph" w:styleId="Index4">
    <w:name w:val="index 4"/>
    <w:basedOn w:val="Normal"/>
    <w:next w:val="Normal"/>
    <w:rsid w:val="006710F6"/>
    <w:pPr>
      <w:ind w:left="849"/>
    </w:pPr>
  </w:style>
  <w:style w:type="paragraph" w:styleId="Index3">
    <w:name w:val="index 3"/>
    <w:basedOn w:val="Normal"/>
    <w:next w:val="Normal"/>
    <w:rsid w:val="006710F6"/>
    <w:pPr>
      <w:ind w:left="566"/>
    </w:pPr>
  </w:style>
  <w:style w:type="paragraph" w:styleId="Index2">
    <w:name w:val="index 2"/>
    <w:basedOn w:val="Normal"/>
    <w:next w:val="Normal"/>
    <w:rsid w:val="006710F6"/>
    <w:pPr>
      <w:ind w:left="283"/>
    </w:pPr>
  </w:style>
  <w:style w:type="paragraph" w:styleId="Index1">
    <w:name w:val="index 1"/>
    <w:basedOn w:val="Normal"/>
    <w:next w:val="Normal"/>
    <w:rsid w:val="006710F6"/>
  </w:style>
  <w:style w:type="character" w:styleId="LineNumber">
    <w:name w:val="line number"/>
    <w:basedOn w:val="DefaultParagraphFont"/>
    <w:rsid w:val="006710F6"/>
  </w:style>
  <w:style w:type="paragraph" w:styleId="IndexHeading">
    <w:name w:val="index heading"/>
    <w:basedOn w:val="Normal"/>
    <w:next w:val="Index1"/>
    <w:rsid w:val="006710F6"/>
  </w:style>
  <w:style w:type="paragraph" w:styleId="Footer">
    <w:name w:val="foot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0B0D00"/>
    <w:rPr>
      <w:position w:val="6"/>
      <w:sz w:val="16"/>
    </w:rPr>
  </w:style>
  <w:style w:type="paragraph" w:styleId="FootnoteText">
    <w:name w:val="footnote text"/>
    <w:basedOn w:val="Normal"/>
    <w:rsid w:val="000B0D00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0B0D00"/>
    <w:pPr>
      <w:ind w:left="567"/>
    </w:pPr>
  </w:style>
  <w:style w:type="paragraph" w:customStyle="1" w:styleId="AnnexNo">
    <w:name w:val="Annex_No"/>
    <w:basedOn w:val="Normal"/>
    <w:next w:val="Annexref"/>
    <w:rsid w:val="000B0D00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0B0D00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0B0D00"/>
    <w:pPr>
      <w:jc w:val="center"/>
    </w:pPr>
    <w:rPr>
      <w:sz w:val="28"/>
    </w:rPr>
  </w:style>
  <w:style w:type="paragraph" w:customStyle="1" w:styleId="Normalaftertitle">
    <w:name w:val="Normal after title"/>
    <w:basedOn w:val="Normal"/>
    <w:next w:val="Normal"/>
    <w:rsid w:val="000B0D00"/>
    <w:pPr>
      <w:spacing w:before="240"/>
    </w:pPr>
  </w:style>
  <w:style w:type="paragraph" w:customStyle="1" w:styleId="AppendixNo">
    <w:name w:val="Appendix_No"/>
    <w:basedOn w:val="AnnexNo"/>
    <w:next w:val="Appendixref"/>
    <w:rsid w:val="000B0D00"/>
  </w:style>
  <w:style w:type="paragraph" w:customStyle="1" w:styleId="Appendixtitle">
    <w:name w:val="Appendix_title"/>
    <w:basedOn w:val="Annextitle"/>
    <w:next w:val="Normal"/>
    <w:rsid w:val="000B0D00"/>
  </w:style>
  <w:style w:type="paragraph" w:customStyle="1" w:styleId="Appendixref">
    <w:name w:val="Appendix_ref"/>
    <w:basedOn w:val="Annexref"/>
    <w:next w:val="Appendixtitle"/>
    <w:rsid w:val="000B0D00"/>
  </w:style>
  <w:style w:type="paragraph" w:customStyle="1" w:styleId="enumlev1">
    <w:name w:val="enumlev1"/>
    <w:basedOn w:val="Normal"/>
    <w:rsid w:val="000B0D00"/>
    <w:pPr>
      <w:spacing w:before="86"/>
      <w:ind w:left="567" w:hanging="567"/>
    </w:pPr>
  </w:style>
  <w:style w:type="paragraph" w:customStyle="1" w:styleId="enumlev2">
    <w:name w:val="enumlev2"/>
    <w:basedOn w:val="enumlev1"/>
    <w:rsid w:val="000B0D00"/>
    <w:pPr>
      <w:ind w:left="1134"/>
    </w:pPr>
  </w:style>
  <w:style w:type="paragraph" w:customStyle="1" w:styleId="enumlev3">
    <w:name w:val="enumlev3"/>
    <w:basedOn w:val="enumlev2"/>
    <w:rsid w:val="000B0D00"/>
    <w:pPr>
      <w:ind w:left="1701"/>
    </w:pPr>
  </w:style>
  <w:style w:type="paragraph" w:customStyle="1" w:styleId="Artheading">
    <w:name w:val="Art_heading"/>
    <w:basedOn w:val="Normal"/>
    <w:next w:val="Normalafter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0B0D00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Chaptitle"/>
    <w:rsid w:val="000B0D00"/>
  </w:style>
  <w:style w:type="paragraph" w:customStyle="1" w:styleId="Chaptitle">
    <w:name w:val="Chap_title"/>
    <w:basedOn w:val="Arttitle"/>
    <w:next w:val="Normal"/>
    <w:rsid w:val="000B0D00"/>
  </w:style>
  <w:style w:type="paragraph" w:customStyle="1" w:styleId="Equationlegend">
    <w:name w:val="Equation_legend"/>
    <w:basedOn w:val="NormalIndent"/>
    <w:rsid w:val="006710F6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6710F6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6710F6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0B0D00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6710F6"/>
    <w:pPr>
      <w:keepNext/>
      <w:keepLines/>
      <w:spacing w:before="20" w:after="20"/>
    </w:pPr>
    <w:rPr>
      <w:sz w:val="18"/>
    </w:rPr>
  </w:style>
  <w:style w:type="paragraph" w:customStyle="1" w:styleId="Equation">
    <w:name w:val="Equation"/>
    <w:basedOn w:val="Normal"/>
    <w:rsid w:val="006710F6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710F6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6710F6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710F6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710F6"/>
    <w:pPr>
      <w:keepNext w:val="0"/>
      <w:spacing w:after="240"/>
    </w:pPr>
  </w:style>
  <w:style w:type="character" w:styleId="PageNumber">
    <w:name w:val="page number"/>
    <w:basedOn w:val="DefaultParagraphFont"/>
    <w:rsid w:val="000B0D00"/>
    <w:rPr>
      <w:rFonts w:ascii="Calibri" w:hAnsi="Calibri"/>
    </w:rPr>
  </w:style>
  <w:style w:type="paragraph" w:customStyle="1" w:styleId="meeting">
    <w:name w:val="meeting"/>
    <w:basedOn w:val="Head"/>
    <w:next w:val="Head"/>
    <w:rsid w:val="006710F6"/>
    <w:pPr>
      <w:tabs>
        <w:tab w:val="left" w:pos="7371"/>
      </w:tabs>
      <w:spacing w:after="567"/>
    </w:pPr>
  </w:style>
  <w:style w:type="paragraph" w:customStyle="1" w:styleId="PartNo">
    <w:name w:val="Part_No"/>
    <w:basedOn w:val="AnnexNo"/>
    <w:next w:val="Parttitle"/>
    <w:rsid w:val="006710F6"/>
  </w:style>
  <w:style w:type="paragraph" w:customStyle="1" w:styleId="Parttitle">
    <w:name w:val="Part_title"/>
    <w:basedOn w:val="Annextitle"/>
    <w:next w:val="Partref"/>
    <w:rsid w:val="006710F6"/>
  </w:style>
  <w:style w:type="paragraph" w:customStyle="1" w:styleId="Partref">
    <w:name w:val="Part_ref"/>
    <w:basedOn w:val="Annexref"/>
    <w:next w:val="Normalaftertitle"/>
    <w:rsid w:val="006710F6"/>
  </w:style>
  <w:style w:type="paragraph" w:customStyle="1" w:styleId="Headingb">
    <w:name w:val="Heading_b"/>
    <w:basedOn w:val="Heading3"/>
    <w:next w:val="Normal"/>
    <w:rsid w:val="000B0D00"/>
    <w:pPr>
      <w:spacing w:before="160"/>
      <w:outlineLvl w:val="0"/>
    </w:pPr>
  </w:style>
  <w:style w:type="paragraph" w:customStyle="1" w:styleId="Subject">
    <w:name w:val="Subject"/>
    <w:basedOn w:val="Normal"/>
    <w:next w:val="Source"/>
    <w:rsid w:val="006710F6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0B0D00"/>
    <w:pPr>
      <w:spacing w:before="840"/>
      <w:jc w:val="center"/>
    </w:pPr>
    <w:rPr>
      <w:b/>
      <w:sz w:val="28"/>
    </w:rPr>
  </w:style>
  <w:style w:type="paragraph" w:customStyle="1" w:styleId="Data">
    <w:name w:val="Data"/>
    <w:basedOn w:val="Subject"/>
    <w:next w:val="Subject"/>
    <w:rsid w:val="006710F6"/>
  </w:style>
  <w:style w:type="character" w:styleId="Hyperlink">
    <w:name w:val="Hyperlink"/>
    <w:basedOn w:val="DefaultParagraphFont"/>
    <w:rsid w:val="000B0D00"/>
    <w:rPr>
      <w:color w:val="0000FF"/>
      <w:u w:val="single"/>
    </w:rPr>
  </w:style>
  <w:style w:type="character" w:styleId="FollowedHyperlink">
    <w:name w:val="FollowedHyperlink"/>
    <w:basedOn w:val="DefaultParagraphFont"/>
    <w:rsid w:val="006710F6"/>
    <w:rPr>
      <w:color w:val="800080"/>
      <w:u w:val="single"/>
    </w:rPr>
  </w:style>
  <w:style w:type="paragraph" w:customStyle="1" w:styleId="FirstFooter">
    <w:name w:val="FirstFooter"/>
    <w:basedOn w:val="Footer"/>
    <w:rsid w:val="000B0D00"/>
    <w:rPr>
      <w:caps w:val="0"/>
    </w:rPr>
  </w:style>
  <w:style w:type="paragraph" w:customStyle="1" w:styleId="Note">
    <w:name w:val="Note"/>
    <w:basedOn w:val="Normal"/>
    <w:rsid w:val="000B0D00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6710F6"/>
  </w:style>
  <w:style w:type="paragraph" w:customStyle="1" w:styleId="Headingi">
    <w:name w:val="Heading_i"/>
    <w:basedOn w:val="Heading3"/>
    <w:next w:val="Normal"/>
    <w:rsid w:val="000B0D00"/>
    <w:pPr>
      <w:spacing w:before="160"/>
      <w:outlineLvl w:val="0"/>
    </w:pPr>
    <w:rPr>
      <w:b w:val="0"/>
      <w:i/>
    </w:rPr>
  </w:style>
  <w:style w:type="paragraph" w:customStyle="1" w:styleId="Title1">
    <w:name w:val="Title 1"/>
    <w:basedOn w:val="Source"/>
    <w:next w:val="Title2"/>
    <w:rsid w:val="000B0D00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0B0D00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0B0D00"/>
    <w:rPr>
      <w:caps w:val="0"/>
    </w:rPr>
  </w:style>
  <w:style w:type="paragraph" w:customStyle="1" w:styleId="Title4">
    <w:name w:val="Title 4"/>
    <w:basedOn w:val="Title3"/>
    <w:next w:val="Heading1"/>
    <w:rsid w:val="006710F6"/>
    <w:rPr>
      <w:b/>
    </w:rPr>
  </w:style>
  <w:style w:type="paragraph" w:customStyle="1" w:styleId="dnum">
    <w:name w:val="dnum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RecNo">
    <w:name w:val="Rec_No"/>
    <w:basedOn w:val="Normal"/>
    <w:next w:val="Rectitle"/>
    <w:rsid w:val="000B0D00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0B0D00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6710F6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710F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710F6"/>
  </w:style>
  <w:style w:type="paragraph" w:customStyle="1" w:styleId="QuestionNo">
    <w:name w:val="Question_No"/>
    <w:basedOn w:val="RecNo"/>
    <w:next w:val="Questiontitle"/>
    <w:rsid w:val="006710F6"/>
  </w:style>
  <w:style w:type="paragraph" w:customStyle="1" w:styleId="Questiontitle">
    <w:name w:val="Question_title"/>
    <w:basedOn w:val="Rectitle"/>
    <w:next w:val="Questionref"/>
    <w:rsid w:val="006710F6"/>
  </w:style>
  <w:style w:type="paragraph" w:customStyle="1" w:styleId="Questionref">
    <w:name w:val="Question_ref"/>
    <w:basedOn w:val="Recref"/>
    <w:next w:val="Questiondate"/>
    <w:rsid w:val="006710F6"/>
  </w:style>
  <w:style w:type="paragraph" w:customStyle="1" w:styleId="Reftext">
    <w:name w:val="Ref_text"/>
    <w:basedOn w:val="Normal"/>
    <w:rsid w:val="000B0D00"/>
    <w:pPr>
      <w:ind w:left="567" w:hanging="567"/>
    </w:pPr>
  </w:style>
  <w:style w:type="paragraph" w:customStyle="1" w:styleId="Reftitle">
    <w:name w:val="Ref_title"/>
    <w:basedOn w:val="Normal"/>
    <w:next w:val="Reftext"/>
    <w:rsid w:val="000B0D00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6710F6"/>
  </w:style>
  <w:style w:type="paragraph" w:customStyle="1" w:styleId="RepNo">
    <w:name w:val="Rep_No"/>
    <w:basedOn w:val="RecNo"/>
    <w:next w:val="Reptitle"/>
    <w:rsid w:val="006710F6"/>
  </w:style>
  <w:style w:type="paragraph" w:customStyle="1" w:styleId="Reptitle">
    <w:name w:val="Rep_title"/>
    <w:basedOn w:val="Rectitle"/>
    <w:next w:val="Repref"/>
    <w:rsid w:val="006710F6"/>
  </w:style>
  <w:style w:type="paragraph" w:customStyle="1" w:styleId="Repref">
    <w:name w:val="Rep_ref"/>
    <w:basedOn w:val="Recref"/>
    <w:next w:val="Repdate"/>
    <w:rsid w:val="006710F6"/>
  </w:style>
  <w:style w:type="paragraph" w:customStyle="1" w:styleId="Resdate">
    <w:name w:val="Res_date"/>
    <w:basedOn w:val="Recdate"/>
    <w:next w:val="Normalaftertitle"/>
    <w:rsid w:val="006710F6"/>
  </w:style>
  <w:style w:type="paragraph" w:customStyle="1" w:styleId="ResNo">
    <w:name w:val="Res_No"/>
    <w:basedOn w:val="AnnexNo"/>
    <w:next w:val="Restitle"/>
    <w:rsid w:val="000B0D00"/>
  </w:style>
  <w:style w:type="paragraph" w:customStyle="1" w:styleId="Restitle">
    <w:name w:val="Res_title"/>
    <w:basedOn w:val="Annextitle"/>
    <w:next w:val="Normal"/>
    <w:rsid w:val="000B0D00"/>
  </w:style>
  <w:style w:type="paragraph" w:customStyle="1" w:styleId="Resref">
    <w:name w:val="Res_ref"/>
    <w:basedOn w:val="Recref"/>
    <w:next w:val="Resdate"/>
    <w:rsid w:val="006710F6"/>
  </w:style>
  <w:style w:type="paragraph" w:customStyle="1" w:styleId="SectionNo">
    <w:name w:val="Section_No"/>
    <w:basedOn w:val="AnnexNo"/>
    <w:next w:val="Sectiontitle"/>
    <w:rsid w:val="006710F6"/>
  </w:style>
  <w:style w:type="paragraph" w:customStyle="1" w:styleId="Sectiontitle">
    <w:name w:val="Section_title"/>
    <w:basedOn w:val="Normal"/>
    <w:next w:val="Normalaftertitle"/>
    <w:rsid w:val="006710F6"/>
    <w:rPr>
      <w:sz w:val="28"/>
    </w:rPr>
  </w:style>
  <w:style w:type="paragraph" w:customStyle="1" w:styleId="SpecialFooter">
    <w:name w:val="Special Footer"/>
    <w:basedOn w:val="Footer"/>
    <w:rsid w:val="006710F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0B0D00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6710F6"/>
    <w:pPr>
      <w:spacing w:before="120"/>
    </w:pPr>
  </w:style>
  <w:style w:type="paragraph" w:customStyle="1" w:styleId="Tableref">
    <w:name w:val="Table_ref"/>
    <w:basedOn w:val="Normal"/>
    <w:next w:val="Tabletitle"/>
    <w:rsid w:val="006710F6"/>
    <w:pPr>
      <w:keepNext/>
      <w:spacing w:before="567"/>
      <w:jc w:val="center"/>
    </w:pPr>
  </w:style>
  <w:style w:type="paragraph" w:customStyle="1" w:styleId="Reasons">
    <w:name w:val="Reasons"/>
    <w:basedOn w:val="Normal"/>
    <w:qFormat/>
    <w:rsid w:val="000B0D00"/>
  </w:style>
  <w:style w:type="paragraph" w:customStyle="1" w:styleId="FigureNo">
    <w:name w:val="Figure_No"/>
    <w:basedOn w:val="Normal"/>
    <w:next w:val="Figuretitle"/>
    <w:rsid w:val="006710F6"/>
    <w:pPr>
      <w:keepNext/>
      <w:keepLines/>
      <w:spacing w:before="240" w:after="120"/>
      <w:jc w:val="center"/>
    </w:pPr>
    <w:rPr>
      <w:caps/>
    </w:rPr>
  </w:style>
  <w:style w:type="paragraph" w:customStyle="1" w:styleId="Table">
    <w:name w:val="Table_#"/>
    <w:basedOn w:val="Normal"/>
    <w:next w:val="Normal"/>
    <w:rsid w:val="00093EEB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lang w:val="en-GB"/>
    </w:rPr>
  </w:style>
  <w:style w:type="paragraph" w:customStyle="1" w:styleId="Subtitle">
    <w:name w:val="Sub_title"/>
    <w:basedOn w:val="Title1"/>
    <w:qFormat/>
    <w:rsid w:val="00FE57F6"/>
    <w:pPr>
      <w:framePr w:hSpace="180" w:wrap="around" w:hAnchor="page" w:x="1821" w:y="2317"/>
      <w:spacing w:before="120" w:after="160"/>
      <w:jc w:val="left"/>
    </w:pPr>
    <w:rPr>
      <w:caps w:val="0"/>
      <w:sz w:val="34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1559F5"/>
    <w:rPr>
      <w:rFonts w:ascii="Calibri" w:hAnsi="Calibri"/>
      <w:sz w:val="18"/>
      <w:lang w:val="es-ES_tradnl" w:eastAsia="en-US"/>
    </w:rPr>
  </w:style>
  <w:style w:type="table" w:styleId="TableGrid">
    <w:name w:val="Table Grid"/>
    <w:basedOn w:val="TableNormal"/>
    <w:uiPriority w:val="39"/>
    <w:rsid w:val="001559F5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Before24pt">
    <w:name w:val="Annex_No + Before:  24 pt"/>
    <w:basedOn w:val="Normal"/>
    <w:rsid w:val="00EB352C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textAlignment w:val="auto"/>
    </w:pPr>
    <w:rPr>
      <w:lang w:val="es-ES"/>
    </w:rPr>
  </w:style>
  <w:style w:type="paragraph" w:customStyle="1" w:styleId="NormalBodyCalibri">
    <w:name w:val="Normal + +Body (Calibri)"/>
    <w:basedOn w:val="Normal"/>
    <w:rsid w:val="00EB352C"/>
    <w:rPr>
      <w:lang w:val="es-ES"/>
    </w:rPr>
  </w:style>
  <w:style w:type="paragraph" w:customStyle="1" w:styleId="ListParagraphBodyCalibri">
    <w:name w:val="List Paragraph + +Body (Calibri)"/>
    <w:basedOn w:val="NormalBodyCalibri"/>
    <w:rsid w:val="002904E3"/>
    <w:pPr>
      <w:ind w:left="567" w:hanging="567"/>
    </w:pPr>
  </w:style>
  <w:style w:type="paragraph" w:styleId="Revision">
    <w:name w:val="Revision"/>
    <w:hidden/>
    <w:uiPriority w:val="99"/>
    <w:semiHidden/>
    <w:rsid w:val="00C71D98"/>
    <w:rPr>
      <w:rFonts w:ascii="Calibri" w:hAnsi="Calibri"/>
      <w:sz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docs.org/Home/Mobile?FinalSymbol=A%2FRES%2F78%2F170&amp;Language=E&amp;DeviceType=Desktop&amp;LangRequested=False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nesdoc.unesco.org/ark:/48223/pf0000387432_spa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undocs.org/Home/Mobile?FinalSymbol=A%2FRES%2F78%2F170&amp;Language=E&amp;DeviceType=Desktop&amp;LangRequested=False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unesdoc.unesco.org/ark:/48223/pf0000387432_spa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55736A-958E-4C25-AAEF-2F5E67099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1518</Words>
  <Characters>8546</Characters>
  <Application>Microsoft Office Word</Application>
  <DocSecurity>0</DocSecurity>
  <Lines>71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UNIÓN INTERNACIONAL DE TELECOMUNICACIONES	</vt:lpstr>
      </vt:variant>
      <vt:variant>
        <vt:i4>0</vt:i4>
      </vt:variant>
    </vt:vector>
  </HeadingPairs>
  <TitlesOfParts>
    <vt:vector size="1" baseType="lpstr">
      <vt:lpstr/>
    </vt:vector>
  </TitlesOfParts>
  <Manager>Secretaría General - Pool</Manager>
  <Company>International Telecommunication Union</Company>
  <LinksUpToDate>false</LinksUpToDate>
  <CharactersWithSpaces>10044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Consejo 2024 de la UIT</dc:subject>
  <dc:creator>Brouard, Ricarda</dc:creator>
  <cp:keywords>C2024, C24, Council-24</cp:keywords>
  <dc:description/>
  <cp:lastModifiedBy>LRT</cp:lastModifiedBy>
  <cp:revision>2</cp:revision>
  <cp:lastPrinted>2006-03-24T09:51:00Z</cp:lastPrinted>
  <dcterms:created xsi:type="dcterms:W3CDTF">2024-06-07T14:41:00Z</dcterms:created>
  <dcterms:modified xsi:type="dcterms:W3CDTF">2024-06-07T14:41:00Z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Documento C17/-S</vt:lpwstr>
  </property>
  <property fmtid="{D5CDD505-2E9C-101B-9397-08002B2CF9AE}" pid="3" name="Docdate">
    <vt:lpwstr>enero de 2017</vt:lpwstr>
  </property>
  <property fmtid="{D5CDD505-2E9C-101B-9397-08002B2CF9AE}" pid="4" name="Docorlang">
    <vt:lpwstr>Original: inglés</vt:lpwstr>
  </property>
  <property fmtid="{D5CDD505-2E9C-101B-9397-08002B2CF9AE}" pid="5" name="Docbluepink">
    <vt:lpwstr>Consejo 2017 Ginebra, 15-25 de mayo de 2017</vt:lpwstr>
  </property>
  <property fmtid="{D5CDD505-2E9C-101B-9397-08002B2CF9AE}" pid="6" name="Docdest">
    <vt:lpwstr/>
  </property>
  <property fmtid="{D5CDD505-2E9C-101B-9397-08002B2CF9AE}" pid="7" name="Docauthor">
    <vt:lpwstr/>
  </property>
</Properties>
</file>