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0598154C" w:rsidR="00FE57F6" w:rsidRPr="00E85629" w:rsidRDefault="00102B1F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>
              <w:rPr>
                <w:b/>
              </w:rPr>
              <w:t>Punto del Orden del Día</w:t>
            </w:r>
            <w:r w:rsidR="00FE57F6">
              <w:rPr>
                <w:b/>
              </w:rPr>
              <w:t xml:space="preserve">: </w:t>
            </w:r>
            <w:r w:rsidR="0042371C">
              <w:rPr>
                <w:b/>
              </w:rPr>
              <w:t>PL 2</w:t>
            </w:r>
          </w:p>
        </w:tc>
        <w:tc>
          <w:tcPr>
            <w:tcW w:w="5245" w:type="dxa"/>
          </w:tcPr>
          <w:p w14:paraId="12EC8577" w14:textId="596357E4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</w:t>
            </w:r>
            <w:r w:rsidR="0064481D">
              <w:rPr>
                <w:b/>
              </w:rPr>
              <w:t>4</w:t>
            </w:r>
            <w:r>
              <w:rPr>
                <w:b/>
              </w:rPr>
              <w:t>/</w:t>
            </w:r>
            <w:r w:rsidR="00B56B46">
              <w:rPr>
                <w:b/>
              </w:rPr>
              <w:t>98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19FFDD28" w:rsidR="00FE57F6" w:rsidRPr="00E85629" w:rsidRDefault="00B56B46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102B1F">
              <w:rPr>
                <w:b/>
              </w:rPr>
              <w:t xml:space="preserve"> de mayo</w:t>
            </w:r>
            <w:r w:rsidR="00FE57F6">
              <w:rPr>
                <w:b/>
              </w:rPr>
              <w:t xml:space="preserve"> 202</w:t>
            </w:r>
            <w:r w:rsidR="0064481D">
              <w:rPr>
                <w:b/>
              </w:rPr>
              <w:t>4</w:t>
            </w:r>
          </w:p>
        </w:tc>
      </w:tr>
      <w:tr w:rsidR="00FE57F6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4E45F94D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="00102B1F">
              <w:rPr>
                <w:rFonts w:cstheme="minorHAnsi"/>
                <w:b/>
                <w:bCs/>
                <w:lang w:val="fr-CH"/>
              </w:rPr>
              <w:t>español</w:t>
            </w:r>
            <w:proofErr w:type="spellEnd"/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102B1F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35C9D219" w:rsidR="00FE57F6" w:rsidRPr="00102B1F" w:rsidRDefault="00102B1F" w:rsidP="00C538FC">
            <w:pPr>
              <w:pStyle w:val="Source"/>
              <w:jc w:val="left"/>
              <w:rPr>
                <w:sz w:val="34"/>
                <w:szCs w:val="34"/>
                <w:lang w:val="en-US"/>
              </w:rPr>
            </w:pPr>
            <w:proofErr w:type="spellStart"/>
            <w:r>
              <w:rPr>
                <w:rFonts w:cstheme="minorHAnsi"/>
                <w:sz w:val="34"/>
                <w:szCs w:val="34"/>
                <w:lang w:val="en-US"/>
              </w:rPr>
              <w:t>Contribución</w:t>
            </w:r>
            <w:proofErr w:type="spellEnd"/>
            <w:r>
              <w:rPr>
                <w:rFonts w:cstheme="minorHAnsi"/>
                <w:sz w:val="34"/>
                <w:szCs w:val="34"/>
                <w:lang w:val="en-US"/>
              </w:rPr>
              <w:t xml:space="preserve"> de México</w:t>
            </w:r>
          </w:p>
        </w:tc>
      </w:tr>
      <w:tr w:rsidR="00FE57F6" w:rsidRPr="00813E5E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0C8766AD" w:rsidR="00FE57F6" w:rsidRPr="00102B1F" w:rsidRDefault="00102B1F" w:rsidP="00C538FC">
            <w:pPr>
              <w:pStyle w:val="Subtitle"/>
              <w:framePr w:hSpace="0" w:wrap="auto" w:hAnchor="text" w:xAlign="left" w:yAlign="inline"/>
              <w:rPr>
                <w:lang w:val="es-MX"/>
              </w:rPr>
            </w:pPr>
            <w:bookmarkStart w:id="1" w:name="_Hlk167278471"/>
            <w:r w:rsidRPr="00102B1F">
              <w:rPr>
                <w:rFonts w:cstheme="minorHAnsi"/>
                <w:lang w:val="es-MX"/>
              </w:rPr>
              <w:t>FORTALECIMEINTO DE LA PRESENCIA R</w:t>
            </w:r>
            <w:r>
              <w:rPr>
                <w:rFonts w:cstheme="minorHAnsi"/>
                <w:lang w:val="es-MX"/>
              </w:rPr>
              <w:t>EGIONAL</w:t>
            </w:r>
            <w:bookmarkEnd w:id="1"/>
          </w:p>
        </w:tc>
      </w:tr>
      <w:tr w:rsidR="00FE57F6" w:rsidRPr="00444B44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0521E400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Finalidad</w:t>
            </w:r>
          </w:p>
          <w:p w14:paraId="618C4414" w14:textId="376876E9" w:rsidR="00FE57F6" w:rsidRPr="00F24B71" w:rsidRDefault="00102B1F" w:rsidP="00C538FC">
            <w:pPr>
              <w:rPr>
                <w:lang w:val="es-ES"/>
              </w:rPr>
            </w:pPr>
            <w:r>
              <w:rPr>
                <w:lang w:val="es-ES"/>
              </w:rPr>
              <w:t>La Administración de México invita al Consejo a considerar sus propuestas con respecto al fortalecimiento de la presencial regional en relación con la Resolución 25.</w:t>
            </w:r>
          </w:p>
          <w:p w14:paraId="5D1C98A4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782E9752" w14:textId="77777777" w:rsidR="00102B1F" w:rsidRPr="00246155" w:rsidRDefault="00102B1F" w:rsidP="00102B1F">
            <w:r>
              <w:t xml:space="preserve">Se invita al Consejo a </w:t>
            </w:r>
            <w:r w:rsidRPr="00246155">
              <w:rPr>
                <w:b/>
                <w:bCs/>
              </w:rPr>
              <w:t>considerar</w:t>
            </w:r>
            <w:r>
              <w:t xml:space="preserve"> y </w:t>
            </w:r>
            <w:r w:rsidRPr="00246155">
              <w:rPr>
                <w:b/>
                <w:bCs/>
              </w:rPr>
              <w:t>debatir</w:t>
            </w:r>
            <w:r>
              <w:t xml:space="preserve"> las propuestas. </w:t>
            </w:r>
          </w:p>
          <w:p w14:paraId="5948AA98" w14:textId="77777777" w:rsidR="00FE57F6" w:rsidRPr="007F50AA" w:rsidRDefault="00FE57F6" w:rsidP="00C538FC">
            <w:pPr>
              <w:spacing w:before="160"/>
              <w:rPr>
                <w:caps/>
                <w:sz w:val="22"/>
                <w:lang w:val="es-MX"/>
              </w:rPr>
            </w:pPr>
            <w:r w:rsidRPr="007F50AA">
              <w:rPr>
                <w:sz w:val="22"/>
                <w:lang w:val="es-MX"/>
              </w:rPr>
              <w:t>__________________</w:t>
            </w:r>
          </w:p>
          <w:p w14:paraId="7019ED9B" w14:textId="77777777" w:rsidR="00444B44" w:rsidRPr="00444B44" w:rsidRDefault="00F24B71" w:rsidP="00444B44">
            <w:pPr>
              <w:spacing w:before="160"/>
              <w:rPr>
                <w:sz w:val="26"/>
                <w:szCs w:val="26"/>
                <w:lang w:val="es-MX"/>
              </w:rPr>
            </w:pPr>
            <w:r w:rsidRPr="00444B44">
              <w:rPr>
                <w:b/>
                <w:bCs/>
                <w:sz w:val="26"/>
                <w:szCs w:val="26"/>
                <w:lang w:val="es-MX"/>
              </w:rPr>
              <w:t>Referencia</w:t>
            </w:r>
            <w:r w:rsidR="00D375E0" w:rsidRPr="00444B44">
              <w:rPr>
                <w:sz w:val="26"/>
                <w:szCs w:val="26"/>
                <w:lang w:val="es-MX"/>
              </w:rPr>
              <w:t xml:space="preserve"> </w:t>
            </w:r>
          </w:p>
          <w:p w14:paraId="58339413" w14:textId="43AD3612" w:rsidR="00FE57F6" w:rsidRPr="00B56B46" w:rsidRDefault="0070669C" w:rsidP="00B56B46">
            <w:pPr>
              <w:spacing w:before="160" w:after="240"/>
              <w:rPr>
                <w:i/>
                <w:iCs/>
                <w:sz w:val="22"/>
                <w:szCs w:val="22"/>
                <w:lang w:val="es-MX"/>
              </w:rPr>
            </w:pPr>
            <w:hyperlink r:id="rId8" w:history="1">
              <w:r w:rsidR="009A322A" w:rsidRPr="00B56B46">
                <w:rPr>
                  <w:rStyle w:val="Hyperlink"/>
                  <w:i/>
                  <w:iCs/>
                  <w:sz w:val="22"/>
                  <w:szCs w:val="22"/>
                  <w:lang w:val="es-MX"/>
                </w:rPr>
                <w:t>Resolución 25</w:t>
              </w:r>
              <w:r w:rsidR="00444B44" w:rsidRPr="00B56B46">
                <w:rPr>
                  <w:rStyle w:val="Hyperlink"/>
                  <w:i/>
                  <w:iCs/>
                  <w:sz w:val="22"/>
                  <w:szCs w:val="22"/>
                  <w:lang w:val="es-MX"/>
                </w:rPr>
                <w:t>, (Rev. Bucarest, 2022) de la Conferencia de Plenipotenciarios</w:t>
              </w:r>
              <w:r w:rsidR="004D6BD2" w:rsidRPr="00B56B4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  <w:lang w:val="es-MX"/>
                </w:rPr>
                <w:t>;</w:t>
              </w:r>
            </w:hyperlink>
            <w:r w:rsidR="004D6BD2" w:rsidRPr="00B56B46">
              <w:rPr>
                <w:i/>
                <w:iCs/>
                <w:sz w:val="22"/>
                <w:szCs w:val="22"/>
                <w:lang w:val="es-MX"/>
              </w:rPr>
              <w:t xml:space="preserve"> </w:t>
            </w:r>
            <w:bookmarkStart w:id="2" w:name="_Hlk166490278"/>
            <w:r w:rsidR="00140685" w:rsidRPr="00B56B46">
              <w:rPr>
                <w:i/>
                <w:iCs/>
                <w:sz w:val="22"/>
                <w:szCs w:val="22"/>
                <w:lang w:val="es-MX"/>
              </w:rPr>
              <w:t>Documento</w:t>
            </w:r>
            <w:r w:rsidR="00B56B46">
              <w:rPr>
                <w:i/>
                <w:iCs/>
                <w:sz w:val="22"/>
                <w:szCs w:val="22"/>
                <w:lang w:val="es-MX"/>
              </w:rPr>
              <w:t>s del Consejo</w:t>
            </w:r>
            <w:r w:rsidR="00140685" w:rsidRPr="00B56B46">
              <w:rPr>
                <w:i/>
                <w:iCs/>
                <w:sz w:val="22"/>
                <w:szCs w:val="22"/>
                <w:lang w:val="es-MX"/>
              </w:rPr>
              <w:t xml:space="preserve"> </w:t>
            </w:r>
            <w:hyperlink r:id="rId9" w:history="1">
              <w:r w:rsidR="00140685" w:rsidRPr="00B56B46">
                <w:rPr>
                  <w:rStyle w:val="Hyperlink"/>
                  <w:i/>
                  <w:iCs/>
                  <w:sz w:val="22"/>
                  <w:szCs w:val="22"/>
                  <w:lang w:val="es-MX"/>
                </w:rPr>
                <w:t>C20/74</w:t>
              </w:r>
            </w:hyperlink>
            <w:r w:rsidR="00B56B46">
              <w:rPr>
                <w:i/>
                <w:iCs/>
                <w:sz w:val="22"/>
                <w:szCs w:val="22"/>
                <w:lang w:val="es-MX"/>
              </w:rPr>
              <w:t>,</w:t>
            </w:r>
            <w:r w:rsidR="00140685" w:rsidRPr="00B56B46">
              <w:rPr>
                <w:i/>
                <w:iCs/>
                <w:sz w:val="22"/>
                <w:szCs w:val="22"/>
                <w:lang w:val="es-MX"/>
              </w:rPr>
              <w:t xml:space="preserve"> </w:t>
            </w:r>
            <w:hyperlink r:id="rId10" w:history="1">
              <w:r w:rsidR="0008373E" w:rsidRPr="00B56B46">
                <w:rPr>
                  <w:rStyle w:val="Hyperlink"/>
                  <w:i/>
                  <w:iCs/>
                  <w:sz w:val="22"/>
                  <w:szCs w:val="22"/>
                  <w:lang w:val="es-MX"/>
                </w:rPr>
                <w:t>C23/25</w:t>
              </w:r>
            </w:hyperlink>
            <w:r w:rsidR="00B56B46">
              <w:rPr>
                <w:i/>
                <w:iCs/>
                <w:sz w:val="22"/>
                <w:szCs w:val="22"/>
                <w:lang w:val="es-MX"/>
              </w:rPr>
              <w:t>,</w:t>
            </w:r>
            <w:r w:rsidR="0008373E" w:rsidRPr="00B56B46">
              <w:rPr>
                <w:i/>
                <w:iCs/>
                <w:sz w:val="22"/>
                <w:szCs w:val="22"/>
                <w:lang w:val="es-MX"/>
              </w:rPr>
              <w:t xml:space="preserve"> </w:t>
            </w:r>
            <w:hyperlink r:id="rId11" w:history="1">
              <w:r w:rsidR="00661B09" w:rsidRPr="00B56B46">
                <w:rPr>
                  <w:rStyle w:val="Hyperlink"/>
                  <w:i/>
                  <w:iCs/>
                  <w:sz w:val="22"/>
                  <w:szCs w:val="22"/>
                  <w:lang w:val="es-MX"/>
                </w:rPr>
                <w:t>C23/INF/7</w:t>
              </w:r>
              <w:bookmarkEnd w:id="2"/>
            </w:hyperlink>
            <w:r w:rsidR="00B56B46">
              <w:rPr>
                <w:i/>
                <w:iCs/>
                <w:sz w:val="22"/>
                <w:szCs w:val="22"/>
                <w:lang w:val="es-MX"/>
              </w:rPr>
              <w:t>,</w:t>
            </w:r>
            <w:r w:rsidR="00886F1B" w:rsidRPr="00B56B46">
              <w:rPr>
                <w:i/>
                <w:iCs/>
                <w:sz w:val="22"/>
                <w:szCs w:val="22"/>
                <w:lang w:val="es-MX"/>
              </w:rPr>
              <w:t xml:space="preserve"> </w:t>
            </w:r>
            <w:hyperlink r:id="rId12" w:history="1">
              <w:r w:rsidR="004D6BD2" w:rsidRPr="00B56B46">
                <w:rPr>
                  <w:rStyle w:val="Hyperlink"/>
                  <w:i/>
                  <w:iCs/>
                  <w:sz w:val="22"/>
                  <w:szCs w:val="22"/>
                  <w:lang w:val="es-MX"/>
                </w:rPr>
                <w:t>C24/25</w:t>
              </w:r>
            </w:hyperlink>
            <w:r w:rsidR="00B56B46">
              <w:rPr>
                <w:i/>
                <w:iCs/>
                <w:sz w:val="22"/>
                <w:szCs w:val="22"/>
                <w:lang w:val="es-MX"/>
              </w:rPr>
              <w:t>;</w:t>
            </w:r>
            <w:r w:rsidR="004D6BD2" w:rsidRPr="00B56B46">
              <w:rPr>
                <w:i/>
                <w:iCs/>
                <w:sz w:val="22"/>
                <w:szCs w:val="22"/>
                <w:lang w:val="es-MX"/>
              </w:rPr>
              <w:t xml:space="preserve"> </w:t>
            </w:r>
            <w:hyperlink r:id="rId13" w:history="1">
              <w:r w:rsidR="004D6BD2" w:rsidRPr="00B56B46">
                <w:rPr>
                  <w:rStyle w:val="Hyperlink"/>
                  <w:i/>
                  <w:iCs/>
                  <w:sz w:val="22"/>
                  <w:szCs w:val="22"/>
                  <w:lang w:val="es-MX"/>
                </w:rPr>
                <w:t xml:space="preserve">Documento </w:t>
              </w:r>
              <w:r w:rsidR="004D6BD2" w:rsidRPr="00B56B46">
                <w:rPr>
                  <w:rStyle w:val="Hyperlink"/>
                  <w:i/>
                  <w:iCs/>
                  <w:sz w:val="22"/>
                  <w:szCs w:val="22"/>
                </w:rPr>
                <w:t>TDAG</w:t>
              </w:r>
              <w:r w:rsidR="004D6BD2" w:rsidRPr="00B56B46">
                <w:rPr>
                  <w:rStyle w:val="Hyperlink"/>
                  <w:i/>
                  <w:iCs/>
                  <w:sz w:val="22"/>
                  <w:szCs w:val="22"/>
                  <w:lang w:val="es-MX"/>
                </w:rPr>
                <w:t>-24/12</w:t>
              </w:r>
              <w:r w:rsidR="00444B44" w:rsidRPr="00B56B46">
                <w:rPr>
                  <w:rStyle w:val="Hyperlink"/>
                  <w:i/>
                  <w:iCs/>
                  <w:color w:val="auto"/>
                  <w:sz w:val="22"/>
                  <w:szCs w:val="22"/>
                  <w:u w:val="none"/>
                  <w:lang w:val="es-MX"/>
                </w:rPr>
                <w:t>.</w:t>
              </w:r>
            </w:hyperlink>
          </w:p>
        </w:tc>
      </w:tr>
      <w:bookmarkEnd w:id="0"/>
    </w:tbl>
    <w:p w14:paraId="06FD7253" w14:textId="77777777" w:rsidR="00093EEB" w:rsidRPr="004D6BD2" w:rsidRDefault="00093EEB"/>
    <w:p w14:paraId="44179D23" w14:textId="77777777" w:rsidR="001559F5" w:rsidRPr="00444B44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MX"/>
        </w:rPr>
      </w:pPr>
      <w:r w:rsidRPr="00444B44">
        <w:rPr>
          <w:lang w:val="es-MX"/>
        </w:rPr>
        <w:br w:type="page"/>
      </w:r>
    </w:p>
    <w:p w14:paraId="58F43063" w14:textId="0C7070DE" w:rsidR="00927F93" w:rsidRPr="009A322A" w:rsidRDefault="00102B1F">
      <w:pPr>
        <w:rPr>
          <w:b/>
          <w:bCs/>
          <w:lang w:val="es-MX"/>
        </w:rPr>
      </w:pPr>
      <w:r w:rsidRPr="009A322A">
        <w:rPr>
          <w:b/>
          <w:bCs/>
          <w:lang w:val="es-MX"/>
        </w:rPr>
        <w:lastRenderedPageBreak/>
        <w:t>Antecedentes</w:t>
      </w:r>
    </w:p>
    <w:p w14:paraId="3C6C0122" w14:textId="75E3311E" w:rsidR="00702D94" w:rsidRDefault="00102B1F" w:rsidP="004B7E7B">
      <w:pPr>
        <w:jc w:val="both"/>
      </w:pPr>
      <w:r w:rsidRPr="009A322A">
        <w:rPr>
          <w:lang w:val="es-MX"/>
        </w:rPr>
        <w:t xml:space="preserve">La Resolución 25 de la </w:t>
      </w:r>
      <w:r w:rsidR="009A322A">
        <w:rPr>
          <w:lang w:val="es-MX"/>
        </w:rPr>
        <w:t>Conferencia de Plenipotenciarios sobre el “</w:t>
      </w:r>
      <w:r w:rsidR="009A322A">
        <w:t>Fortalecimiento de la presencia regional de la UIT</w:t>
      </w:r>
      <w:r w:rsidR="009A322A">
        <w:rPr>
          <w:lang w:val="es-MX"/>
        </w:rPr>
        <w:t>”</w:t>
      </w:r>
      <w:r w:rsidR="00702D94">
        <w:t xml:space="preserve"> </w:t>
      </w:r>
      <w:r w:rsidR="00A64927">
        <w:t>señala “la importancia que tiene la colaboración entre la Oficina de Radiocomunicaciones</w:t>
      </w:r>
      <w:r w:rsidR="004B029C">
        <w:t xml:space="preserve"> (BR)</w:t>
      </w:r>
      <w:r w:rsidR="00A64927">
        <w:t xml:space="preserve">, la Oficina de Normalización de las Telecomunicaciones (TSB), la Oficina de Desarrollo de las Telecomunicaciones (BDT) y la Secretaría General para promover y mejorar el trabajo de las Oficinas Regionales y Zonales”. </w:t>
      </w:r>
    </w:p>
    <w:p w14:paraId="428B04F0" w14:textId="4A42564D" w:rsidR="004B029C" w:rsidRDefault="00A64927" w:rsidP="004B029C">
      <w:pPr>
        <w:jc w:val="both"/>
      </w:pPr>
      <w:r>
        <w:t>Igualmente,</w:t>
      </w:r>
      <w:r w:rsidR="004B029C">
        <w:t xml:space="preserve"> encarga </w:t>
      </w:r>
      <w:r w:rsidR="004B7E7B">
        <w:t>al Director de la Oficina de Desarrollo “que procure que las Oficinas Regionales y Zonales tengan personal con conocimiento en los tres Sectores” y que, en estrecha colaboración con la Secretar</w:t>
      </w:r>
      <w:r w:rsidR="00F05B0F">
        <w:t>í</w:t>
      </w:r>
      <w:r w:rsidR="004B7E7B">
        <w:t>a General y los Directores de la BR y TSB tome</w:t>
      </w:r>
      <w:r w:rsidR="00F05B0F">
        <w:t>n</w:t>
      </w:r>
      <w:r w:rsidR="004B7E7B">
        <w:t xml:space="preserve"> las medidas necesarias para “garantizar que las actividades de la BR y TSB se incorporen efectivamente en las Oficinas Regionales y Zonales”, que “vele por que cada región tenga al menos un profesional con las competencias y conocimientos pertinentes para ejercer de coordinador de cada uno de los tres Sectores que responda al Director Regional” y que “adopte las medidas necesarias para mejorar el intercambio oportuno de información entre la Sede y las Oficinas Regionales y Zonales”.</w:t>
      </w:r>
      <w:r w:rsidR="00702D94" w:rsidRPr="00702D94">
        <w:rPr>
          <w:lang w:val="es-MX"/>
        </w:rPr>
        <w:t xml:space="preserve"> </w:t>
      </w:r>
      <w:r w:rsidR="00702D94">
        <w:rPr>
          <w:lang w:val="es-MX"/>
        </w:rPr>
        <w:t xml:space="preserve">Finalmente resuelve “que se faciliten y mejoren las funciones de coordinación y el equilibrio entre la Sede, las Oficinas Regionales y Zonales de la UIT;” y, que </w:t>
      </w:r>
      <w:r w:rsidR="00703B80">
        <w:rPr>
          <w:lang w:val="es-MX"/>
        </w:rPr>
        <w:t>“</w:t>
      </w:r>
      <w:r w:rsidR="00702D94">
        <w:rPr>
          <w:lang w:val="es-MX"/>
        </w:rPr>
        <w:t xml:space="preserve">para el desempeño efectivo de sus funciones, </w:t>
      </w:r>
      <w:r w:rsidR="00702D94">
        <w:t>las Oficinas Regionales y Zonales cuenten con los recursos humanos y financieros suficientes dentro de los recursos atribuidos en el Plan Financiero”.</w:t>
      </w:r>
    </w:p>
    <w:p w14:paraId="5796DB50" w14:textId="2ED09121" w:rsidR="00140685" w:rsidRDefault="00140685" w:rsidP="004B029C">
      <w:pPr>
        <w:jc w:val="both"/>
      </w:pPr>
      <w:r w:rsidRPr="0083707C">
        <w:t xml:space="preserve">Durante su reunión de 2019, el Consejo aprobó el Acuerdo 616, </w:t>
      </w:r>
      <w:r w:rsidR="00E82FAA">
        <w:t>en el</w:t>
      </w:r>
      <w:r w:rsidRPr="0083707C">
        <w:t xml:space="preserve"> que se encarg</w:t>
      </w:r>
      <w:r w:rsidR="00744D40">
        <w:t>ó</w:t>
      </w:r>
      <w:r w:rsidRPr="0083707C">
        <w:t xml:space="preserve"> al Secretario General </w:t>
      </w:r>
      <w:r w:rsidR="00E82FAA">
        <w:t>llevar a cabo</w:t>
      </w:r>
      <w:r w:rsidRPr="0083707C">
        <w:t xml:space="preserve"> un examen de la presencia regional en un intento de mejorar su eficiencia y eficacia. Dicho examen se encomendó a la empresa </w:t>
      </w:r>
      <w:r w:rsidR="001B4ECC" w:rsidRPr="00E148C4">
        <w:t xml:space="preserve">Price Waterhouse Coopers </w:t>
      </w:r>
      <w:r w:rsidR="001B4ECC">
        <w:t>(</w:t>
      </w:r>
      <w:r w:rsidRPr="0083707C">
        <w:rPr>
          <w:szCs w:val="24"/>
        </w:rPr>
        <w:t>PwC</w:t>
      </w:r>
      <w:r w:rsidR="001B4ECC">
        <w:rPr>
          <w:szCs w:val="24"/>
        </w:rPr>
        <w:t>)</w:t>
      </w:r>
      <w:r w:rsidR="00744D40">
        <w:rPr>
          <w:szCs w:val="24"/>
        </w:rPr>
        <w:t xml:space="preserve"> </w:t>
      </w:r>
      <w:r w:rsidR="00744D40" w:rsidRPr="00423DDD">
        <w:t xml:space="preserve">y el cual el Consejo </w:t>
      </w:r>
      <w:r w:rsidR="00744D40" w:rsidRPr="0083707C">
        <w:t>tomó nota de su contenido</w:t>
      </w:r>
      <w:r w:rsidR="00744D40" w:rsidRPr="00744D40">
        <w:t xml:space="preserve"> </w:t>
      </w:r>
      <w:r w:rsidRPr="0083707C">
        <w:t>en noviembre de 2020</w:t>
      </w:r>
      <w:r w:rsidR="00E82FAA">
        <w:t xml:space="preserve"> (</w:t>
      </w:r>
      <w:hyperlink r:id="rId14" w:history="1">
        <w:r w:rsidR="00E82FAA" w:rsidRPr="0083707C">
          <w:rPr>
            <w:rStyle w:val="Hyperlink"/>
          </w:rPr>
          <w:t>C20/74</w:t>
        </w:r>
      </w:hyperlink>
      <w:r w:rsidR="00E82FAA" w:rsidRPr="00B56B46">
        <w:rPr>
          <w:rStyle w:val="Hyperlink"/>
          <w:color w:val="auto"/>
          <w:u w:val="none"/>
        </w:rPr>
        <w:t>)</w:t>
      </w:r>
      <w:r w:rsidRPr="0083707C">
        <w:t>.</w:t>
      </w:r>
      <w:r w:rsidR="00B824F7">
        <w:t xml:space="preserve"> En ese </w:t>
      </w:r>
      <w:r w:rsidR="009F48D9">
        <w:t>documento</w:t>
      </w:r>
      <w:r w:rsidR="00B824F7">
        <w:t xml:space="preserve"> </w:t>
      </w:r>
      <w:r w:rsidR="00E32FD5">
        <w:t>se exige considerar el</w:t>
      </w:r>
      <w:r w:rsidR="00B824F7">
        <w:t xml:space="preserve"> </w:t>
      </w:r>
      <w:r w:rsidR="00E32FD5">
        <w:t>“Nivel de autonomía otorgado a las Oficinas Regionales y posibles ajustes para mejorar su eficiencia y eficacia”</w:t>
      </w:r>
      <w:r w:rsidR="00B824F7">
        <w:t xml:space="preserve">. En la sesión 2023 del Consejo, se informó sobre la elaboración de un </w:t>
      </w:r>
      <w:r w:rsidR="001B4ECC">
        <w:t xml:space="preserve">plan de trabajo </w:t>
      </w:r>
      <w:r w:rsidR="00B824F7">
        <w:t xml:space="preserve">por parte de la Secretaría para la aplicación de </w:t>
      </w:r>
      <w:r w:rsidR="009F48D9">
        <w:t>las recomendaciones</w:t>
      </w:r>
      <w:r w:rsidR="00B824F7">
        <w:t xml:space="preserve"> del PwC</w:t>
      </w:r>
      <w:r w:rsidR="00744D40">
        <w:t>,</w:t>
      </w:r>
      <w:r w:rsidR="00B824F7">
        <w:t xml:space="preserve"> </w:t>
      </w:r>
      <w:r w:rsidR="0008373E">
        <w:t xml:space="preserve">que están dentro de </w:t>
      </w:r>
      <w:r w:rsidR="00B824F7">
        <w:t>sus atribuciones, antes de 2023</w:t>
      </w:r>
      <w:r w:rsidR="0008373E">
        <w:t xml:space="preserve"> (</w:t>
      </w:r>
      <w:hyperlink r:id="rId15" w:history="1">
        <w:r w:rsidR="0008373E" w:rsidRPr="0008373E">
          <w:rPr>
            <w:rStyle w:val="Hyperlink"/>
          </w:rPr>
          <w:t>C23/25</w:t>
        </w:r>
      </w:hyperlink>
      <w:r w:rsidR="0008373E">
        <w:t>)</w:t>
      </w:r>
      <w:r w:rsidR="00B824F7">
        <w:t xml:space="preserve">. </w:t>
      </w:r>
      <w:r w:rsidR="0074633B">
        <w:t xml:space="preserve">En ese sentido, </w:t>
      </w:r>
      <w:r w:rsidR="00E32FD5">
        <w:t xml:space="preserve">se </w:t>
      </w:r>
      <w:r w:rsidR="0074633B">
        <w:t>compart</w:t>
      </w:r>
      <w:r w:rsidR="00744D40">
        <w:t>ió</w:t>
      </w:r>
      <w:r w:rsidR="0074633B">
        <w:t xml:space="preserve"> un </w:t>
      </w:r>
      <w:proofErr w:type="spellStart"/>
      <w:r w:rsidR="008F26C1" w:rsidRPr="00423DDD">
        <w:rPr>
          <w:i/>
          <w:iCs/>
        </w:rPr>
        <w:t>Dashboard</w:t>
      </w:r>
      <w:proofErr w:type="spellEnd"/>
      <w:r w:rsidR="0074633B">
        <w:t xml:space="preserve"> </w:t>
      </w:r>
      <w:r w:rsidR="0008373E">
        <w:t>para el seguimiento de los Miembro</w:t>
      </w:r>
      <w:r w:rsidR="00E82FAA">
        <w:t>s</w:t>
      </w:r>
      <w:r w:rsidR="0008373E">
        <w:t xml:space="preserve"> a dicho plan</w:t>
      </w:r>
      <w:r w:rsidR="0074633B">
        <w:t xml:space="preserve">: </w:t>
      </w:r>
      <w:hyperlink r:id="rId16" w:history="1">
        <w:r w:rsidR="0074633B" w:rsidRPr="00E148C4">
          <w:rPr>
            <w:rStyle w:val="Hyperlink"/>
            <w:rFonts w:eastAsia="Calibri" w:cs="Calibri"/>
            <w:szCs w:val="24"/>
          </w:rPr>
          <w:t>https://www.itu.int/en/council/ties/Pages/regional-presence-dashboard.aspx</w:t>
        </w:r>
      </w:hyperlink>
      <w:r w:rsidR="0074633B" w:rsidRPr="00E148C4">
        <w:rPr>
          <w:rFonts w:eastAsia="Calibri" w:cs="Calibri"/>
          <w:color w:val="0000FF"/>
          <w:szCs w:val="24"/>
        </w:rPr>
        <w:t>.</w:t>
      </w:r>
      <w:r w:rsidR="00E32FD5">
        <w:rPr>
          <w:rFonts w:eastAsia="Calibri" w:cs="Calibri"/>
          <w:color w:val="0000FF"/>
          <w:szCs w:val="24"/>
        </w:rPr>
        <w:t xml:space="preserve"> </w:t>
      </w:r>
      <w:r w:rsidR="00E32FD5" w:rsidRPr="00423DDD">
        <w:t xml:space="preserve">En </w:t>
      </w:r>
      <w:r w:rsidR="0008373E">
        <w:t>él,</w:t>
      </w:r>
      <w:r w:rsidR="00E32FD5" w:rsidRPr="00423DDD">
        <w:t xml:space="preserve"> se observa que </w:t>
      </w:r>
      <w:r w:rsidR="00402067" w:rsidRPr="00423DDD">
        <w:t xml:space="preserve">su última actualización </w:t>
      </w:r>
      <w:r w:rsidR="0008373E">
        <w:t>fue en</w:t>
      </w:r>
      <w:r w:rsidR="00402067" w:rsidRPr="00423DDD">
        <w:t xml:space="preserve"> mayo 2023</w:t>
      </w:r>
      <w:r w:rsidR="0008373E">
        <w:t xml:space="preserve"> y que</w:t>
      </w:r>
      <w:r w:rsidR="00402067" w:rsidRPr="00423DDD">
        <w:t xml:space="preserve"> además se encuentra en proceso </w:t>
      </w:r>
      <w:r w:rsidR="00402067" w:rsidRPr="00402067">
        <w:t>una</w:t>
      </w:r>
      <w:r w:rsidR="00402067" w:rsidRPr="00423DDD">
        <w:t xml:space="preserve"> acción respecto a la mejorar de la autonomía de la presencia regional</w:t>
      </w:r>
      <w:r w:rsidR="003D63DA">
        <w:t xml:space="preserve"> relativo al marco de rendición de cuentas de la UIT</w:t>
      </w:r>
      <w:r w:rsidR="00402067" w:rsidRPr="00423DDD">
        <w:t>.</w:t>
      </w:r>
    </w:p>
    <w:p w14:paraId="24E5C14A" w14:textId="7EF15DD9" w:rsidR="00102B1F" w:rsidRDefault="00102B1F" w:rsidP="007F50AA">
      <w:pPr>
        <w:jc w:val="both"/>
      </w:pPr>
      <w:r>
        <w:t xml:space="preserve">En la </w:t>
      </w:r>
      <w:r w:rsidR="003A35F3">
        <w:t>Décimo</w:t>
      </w:r>
      <w:r>
        <w:t xml:space="preserve"> Séptima Reunión del Grupo de Trabajo del Consejo sobre Recursos </w:t>
      </w:r>
      <w:r w:rsidR="00607D28">
        <w:t>Humanos</w:t>
      </w:r>
      <w:r>
        <w:t xml:space="preserve"> y </w:t>
      </w:r>
      <w:r w:rsidR="00607D28">
        <w:t>Financieros</w:t>
      </w:r>
      <w:r>
        <w:t xml:space="preserve"> (GT</w:t>
      </w:r>
      <w:r w:rsidR="00B56B46">
        <w:t>C</w:t>
      </w:r>
      <w:r>
        <w:t>-RHF), celebrada en febrero de 2024, la Secretaría de la UIT presentó una contribución (</w:t>
      </w:r>
      <w:hyperlink r:id="rId17" w:history="1">
        <w:r w:rsidRPr="00A04831">
          <w:rPr>
            <w:rStyle w:val="Hyperlink"/>
          </w:rPr>
          <w:t>CWG-FHR-16/10</w:t>
        </w:r>
      </w:hyperlink>
      <w:r>
        <w:t xml:space="preserve">) </w:t>
      </w:r>
      <w:r w:rsidR="00402F44">
        <w:t xml:space="preserve">en </w:t>
      </w:r>
      <w:r w:rsidR="00E3077C">
        <w:t>la</w:t>
      </w:r>
      <w:r w:rsidR="00402F44">
        <w:t xml:space="preserve"> cual</w:t>
      </w:r>
      <w:r w:rsidR="007F31E8">
        <w:t xml:space="preserve"> se </w:t>
      </w:r>
      <w:r w:rsidR="00E3077C">
        <w:t>brindaron</w:t>
      </w:r>
      <w:r w:rsidR="007F31E8">
        <w:t xml:space="preserve"> los criterios para </w:t>
      </w:r>
      <w:r w:rsidR="00607D28">
        <w:t>guiar las deliberaciones futuras para el establecimiento de</w:t>
      </w:r>
      <w:r w:rsidR="007F31E8">
        <w:t xml:space="preserve"> </w:t>
      </w:r>
      <w:r w:rsidR="00607D28">
        <w:t>O</w:t>
      </w:r>
      <w:r w:rsidR="007F31E8">
        <w:t>ficina</w:t>
      </w:r>
      <w:r w:rsidR="00607D28">
        <w:t>s</w:t>
      </w:r>
      <w:r w:rsidR="007F31E8">
        <w:t xml:space="preserve"> </w:t>
      </w:r>
      <w:r w:rsidR="00607D28">
        <w:t>R</w:t>
      </w:r>
      <w:r w:rsidR="007F31E8">
        <w:t>egional</w:t>
      </w:r>
      <w:r w:rsidR="00607D28">
        <w:t>es y Zonales</w:t>
      </w:r>
      <w:r w:rsidR="007F31E8">
        <w:t>.</w:t>
      </w:r>
      <w:r w:rsidR="009A322A">
        <w:t xml:space="preserve"> </w:t>
      </w:r>
      <w:r w:rsidR="00607D28">
        <w:t>En ese sentido, en est</w:t>
      </w:r>
      <w:r w:rsidR="00377A35">
        <w:t>a</w:t>
      </w:r>
      <w:r w:rsidR="00607D28">
        <w:t xml:space="preserve"> reunión</w:t>
      </w:r>
      <w:r>
        <w:t xml:space="preserve"> se decidió enviar una D</w:t>
      </w:r>
      <w:r w:rsidRPr="00102B1F">
        <w:t xml:space="preserve">eclaración de Enlace al </w:t>
      </w:r>
      <w:r>
        <w:t xml:space="preserve">Grupo </w:t>
      </w:r>
      <w:r w:rsidR="009A322A">
        <w:t>Asesor</w:t>
      </w:r>
      <w:r>
        <w:t xml:space="preserve"> de Desarrollo de las Telecomunicaciones (</w:t>
      </w:r>
      <w:r w:rsidRPr="00102B1F">
        <w:t>GADT</w:t>
      </w:r>
      <w:r>
        <w:t>)</w:t>
      </w:r>
      <w:r w:rsidRPr="00102B1F">
        <w:t xml:space="preserve"> y al Grupo de Coordinación Intersectorial (ISCG) </w:t>
      </w:r>
      <w:r>
        <w:t xml:space="preserve">para que </w:t>
      </w:r>
      <w:r w:rsidR="00402F44">
        <w:t>revisen</w:t>
      </w:r>
      <w:r w:rsidRPr="00102B1F">
        <w:t xml:space="preserve"> y </w:t>
      </w:r>
      <w:r w:rsidR="00402F44">
        <w:t>proporcionen</w:t>
      </w:r>
      <w:r w:rsidRPr="00102B1F">
        <w:t xml:space="preserve"> comentarios </w:t>
      </w:r>
      <w:r>
        <w:t>para esta sesión del</w:t>
      </w:r>
      <w:r w:rsidRPr="00102B1F">
        <w:t xml:space="preserve"> Consejo</w:t>
      </w:r>
      <w:r>
        <w:t xml:space="preserve"> 2024</w:t>
      </w:r>
      <w:r w:rsidRPr="00102B1F">
        <w:t>.</w:t>
      </w:r>
    </w:p>
    <w:p w14:paraId="2D7D5659" w14:textId="4771AD19" w:rsidR="007C5BE9" w:rsidRDefault="007E1863" w:rsidP="00525B44">
      <w:pPr>
        <w:jc w:val="both"/>
      </w:pPr>
      <w:r>
        <w:t xml:space="preserve">Adicionalmente, es de destacar </w:t>
      </w:r>
      <w:r w:rsidR="007C5BE9">
        <w:t xml:space="preserve">que </w:t>
      </w:r>
      <w:r>
        <w:t xml:space="preserve">la información que </w:t>
      </w:r>
      <w:r w:rsidR="00661B09">
        <w:t>proporciona</w:t>
      </w:r>
      <w:r>
        <w:t xml:space="preserve"> la Secretaría General </w:t>
      </w:r>
      <w:r w:rsidR="00661B09">
        <w:t>e</w:t>
      </w:r>
      <w:r w:rsidR="00525B44">
        <w:t>n el documento</w:t>
      </w:r>
      <w:r w:rsidR="00661B09">
        <w:t xml:space="preserve"> </w:t>
      </w:r>
      <w:hyperlink r:id="rId18" w:history="1">
        <w:r w:rsidR="00661B09" w:rsidRPr="00661B09">
          <w:rPr>
            <w:rStyle w:val="Hyperlink"/>
          </w:rPr>
          <w:t>C24/25</w:t>
        </w:r>
      </w:hyperlink>
      <w:r w:rsidR="00661B09">
        <w:t xml:space="preserve">, se observa una </w:t>
      </w:r>
      <w:r w:rsidR="004022AB">
        <w:t>disparidad</w:t>
      </w:r>
      <w:r w:rsidR="00661B09">
        <w:t xml:space="preserve"> en cuanto a la implementación de actividades </w:t>
      </w:r>
      <w:r w:rsidR="004022AB">
        <w:t>de las diferentes Oficinas Regionales</w:t>
      </w:r>
      <w:r w:rsidR="001B79F1">
        <w:t xml:space="preserve">; por ejemplo, </w:t>
      </w:r>
      <w:r w:rsidR="00E96398">
        <w:t>realizando una comparación</w:t>
      </w:r>
      <w:r w:rsidR="009C13BD">
        <w:t xml:space="preserve">, se advierte que la Oficina </w:t>
      </w:r>
      <w:r w:rsidR="009C13BD" w:rsidRPr="001B79F1">
        <w:t>Regional para Asia y el Pacífico (O</w:t>
      </w:r>
      <w:r w:rsidR="009C13BD">
        <w:t>R</w:t>
      </w:r>
      <w:r w:rsidR="009C13BD" w:rsidRPr="001B79F1">
        <w:t>-ASP)</w:t>
      </w:r>
      <w:r w:rsidR="009C13BD">
        <w:t xml:space="preserve"> llevó a cabo más actividades que las demás Oficinas Regionales. </w:t>
      </w:r>
    </w:p>
    <w:p w14:paraId="58EF19E8" w14:textId="13A57E02" w:rsidR="00FD1382" w:rsidRDefault="00DC10F5" w:rsidP="00525B44">
      <w:pPr>
        <w:jc w:val="both"/>
      </w:pPr>
      <w:r>
        <w:lastRenderedPageBreak/>
        <w:t xml:space="preserve">Por otro lado, en la </w:t>
      </w:r>
      <w:r w:rsidR="00FD1382">
        <w:t xml:space="preserve">reunión </w:t>
      </w:r>
      <w:r>
        <w:t>del</w:t>
      </w:r>
      <w:r w:rsidR="00FD1382">
        <w:t xml:space="preserve"> </w:t>
      </w:r>
      <w:r w:rsidRPr="00DC10F5">
        <w:t>Grupo Asesor de Desarrollo de las Telecomunicaciones (GADT)</w:t>
      </w:r>
      <w:r w:rsidR="00675060">
        <w:t>,</w:t>
      </w:r>
      <w:r w:rsidRPr="00DC10F5">
        <w:t xml:space="preserve"> </w:t>
      </w:r>
      <w:r>
        <w:t xml:space="preserve">que </w:t>
      </w:r>
      <w:r w:rsidR="00377A35">
        <w:t xml:space="preserve">tendrá </w:t>
      </w:r>
      <w:r>
        <w:t xml:space="preserve">lugar en mayo de 2024, </w:t>
      </w:r>
      <w:r w:rsidR="00675060">
        <w:t>se</w:t>
      </w:r>
      <w:r w:rsidR="00FD1382">
        <w:t xml:space="preserve"> present</w:t>
      </w:r>
      <w:r w:rsidR="00951845">
        <w:t>ará</w:t>
      </w:r>
      <w:r w:rsidR="00FD1382">
        <w:t xml:space="preserve"> el documento</w:t>
      </w:r>
      <w:r>
        <w:t xml:space="preserve"> </w:t>
      </w:r>
      <w:hyperlink r:id="rId19" w:history="1">
        <w:r w:rsidR="00FD1382" w:rsidRPr="00DC10F5">
          <w:rPr>
            <w:rStyle w:val="Hyperlink"/>
          </w:rPr>
          <w:t>TDAG-24/12</w:t>
        </w:r>
      </w:hyperlink>
      <w:r w:rsidRPr="00DC10F5">
        <w:t xml:space="preserve"> en</w:t>
      </w:r>
      <w:r w:rsidR="007E1863">
        <w:t xml:space="preserve"> donde </w:t>
      </w:r>
      <w:r w:rsidR="007E1863">
        <w:rPr>
          <w:lang w:val="es-ES"/>
        </w:rPr>
        <w:t xml:space="preserve">se </w:t>
      </w:r>
      <w:r w:rsidR="00951845">
        <w:rPr>
          <w:lang w:val="es-ES"/>
        </w:rPr>
        <w:t>refleja</w:t>
      </w:r>
      <w:r w:rsidR="00951845" w:rsidRPr="00751C90">
        <w:rPr>
          <w:lang w:val="es-ES"/>
        </w:rPr>
        <w:t xml:space="preserve"> </w:t>
      </w:r>
      <w:r w:rsidR="007E1863" w:rsidRPr="00751C90">
        <w:rPr>
          <w:lang w:val="es-ES"/>
        </w:rPr>
        <w:t xml:space="preserve">el proceso emprendido por la </w:t>
      </w:r>
      <w:r w:rsidR="00662CE7">
        <w:rPr>
          <w:lang w:val="es-ES"/>
        </w:rPr>
        <w:t>BDT</w:t>
      </w:r>
      <w:r w:rsidR="007E1863" w:rsidRPr="00751C90">
        <w:rPr>
          <w:lang w:val="es-ES"/>
        </w:rPr>
        <w:t xml:space="preserve"> en relación con la planificación de las actividades en curso en el marco del Plan Operacional del UIT-D para 2024</w:t>
      </w:r>
      <w:r w:rsidR="002812EB">
        <w:rPr>
          <w:lang w:val="es-ES"/>
        </w:rPr>
        <w:t xml:space="preserve"> </w:t>
      </w:r>
      <w:r w:rsidR="007E1863">
        <w:t>y en donde se observa que</w:t>
      </w:r>
      <w:r w:rsidR="00675060" w:rsidRPr="00675060">
        <w:t xml:space="preserve"> la atribución de fondos para cada una de </w:t>
      </w:r>
      <w:r w:rsidR="00675060">
        <w:t xml:space="preserve">las Oficinas Regionales </w:t>
      </w:r>
      <w:r w:rsidR="007E1863">
        <w:t xml:space="preserve">varía entre el 7% y el 8% mientras que </w:t>
      </w:r>
      <w:r w:rsidR="007E1863" w:rsidRPr="007E1863">
        <w:t>más de la mit</w:t>
      </w:r>
      <w:r w:rsidR="007E1863" w:rsidRPr="00662CE7">
        <w:t>ad del presupuesto del PO-24 (54%) se ha destinado a productos con un enfoque mundial.</w:t>
      </w:r>
      <w:r w:rsidR="00675060">
        <w:t xml:space="preserve"> </w:t>
      </w:r>
    </w:p>
    <w:p w14:paraId="6E86BDE1" w14:textId="4A579148" w:rsidR="00525B44" w:rsidRPr="00525B44" w:rsidRDefault="00525B44" w:rsidP="00525B44">
      <w:pPr>
        <w:jc w:val="both"/>
        <w:rPr>
          <w:b/>
          <w:bCs/>
        </w:rPr>
      </w:pPr>
      <w:r w:rsidRPr="00525B44">
        <w:rPr>
          <w:b/>
          <w:bCs/>
        </w:rPr>
        <w:t xml:space="preserve">Propuesta </w:t>
      </w:r>
    </w:p>
    <w:p w14:paraId="06D9B862" w14:textId="7D04BB10" w:rsidR="00FD1382" w:rsidRDefault="00CE772D" w:rsidP="007F50AA">
      <w:pPr>
        <w:jc w:val="both"/>
      </w:pPr>
      <w:r>
        <w:t xml:space="preserve">La Administración de México </w:t>
      </w:r>
      <w:r w:rsidR="00FD1382">
        <w:t xml:space="preserve">observa con preocupación la información contenida en el documento </w:t>
      </w:r>
      <w:hyperlink r:id="rId20" w:history="1">
        <w:r w:rsidR="00FD1382" w:rsidRPr="00675060">
          <w:rPr>
            <w:rStyle w:val="Hyperlink"/>
          </w:rPr>
          <w:t>TDAG-24/12</w:t>
        </w:r>
      </w:hyperlink>
      <w:r w:rsidR="00FD1382">
        <w:t xml:space="preserve"> en </w:t>
      </w:r>
      <w:r w:rsidR="007E1863">
        <w:t>donde se muestra la a</w:t>
      </w:r>
      <w:r w:rsidR="007E1863" w:rsidRPr="007E1863">
        <w:t>tribución de fondos por región beneficiaria</w:t>
      </w:r>
      <w:r w:rsidR="007E1863">
        <w:t xml:space="preserve"> que se indicó </w:t>
      </w:r>
      <w:r w:rsidR="005E50F4">
        <w:t>previamente</w:t>
      </w:r>
      <w:r w:rsidR="007E1863">
        <w:t xml:space="preserve">. </w:t>
      </w:r>
      <w:r w:rsidR="00FD1382">
        <w:t xml:space="preserve">La Administración de México considera </w:t>
      </w:r>
      <w:r w:rsidR="00051A96">
        <w:t>necesaria</w:t>
      </w:r>
      <w:r w:rsidR="00FD1382">
        <w:t xml:space="preserve"> fortalecer las </w:t>
      </w:r>
      <w:r w:rsidR="002130A4">
        <w:t>O</w:t>
      </w:r>
      <w:r w:rsidR="00FD1382">
        <w:t xml:space="preserve">ficinas </w:t>
      </w:r>
      <w:r w:rsidR="002130A4">
        <w:t>R</w:t>
      </w:r>
      <w:r w:rsidR="00FD1382">
        <w:t xml:space="preserve">egionales </w:t>
      </w:r>
      <w:r w:rsidR="007E1863">
        <w:t xml:space="preserve">teniendo presente </w:t>
      </w:r>
      <w:r w:rsidR="00754D55">
        <w:t xml:space="preserve">las prioridades y necesidades particulares de las regiones para poder </w:t>
      </w:r>
      <w:r w:rsidR="00B10B9B">
        <w:t>abordarlas; fomentar la participación de todos los Miembros en la labor de la Unión;</w:t>
      </w:r>
      <w:r w:rsidR="00051A96">
        <w:t xml:space="preserve"> y</w:t>
      </w:r>
      <w:r w:rsidR="00B10B9B">
        <w:t>,</w:t>
      </w:r>
      <w:r w:rsidR="00051A96">
        <w:t xml:space="preserve"> </w:t>
      </w:r>
      <w:r w:rsidR="00B10B9B">
        <w:t xml:space="preserve">para que </w:t>
      </w:r>
      <w:r w:rsidR="00051A96">
        <w:t xml:space="preserve">se tenga una mayor difusión por parte de las Oficinas </w:t>
      </w:r>
      <w:r w:rsidR="002130A4">
        <w:t>respecto a</w:t>
      </w:r>
      <w:r w:rsidR="00051A96">
        <w:t xml:space="preserve"> los resultados de las actividades de los tres Sectores de la Unión. </w:t>
      </w:r>
      <w:r w:rsidR="00974139">
        <w:t>Para ello, se considera necesario dotar a las Oficinas Regionales y Zonales con los recursos humanos y financieros suficientes para el cumplimiento de sus objetivos.</w:t>
      </w:r>
    </w:p>
    <w:p w14:paraId="524E00B2" w14:textId="47666FB1" w:rsidR="00703B80" w:rsidRDefault="00703B80" w:rsidP="007F50AA">
      <w:pPr>
        <w:jc w:val="both"/>
      </w:pPr>
      <w:r>
        <w:t xml:space="preserve">Aunado a </w:t>
      </w:r>
      <w:r w:rsidR="008F26C1">
        <w:t>ello, la</w:t>
      </w:r>
      <w:r>
        <w:t xml:space="preserve"> Administración de México considera importante que las Oficinas Regionales cuenten con personal especializado en los tres Sectores de la Unión y que se pueda conocer los recursos humanos disponibles </w:t>
      </w:r>
      <w:r w:rsidR="00E82FAA">
        <w:t>de</w:t>
      </w:r>
      <w:r>
        <w:t xml:space="preserve"> cada Oficina Regiona</w:t>
      </w:r>
      <w:r w:rsidR="005F525E">
        <w:t>l; por ejemplo, para el caso de la Oficina Regional de las Américas, se observa que la información disponible en la página web no indica el coordinador para cada Sector</w:t>
      </w:r>
      <w:r w:rsidR="00FA66B5">
        <w:t xml:space="preserve">, como se indica en la Resolución 25. Presentar esta información de manera visible </w:t>
      </w:r>
      <w:r>
        <w:t xml:space="preserve">podría ayudar a los Estados Miembros a facilitar la comunicación y la coordinación con las actividades de los tres Sectores de la Unión </w:t>
      </w:r>
    </w:p>
    <w:p w14:paraId="6FE8D25A" w14:textId="334FF778" w:rsidR="005F525E" w:rsidRDefault="0059061D" w:rsidP="007F50AA">
      <w:pPr>
        <w:jc w:val="both"/>
      </w:pPr>
      <w:r>
        <w:t>Adicionalmente</w:t>
      </w:r>
      <w:r w:rsidR="00703B80">
        <w:t xml:space="preserve">, </w:t>
      </w:r>
      <w:r w:rsidR="005F525E">
        <w:t xml:space="preserve">de los eventos coordinados por las Oficinas Regionales de las Américas, </w:t>
      </w:r>
      <w:r>
        <w:t>la Administración de México</w:t>
      </w:r>
      <w:r w:rsidR="005F525E">
        <w:t xml:space="preserve"> ha observado que predominan los eventos organizados por el Sector de Desarrollo de las Telecomunicaciones (UIT-D)</w:t>
      </w:r>
      <w:r w:rsidR="00703B80">
        <w:t xml:space="preserve">; por ejemplo, </w:t>
      </w:r>
      <w:r>
        <w:t xml:space="preserve">se encuentra </w:t>
      </w:r>
      <w:r w:rsidR="00703B80">
        <w:t xml:space="preserve">América Accesible, el Coloquio de Políticas y Economía (IPEC) y </w:t>
      </w:r>
      <w:proofErr w:type="spellStart"/>
      <w:r w:rsidR="00703B80">
        <w:t>America</w:t>
      </w:r>
      <w:proofErr w:type="spellEnd"/>
      <w:r w:rsidR="00703B80">
        <w:t xml:space="preserve"> </w:t>
      </w:r>
      <w:proofErr w:type="spellStart"/>
      <w:r w:rsidR="00703B80">
        <w:t>Cyberdrill</w:t>
      </w:r>
      <w:proofErr w:type="spellEnd"/>
      <w:r w:rsidR="00703B80">
        <w:t xml:space="preserve">. La Administración de México considera que no hay un equilibrio en el desarrollo de eventos por parte de </w:t>
      </w:r>
      <w:r>
        <w:t>los</w:t>
      </w:r>
      <w:r w:rsidR="00703B80">
        <w:t xml:space="preserve"> </w:t>
      </w:r>
      <w:r>
        <w:t>tres S</w:t>
      </w:r>
      <w:r w:rsidR="00703B80">
        <w:t xml:space="preserve">ectores y que los eventos se encuentran mayormente enfocados al Sector de Desarrollo. </w:t>
      </w:r>
    </w:p>
    <w:p w14:paraId="155CD0D9" w14:textId="646F740A" w:rsidR="00703B80" w:rsidRDefault="00703B80" w:rsidP="007F50AA">
      <w:pPr>
        <w:jc w:val="both"/>
      </w:pPr>
      <w:r>
        <w:t xml:space="preserve">Adicionalmente, es de precisar la importancia de brindar la información más actualizada a los Estados Miembros </w:t>
      </w:r>
      <w:r w:rsidRPr="009C0967">
        <w:t>sobre las actividades desarrolladas por los tres Sectores</w:t>
      </w:r>
      <w:r w:rsidR="00901060" w:rsidRPr="009C0967">
        <w:t xml:space="preserve"> a través de las Oficinas Regionales</w:t>
      </w:r>
      <w:r w:rsidRPr="009C0967">
        <w:t>; sin embargo, cuando se visita la página oficial de la UIT y al consultar los apartados relativos a “</w:t>
      </w:r>
      <w:r>
        <w:t xml:space="preserve">Presencia Regional” para los Sectores de Radiocomunicaciones y Normalización, estos se </w:t>
      </w:r>
      <w:r w:rsidR="00901060">
        <w:t>redirigen</w:t>
      </w:r>
      <w:r>
        <w:t xml:space="preserve"> a la página de la UIT-D.</w:t>
      </w:r>
    </w:p>
    <w:p w14:paraId="26A30E61" w14:textId="3FCFF631" w:rsidR="00377A35" w:rsidRDefault="00703B80" w:rsidP="007F50AA">
      <w:pPr>
        <w:jc w:val="both"/>
      </w:pPr>
      <w:r>
        <w:t>Por otro lado, l</w:t>
      </w:r>
      <w:r w:rsidR="00377A35">
        <w:t xml:space="preserve">a Administración de México </w:t>
      </w:r>
      <w:r w:rsidR="00377A35" w:rsidRPr="00377A35">
        <w:t xml:space="preserve">ha </w:t>
      </w:r>
      <w:r w:rsidR="00377A35">
        <w:t>identificado</w:t>
      </w:r>
      <w:r w:rsidR="00377A35" w:rsidRPr="00377A35">
        <w:t xml:space="preserve"> situaciones </w:t>
      </w:r>
      <w:r w:rsidR="00377A35">
        <w:t xml:space="preserve">en las cuales </w:t>
      </w:r>
      <w:r w:rsidR="00377A35" w:rsidRPr="00377A35">
        <w:t xml:space="preserve">no hay </w:t>
      </w:r>
      <w:r w:rsidR="00377A35">
        <w:t xml:space="preserve">una </w:t>
      </w:r>
      <w:r w:rsidR="00377A35" w:rsidRPr="00377A35">
        <w:t>comunicación</w:t>
      </w:r>
      <w:r w:rsidR="0059061D">
        <w:t xml:space="preserve"> </w:t>
      </w:r>
      <w:r w:rsidR="00377A35" w:rsidRPr="00377A35">
        <w:t xml:space="preserve">entre </w:t>
      </w:r>
      <w:r w:rsidR="00377A35">
        <w:t>la sede de la UIT en G</w:t>
      </w:r>
      <w:r w:rsidR="00377A35" w:rsidRPr="00377A35">
        <w:t xml:space="preserve">inebra y </w:t>
      </w:r>
      <w:r w:rsidR="00377A35">
        <w:t>la Oficina Regional</w:t>
      </w:r>
      <w:r w:rsidR="0059061D">
        <w:t xml:space="preserve"> para las Américas</w:t>
      </w:r>
      <w:r w:rsidR="00377A35">
        <w:t xml:space="preserve">, por lo que </w:t>
      </w:r>
      <w:r w:rsidR="00575556">
        <w:t>cual se considera</w:t>
      </w:r>
      <w:r w:rsidR="00377A35">
        <w:t xml:space="preserve"> necesario contar con un mejor mecanismo para coordinar las actividades de la Unión</w:t>
      </w:r>
      <w:r>
        <w:t xml:space="preserve"> y mejorar la comunicación entre la UIT sede y las Oficinas Regionales</w:t>
      </w:r>
      <w:r w:rsidR="00377A35">
        <w:t>.</w:t>
      </w:r>
      <w:r w:rsidR="002B35BC">
        <w:t xml:space="preserve"> </w:t>
      </w:r>
      <w:r w:rsidR="00377A35">
        <w:t xml:space="preserve"> </w:t>
      </w:r>
    </w:p>
    <w:p w14:paraId="55FB33C4" w14:textId="1E6D4D63" w:rsidR="00351F93" w:rsidRDefault="00351F93" w:rsidP="007F50AA">
      <w:pPr>
        <w:jc w:val="both"/>
      </w:pPr>
      <w:r>
        <w:t xml:space="preserve">Finalmente, la Administración de México </w:t>
      </w:r>
      <w:r w:rsidR="00830DC5">
        <w:t>considera</w:t>
      </w:r>
      <w:r>
        <w:t xml:space="preserve"> importante que se presente a los Miembros los avances</w:t>
      </w:r>
      <w:r w:rsidR="00F3109B">
        <w:t>, de haberlos,</w:t>
      </w:r>
      <w:r>
        <w:t xml:space="preserve"> </w:t>
      </w:r>
      <w:r w:rsidR="00720C44">
        <w:t xml:space="preserve">con respecto a </w:t>
      </w:r>
      <w:r w:rsidR="007446FA">
        <w:t>la implementación de las</w:t>
      </w:r>
      <w:r w:rsidR="00720C44">
        <w:t xml:space="preserve"> actividades a cargo de la Secretaría General</w:t>
      </w:r>
      <w:r w:rsidR="008F26C1">
        <w:t xml:space="preserve"> relativos al fortalecimiento de la presencial regional</w:t>
      </w:r>
      <w:r w:rsidR="007446FA">
        <w:t xml:space="preserve">, las cuales tuvieron que haber finalizado antes de </w:t>
      </w:r>
      <w:r w:rsidR="007446FA" w:rsidRPr="008F26C1">
        <w:t>2023</w:t>
      </w:r>
      <w:r w:rsidR="008F26C1" w:rsidRPr="008F26C1">
        <w:t xml:space="preserve"> y que se pueden fácilmente visualizar en</w:t>
      </w:r>
      <w:r w:rsidR="008F26C1">
        <w:t xml:space="preserve"> el </w:t>
      </w:r>
      <w:proofErr w:type="spellStart"/>
      <w:r w:rsidR="008F26C1" w:rsidRPr="00F67E40">
        <w:rPr>
          <w:i/>
          <w:iCs/>
        </w:rPr>
        <w:t>Dashboard</w:t>
      </w:r>
      <w:proofErr w:type="spellEnd"/>
      <w:r w:rsidR="008F26C1">
        <w:rPr>
          <w:i/>
          <w:iCs/>
        </w:rPr>
        <w:t xml:space="preserve"> </w:t>
      </w:r>
      <w:r w:rsidR="008F26C1" w:rsidRPr="00423DDD">
        <w:t xml:space="preserve">previamente </w:t>
      </w:r>
      <w:r w:rsidR="008F26C1" w:rsidRPr="008F26C1">
        <w:t>señalado</w:t>
      </w:r>
      <w:r w:rsidR="008F26C1" w:rsidRPr="00423DDD">
        <w:t>.</w:t>
      </w:r>
      <w:r w:rsidR="008F26C1">
        <w:t xml:space="preserve"> </w:t>
      </w:r>
    </w:p>
    <w:p w14:paraId="67FB5CC2" w14:textId="1DDDD89F" w:rsidR="00402F44" w:rsidRDefault="00402F44" w:rsidP="007F50AA">
      <w:pPr>
        <w:jc w:val="both"/>
      </w:pPr>
      <w:bookmarkStart w:id="3" w:name="_Hlk166085289"/>
      <w:r>
        <w:lastRenderedPageBreak/>
        <w:t xml:space="preserve">Por lo anterior, la Administración de México </w:t>
      </w:r>
      <w:r w:rsidR="00866A0D">
        <w:t>solicita que se tomen</w:t>
      </w:r>
      <w:r>
        <w:t xml:space="preserve"> en consideración lo</w:t>
      </w:r>
      <w:r w:rsidR="007B4FA7">
        <w:t>s</w:t>
      </w:r>
      <w:r>
        <w:t xml:space="preserve"> siguiente</w:t>
      </w:r>
      <w:r w:rsidR="007B4FA7">
        <w:t>s elementos</w:t>
      </w:r>
      <w:r>
        <w:t>:</w:t>
      </w:r>
    </w:p>
    <w:p w14:paraId="1D1DE32B" w14:textId="39FA44D2" w:rsidR="00E96398" w:rsidRPr="00A20A0F" w:rsidRDefault="00E83469" w:rsidP="002E40A0">
      <w:pPr>
        <w:pStyle w:val="ListParagraph"/>
        <w:numPr>
          <w:ilvl w:val="0"/>
          <w:numId w:val="3"/>
        </w:numPr>
        <w:ind w:left="567"/>
        <w:jc w:val="both"/>
      </w:pPr>
      <w:r>
        <w:t xml:space="preserve">Con base en lo estipulado por la Resolución 25, la Administración de México </w:t>
      </w:r>
      <w:r w:rsidR="0011171A">
        <w:t xml:space="preserve">solicita a la Secretaría General y al Director de la Oficina de Desarrollo de las Telecomunicaciones (BDT) que </w:t>
      </w:r>
      <w:r w:rsidR="008B768B">
        <w:t xml:space="preserve">continúe </w:t>
      </w:r>
      <w:r w:rsidR="002E40A0">
        <w:t>brindando</w:t>
      </w:r>
      <w:r w:rsidR="008B768B">
        <w:t xml:space="preserve"> </w:t>
      </w:r>
      <w:r w:rsidR="00AB7499">
        <w:t xml:space="preserve">información actualizada </w:t>
      </w:r>
      <w:r w:rsidR="00E96398">
        <w:t xml:space="preserve">a los </w:t>
      </w:r>
      <w:r w:rsidR="00212D65">
        <w:t xml:space="preserve">Estados </w:t>
      </w:r>
      <w:r w:rsidR="00E96398">
        <w:t xml:space="preserve">Miembros relacionada a los gastos de las Oficinas Regionales y Zonales, incluyendo el número total de </w:t>
      </w:r>
      <w:r w:rsidR="00212D65">
        <w:t>recursos humanos</w:t>
      </w:r>
      <w:r w:rsidR="00E96398">
        <w:t xml:space="preserve"> de cada Oficina Regional y Zonal y sus niveles respectivos, a fin de poder identificar las Oficinas Regionales y Zonales que podrían fortalecerse.</w:t>
      </w:r>
    </w:p>
    <w:p w14:paraId="4BDCDBBD" w14:textId="56A3B78A" w:rsidR="008A3A59" w:rsidRPr="00A20A0F" w:rsidRDefault="008A3A59" w:rsidP="007F50AA">
      <w:pPr>
        <w:pStyle w:val="ListParagraph"/>
        <w:numPr>
          <w:ilvl w:val="0"/>
          <w:numId w:val="3"/>
        </w:numPr>
        <w:ind w:left="567"/>
        <w:jc w:val="both"/>
      </w:pPr>
      <w:r w:rsidRPr="00A20A0F">
        <w:t xml:space="preserve">Que </w:t>
      </w:r>
      <w:r w:rsidR="00184844">
        <w:t xml:space="preserve">se fortalezca la autonomía de </w:t>
      </w:r>
      <w:r w:rsidRPr="00A20A0F">
        <w:t xml:space="preserve">las </w:t>
      </w:r>
      <w:r w:rsidR="00776903">
        <w:t>O</w:t>
      </w:r>
      <w:r w:rsidRPr="00A20A0F">
        <w:t>ficinas</w:t>
      </w:r>
      <w:r w:rsidR="00776903">
        <w:t xml:space="preserve"> Regionales</w:t>
      </w:r>
      <w:r w:rsidR="00B10B9B">
        <w:t xml:space="preserve">, en especial, con respecto a </w:t>
      </w:r>
      <w:r w:rsidR="00776903">
        <w:t xml:space="preserve">la </w:t>
      </w:r>
      <w:r w:rsidRPr="00A20A0F">
        <w:t>implementación de iniciativas, proyectos, eventos</w:t>
      </w:r>
      <w:r w:rsidR="007E56AC">
        <w:t>;</w:t>
      </w:r>
      <w:r w:rsidR="00776903">
        <w:t xml:space="preserve"> </w:t>
      </w:r>
      <w:r w:rsidR="007E56AC">
        <w:t xml:space="preserve">y, </w:t>
      </w:r>
      <w:r w:rsidR="00776903">
        <w:t xml:space="preserve">además, </w:t>
      </w:r>
      <w:r w:rsidR="007E56AC">
        <w:t xml:space="preserve">analice </w:t>
      </w:r>
      <w:r w:rsidR="00776903">
        <w:t>sobre</w:t>
      </w:r>
      <w:r w:rsidRPr="00A20A0F">
        <w:t xml:space="preserve"> qué </w:t>
      </w:r>
      <w:r w:rsidR="001F2080">
        <w:t>acciones se pueden llevar a cabo</w:t>
      </w:r>
      <w:r w:rsidRPr="00A20A0F">
        <w:t xml:space="preserve"> </w:t>
      </w:r>
      <w:r w:rsidR="00776903">
        <w:t xml:space="preserve">para </w:t>
      </w:r>
      <w:r w:rsidR="00184844">
        <w:t>descentralizar</w:t>
      </w:r>
      <w:r w:rsidR="00184844" w:rsidRPr="00A20A0F">
        <w:t xml:space="preserve"> </w:t>
      </w:r>
      <w:r w:rsidRPr="00A20A0F">
        <w:t xml:space="preserve">la toma de decisiones por parte de las </w:t>
      </w:r>
      <w:r w:rsidR="005C77CF" w:rsidRPr="00A20A0F">
        <w:t>O</w:t>
      </w:r>
      <w:r w:rsidRPr="00A20A0F">
        <w:t xml:space="preserve">ficinas </w:t>
      </w:r>
      <w:r w:rsidR="00776903">
        <w:t>Regionales.</w:t>
      </w:r>
    </w:p>
    <w:p w14:paraId="05065D1B" w14:textId="65DF9CFE" w:rsidR="000F5DE3" w:rsidRDefault="002130A4" w:rsidP="00110DA9">
      <w:pPr>
        <w:pStyle w:val="ListParagraph"/>
        <w:ind w:left="567"/>
        <w:jc w:val="both"/>
      </w:pPr>
      <w:r>
        <w:t>La Administración de México reconoce que las Oficinas Regionales y Zonales representan a toda la Unión; sin embargo</w:t>
      </w:r>
      <w:r w:rsidR="008A3A59">
        <w:t xml:space="preserve">, </w:t>
      </w:r>
      <w:r w:rsidR="00184844">
        <w:t xml:space="preserve">considera necesario </w:t>
      </w:r>
      <w:r w:rsidR="008A3A59">
        <w:t xml:space="preserve">que las Oficinas </w:t>
      </w:r>
      <w:r w:rsidR="00C0535E">
        <w:t xml:space="preserve">Regionales </w:t>
      </w:r>
      <w:r w:rsidR="00184844">
        <w:t>se encuentren más descentralizadas</w:t>
      </w:r>
      <w:r w:rsidR="000F5DE3">
        <w:t xml:space="preserve"> de </w:t>
      </w:r>
      <w:r w:rsidR="00C0535E">
        <w:t>la sede de la</w:t>
      </w:r>
      <w:r w:rsidR="000F5DE3">
        <w:t xml:space="preserve"> UIT </w:t>
      </w:r>
      <w:r w:rsidR="00C739AB">
        <w:t xml:space="preserve">con el fin de que </w:t>
      </w:r>
      <w:r w:rsidR="00184844">
        <w:t xml:space="preserve">tengan </w:t>
      </w:r>
      <w:r w:rsidR="00BA5568">
        <w:t xml:space="preserve">más </w:t>
      </w:r>
      <w:r w:rsidR="000F5DE3">
        <w:t xml:space="preserve">autonomía en la toma de decisiones en las diversas </w:t>
      </w:r>
      <w:r w:rsidR="00C0535E">
        <w:t xml:space="preserve">actividades, </w:t>
      </w:r>
      <w:r w:rsidR="000F5DE3">
        <w:t xml:space="preserve">iniciativas y proyectos que </w:t>
      </w:r>
      <w:r w:rsidR="008C0665">
        <w:t>desarrollan</w:t>
      </w:r>
      <w:r w:rsidR="000F5DE3">
        <w:t xml:space="preserve">, </w:t>
      </w:r>
      <w:r w:rsidR="001F2080">
        <w:t xml:space="preserve">tomando en consideración </w:t>
      </w:r>
      <w:r w:rsidR="00184844">
        <w:t>y garantizando</w:t>
      </w:r>
      <w:r w:rsidR="000F5DE3">
        <w:t xml:space="preserve"> la rendición de cuentas </w:t>
      </w:r>
      <w:r w:rsidR="001F2080">
        <w:t>pertinente</w:t>
      </w:r>
      <w:r w:rsidR="000F5DE3">
        <w:t>.</w:t>
      </w:r>
    </w:p>
    <w:p w14:paraId="6018A6C4" w14:textId="77777777" w:rsidR="006C1ACA" w:rsidRDefault="008C0665" w:rsidP="00F173F8">
      <w:pPr>
        <w:pStyle w:val="ListParagraph"/>
        <w:numPr>
          <w:ilvl w:val="0"/>
          <w:numId w:val="3"/>
        </w:numPr>
        <w:ind w:left="567"/>
        <w:jc w:val="both"/>
      </w:pPr>
      <w:r>
        <w:t xml:space="preserve">La Administración de México considera relevante </w:t>
      </w:r>
      <w:r w:rsidR="00184844">
        <w:t xml:space="preserve">que las Oficinas Regionales cuenten con personal técnico que posea </w:t>
      </w:r>
      <w:r>
        <w:t>conocimientos y experiencia respecto a los tres Sectores de la Unión</w:t>
      </w:r>
      <w:r w:rsidR="00184844">
        <w:t>, especialmente personal específico de los Sectores de Normalización y Radiocomunicaciones con la finalidad de fortalecer y coadyuvar en la participación de los Estados Miembros en las actividades de estos Sectores.</w:t>
      </w:r>
      <w:r>
        <w:t xml:space="preserve"> En ese sentido, se </w:t>
      </w:r>
      <w:r w:rsidR="00184844">
        <w:t>solicita a</w:t>
      </w:r>
      <w:r w:rsidR="000F5DE3">
        <w:t xml:space="preserve"> la Secretaría de la UIT </w:t>
      </w:r>
      <w:r w:rsidR="00184844">
        <w:t>más</w:t>
      </w:r>
      <w:r w:rsidR="000F5DE3">
        <w:t xml:space="preserve"> </w:t>
      </w:r>
      <w:r w:rsidR="00F173F8">
        <w:t xml:space="preserve">información con respecto a la especialización técnica del </w:t>
      </w:r>
      <w:r w:rsidR="000F5DE3">
        <w:t xml:space="preserve">personal que se </w:t>
      </w:r>
      <w:r w:rsidR="00063BD8">
        <w:t>encuentra</w:t>
      </w:r>
      <w:r w:rsidR="000F5DE3">
        <w:t xml:space="preserve"> en </w:t>
      </w:r>
      <w:r>
        <w:t>cada una de las</w:t>
      </w:r>
      <w:r w:rsidR="000F5DE3">
        <w:t xml:space="preserve"> </w:t>
      </w:r>
      <w:r w:rsidR="00F173F8">
        <w:t xml:space="preserve">seis </w:t>
      </w:r>
      <w:r w:rsidR="000F5DE3">
        <w:t>Oficinas Regionales</w:t>
      </w:r>
      <w:r w:rsidR="00F173F8">
        <w:t>, a fin de analizar</w:t>
      </w:r>
      <w:r w:rsidR="00184844">
        <w:t xml:space="preserve"> los recursos humanos con los que cuentan las Oficinas e identificar mecanismos que permitan fortalecerlas.</w:t>
      </w:r>
      <w:r w:rsidR="00F173F8">
        <w:t xml:space="preserve"> </w:t>
      </w:r>
    </w:p>
    <w:p w14:paraId="74692543" w14:textId="01D601C8" w:rsidR="000F5DE3" w:rsidRDefault="006C1ACA" w:rsidP="006C1ACA">
      <w:pPr>
        <w:pStyle w:val="ListParagraph"/>
        <w:ind w:left="567"/>
        <w:jc w:val="both"/>
      </w:pPr>
      <w:r>
        <w:t xml:space="preserve">Asimismo, se solicita al Director de la BDT que </w:t>
      </w:r>
      <w:r w:rsidR="00440B8D">
        <w:t>ayude</w:t>
      </w:r>
      <w:r>
        <w:t xml:space="preserve"> a la identificación de los coordinadores </w:t>
      </w:r>
      <w:r w:rsidR="007D28CD">
        <w:t xml:space="preserve">de </w:t>
      </w:r>
      <w:r>
        <w:t>cada uno de los tres Sectores</w:t>
      </w:r>
      <w:r w:rsidR="007D28CD" w:rsidRPr="007D28CD">
        <w:t xml:space="preserve"> </w:t>
      </w:r>
      <w:r w:rsidR="007D28CD">
        <w:t>en las Oficinas Regionales</w:t>
      </w:r>
      <w:r w:rsidR="00440B8D">
        <w:t>, los cuales responderán a</w:t>
      </w:r>
      <w:r>
        <w:t>l Director Regional, conforme a lo estipulado en la Resolución 25</w:t>
      </w:r>
      <w:r w:rsidR="00440B8D">
        <w:t>.</w:t>
      </w:r>
      <w:r>
        <w:t xml:space="preserve"> </w:t>
      </w:r>
    </w:p>
    <w:p w14:paraId="6C99095A" w14:textId="0473AC68" w:rsidR="00F968E8" w:rsidRDefault="00440B8D" w:rsidP="00440B8D">
      <w:pPr>
        <w:pStyle w:val="ListParagraph"/>
        <w:numPr>
          <w:ilvl w:val="0"/>
          <w:numId w:val="3"/>
        </w:numPr>
        <w:ind w:left="567"/>
        <w:jc w:val="both"/>
      </w:pPr>
      <w:r>
        <w:t xml:space="preserve">Que el Director de la BDT </w:t>
      </w:r>
      <w:r w:rsidR="00F968E8">
        <w:t>realice</w:t>
      </w:r>
      <w:r>
        <w:t xml:space="preserve"> consultas con los </w:t>
      </w:r>
      <w:r w:rsidR="00F126D4">
        <w:t>Directores de las Oficinas de</w:t>
      </w:r>
      <w:r>
        <w:t xml:space="preserve"> Radiocomunicaciones y de Normalización, así como </w:t>
      </w:r>
      <w:r w:rsidR="00F126D4">
        <w:t xml:space="preserve">con </w:t>
      </w:r>
      <w:r>
        <w:t>las Oficinas Regionales</w:t>
      </w:r>
      <w:r w:rsidR="00186DE8">
        <w:t>,</w:t>
      </w:r>
      <w:r>
        <w:t xml:space="preserve"> </w:t>
      </w:r>
      <w:r w:rsidR="00F968E8">
        <w:t>a fin de identificar</w:t>
      </w:r>
      <w:r>
        <w:t xml:space="preserve"> las expectativas de la presencia regional y el nivel de contribución de cada Sector</w:t>
      </w:r>
      <w:r w:rsidR="00F126D4">
        <w:t xml:space="preserve"> y las comparta con los Miembros, con </w:t>
      </w:r>
      <w:r w:rsidR="00186DE8">
        <w:t xml:space="preserve">miras a </w:t>
      </w:r>
      <w:r w:rsidR="00F968E8">
        <w:t>intensificar su cooperación y coordinación</w:t>
      </w:r>
      <w:r w:rsidR="00186DE8">
        <w:t xml:space="preserve"> con las Oficinas Regionales.</w:t>
      </w:r>
    </w:p>
    <w:p w14:paraId="17051226" w14:textId="5F632DC2" w:rsidR="00DA28A0" w:rsidRDefault="00EA20BA" w:rsidP="007F50AA">
      <w:pPr>
        <w:pStyle w:val="ListParagraph"/>
        <w:numPr>
          <w:ilvl w:val="0"/>
          <w:numId w:val="3"/>
        </w:numPr>
        <w:ind w:left="567"/>
        <w:jc w:val="both"/>
      </w:pPr>
      <w:r>
        <w:t>Que la Secretaría de la UIT busque mecanismos que permitan f</w:t>
      </w:r>
      <w:r w:rsidR="00DA28A0">
        <w:t>ortalecer e incrementar la participación</w:t>
      </w:r>
      <w:r>
        <w:t xml:space="preserve">, </w:t>
      </w:r>
      <w:r w:rsidR="00DA28A0">
        <w:t>coordinación</w:t>
      </w:r>
      <w:r>
        <w:t xml:space="preserve"> y comunicación de las actividades, proyectos e iniciativas de las Oficinas Regionales con la UIT sede.</w:t>
      </w:r>
    </w:p>
    <w:p w14:paraId="5CD95960" w14:textId="1F0DAE09" w:rsidR="00A759AA" w:rsidRDefault="00184844" w:rsidP="007F50AA">
      <w:pPr>
        <w:pStyle w:val="ListParagraph"/>
        <w:numPr>
          <w:ilvl w:val="0"/>
          <w:numId w:val="3"/>
        </w:numPr>
        <w:ind w:left="567"/>
        <w:jc w:val="both"/>
      </w:pPr>
      <w:r>
        <w:t xml:space="preserve">Finalmente, respecto de </w:t>
      </w:r>
      <w:r w:rsidR="00A759AA">
        <w:t>los criterios para la apertura de nuevas oficinas de área o regionales</w:t>
      </w:r>
      <w:r>
        <w:t xml:space="preserve">, se considera pertinente que, dichos criterios incluyan el análisis de los posibles efectos de una </w:t>
      </w:r>
      <w:r w:rsidR="00A759AA">
        <w:t xml:space="preserve">relocalización de una oficina existente </w:t>
      </w:r>
      <w:r>
        <w:t>como medio para solventar la necesidad identificada</w:t>
      </w:r>
      <w:r w:rsidR="00A759AA">
        <w:t xml:space="preserve">. </w:t>
      </w:r>
    </w:p>
    <w:bookmarkEnd w:id="3"/>
    <w:p w14:paraId="0DE22A41" w14:textId="3A78CB5C" w:rsidR="00402F44" w:rsidRDefault="00B56B46" w:rsidP="00B56B46">
      <w:pPr>
        <w:spacing w:before="720"/>
        <w:jc w:val="center"/>
      </w:pPr>
      <w:r>
        <w:t>________________</w:t>
      </w:r>
    </w:p>
    <w:sectPr w:rsidR="00402F44" w:rsidSect="00752F24">
      <w:footerReference w:type="default" r:id="rId21"/>
      <w:headerReference w:type="first" r:id="rId22"/>
      <w:footerReference w:type="first" r:id="rId2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3E57" w14:textId="77777777" w:rsidR="00752F24" w:rsidRDefault="00752F24">
      <w:r>
        <w:separator/>
      </w:r>
    </w:p>
  </w:endnote>
  <w:endnote w:type="continuationSeparator" w:id="0">
    <w:p w14:paraId="6FE473A8" w14:textId="77777777" w:rsidR="00752F24" w:rsidRDefault="0075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5991BCC6" w:rsidR="003273A4" w:rsidRDefault="003273A4" w:rsidP="003273A4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1328314" w14:textId="77111DD2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B56B46">
            <w:rPr>
              <w:bCs/>
            </w:rPr>
            <w:t>98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5A3D40BA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B56B46">
            <w:rPr>
              <w:bCs/>
            </w:rPr>
            <w:t>98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F80B" w14:textId="77777777" w:rsidR="00752F24" w:rsidRDefault="00752F24">
      <w:r>
        <w:t>____________________</w:t>
      </w:r>
    </w:p>
  </w:footnote>
  <w:footnote w:type="continuationSeparator" w:id="0">
    <w:p w14:paraId="0780970C" w14:textId="77777777" w:rsidR="00752F24" w:rsidRDefault="0075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4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4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353B"/>
    <w:multiLevelType w:val="hybridMultilevel"/>
    <w:tmpl w:val="955A37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4BFB"/>
    <w:multiLevelType w:val="hybridMultilevel"/>
    <w:tmpl w:val="DE8067E6"/>
    <w:lvl w:ilvl="0" w:tplc="080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2197"/>
    <w:multiLevelType w:val="hybridMultilevel"/>
    <w:tmpl w:val="59B03C4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301F9"/>
    <w:multiLevelType w:val="hybridMultilevel"/>
    <w:tmpl w:val="665E8F42"/>
    <w:lvl w:ilvl="0" w:tplc="08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771438">
    <w:abstractNumId w:val="1"/>
  </w:num>
  <w:num w:numId="2" w16cid:durableId="1304114503">
    <w:abstractNumId w:val="2"/>
  </w:num>
  <w:num w:numId="3" w16cid:durableId="124005592">
    <w:abstractNumId w:val="0"/>
  </w:num>
  <w:num w:numId="4" w16cid:durableId="948048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51A96"/>
    <w:rsid w:val="00053A90"/>
    <w:rsid w:val="00063BD8"/>
    <w:rsid w:val="00075A2D"/>
    <w:rsid w:val="0008373E"/>
    <w:rsid w:val="00087DF5"/>
    <w:rsid w:val="000902A1"/>
    <w:rsid w:val="00093EEB"/>
    <w:rsid w:val="000B0D00"/>
    <w:rsid w:val="000B608A"/>
    <w:rsid w:val="000B7C15"/>
    <w:rsid w:val="000D1D0F"/>
    <w:rsid w:val="000D4620"/>
    <w:rsid w:val="000F5290"/>
    <w:rsid w:val="000F5DE3"/>
    <w:rsid w:val="0010165C"/>
    <w:rsid w:val="00102B1F"/>
    <w:rsid w:val="00106F33"/>
    <w:rsid w:val="00110CBA"/>
    <w:rsid w:val="00110DA9"/>
    <w:rsid w:val="0011171A"/>
    <w:rsid w:val="00140685"/>
    <w:rsid w:val="00146BFB"/>
    <w:rsid w:val="001500F6"/>
    <w:rsid w:val="001559F5"/>
    <w:rsid w:val="00184844"/>
    <w:rsid w:val="00186DE8"/>
    <w:rsid w:val="00186DE9"/>
    <w:rsid w:val="001905D7"/>
    <w:rsid w:val="001B4ECC"/>
    <w:rsid w:val="001B79F1"/>
    <w:rsid w:val="001D3452"/>
    <w:rsid w:val="001F14A2"/>
    <w:rsid w:val="001F2080"/>
    <w:rsid w:val="00212D65"/>
    <w:rsid w:val="002130A4"/>
    <w:rsid w:val="00245091"/>
    <w:rsid w:val="002801AA"/>
    <w:rsid w:val="002812EB"/>
    <w:rsid w:val="00294832"/>
    <w:rsid w:val="002B35BC"/>
    <w:rsid w:val="002B5169"/>
    <w:rsid w:val="002C4676"/>
    <w:rsid w:val="002C70B0"/>
    <w:rsid w:val="002D1D7B"/>
    <w:rsid w:val="002E40A0"/>
    <w:rsid w:val="002F0CB0"/>
    <w:rsid w:val="002F3CC4"/>
    <w:rsid w:val="002F528B"/>
    <w:rsid w:val="00313181"/>
    <w:rsid w:val="003273A4"/>
    <w:rsid w:val="003315DB"/>
    <w:rsid w:val="00344C22"/>
    <w:rsid w:val="00351F93"/>
    <w:rsid w:val="00377A35"/>
    <w:rsid w:val="0038301C"/>
    <w:rsid w:val="003853D3"/>
    <w:rsid w:val="003972C3"/>
    <w:rsid w:val="003973B1"/>
    <w:rsid w:val="003A35F3"/>
    <w:rsid w:val="003A6196"/>
    <w:rsid w:val="003D63DA"/>
    <w:rsid w:val="003E3D07"/>
    <w:rsid w:val="00402067"/>
    <w:rsid w:val="004022AB"/>
    <w:rsid w:val="00402F44"/>
    <w:rsid w:val="00410D55"/>
    <w:rsid w:val="004161C7"/>
    <w:rsid w:val="0042371C"/>
    <w:rsid w:val="00423DDD"/>
    <w:rsid w:val="00440B8D"/>
    <w:rsid w:val="00444B44"/>
    <w:rsid w:val="00451C14"/>
    <w:rsid w:val="004640B4"/>
    <w:rsid w:val="00473962"/>
    <w:rsid w:val="00480D20"/>
    <w:rsid w:val="004B029C"/>
    <w:rsid w:val="004B5D49"/>
    <w:rsid w:val="004B7D1D"/>
    <w:rsid w:val="004B7E7B"/>
    <w:rsid w:val="004C0273"/>
    <w:rsid w:val="004D6BD2"/>
    <w:rsid w:val="00510120"/>
    <w:rsid w:val="00513630"/>
    <w:rsid w:val="00516542"/>
    <w:rsid w:val="005232F8"/>
    <w:rsid w:val="00525B44"/>
    <w:rsid w:val="00552488"/>
    <w:rsid w:val="00560125"/>
    <w:rsid w:val="00575556"/>
    <w:rsid w:val="00575F16"/>
    <w:rsid w:val="00585553"/>
    <w:rsid w:val="0059061D"/>
    <w:rsid w:val="005A6E9F"/>
    <w:rsid w:val="005B34D9"/>
    <w:rsid w:val="005C77CF"/>
    <w:rsid w:val="005D0CCF"/>
    <w:rsid w:val="005D3C75"/>
    <w:rsid w:val="005E50F4"/>
    <w:rsid w:val="005F3BCB"/>
    <w:rsid w:val="005F410F"/>
    <w:rsid w:val="005F525E"/>
    <w:rsid w:val="0060149A"/>
    <w:rsid w:val="00601924"/>
    <w:rsid w:val="00607D28"/>
    <w:rsid w:val="006447EA"/>
    <w:rsid w:val="0064481D"/>
    <w:rsid w:val="0064731F"/>
    <w:rsid w:val="00661B09"/>
    <w:rsid w:val="00662CE7"/>
    <w:rsid w:val="00664572"/>
    <w:rsid w:val="006710F6"/>
    <w:rsid w:val="00675060"/>
    <w:rsid w:val="00677A97"/>
    <w:rsid w:val="006C1ACA"/>
    <w:rsid w:val="006C1B56"/>
    <w:rsid w:val="006D0A1F"/>
    <w:rsid w:val="006D4761"/>
    <w:rsid w:val="00702D94"/>
    <w:rsid w:val="00703B80"/>
    <w:rsid w:val="0070669C"/>
    <w:rsid w:val="00720C44"/>
    <w:rsid w:val="007218FF"/>
    <w:rsid w:val="00726872"/>
    <w:rsid w:val="007446FA"/>
    <w:rsid w:val="00744D40"/>
    <w:rsid w:val="0074633B"/>
    <w:rsid w:val="00752F24"/>
    <w:rsid w:val="00754D55"/>
    <w:rsid w:val="00760F1C"/>
    <w:rsid w:val="007657F0"/>
    <w:rsid w:val="00772488"/>
    <w:rsid w:val="0077252D"/>
    <w:rsid w:val="007747AB"/>
    <w:rsid w:val="00776903"/>
    <w:rsid w:val="007955DA"/>
    <w:rsid w:val="007A03D0"/>
    <w:rsid w:val="007A0A90"/>
    <w:rsid w:val="007B4FA7"/>
    <w:rsid w:val="007C5BE9"/>
    <w:rsid w:val="007D28CD"/>
    <w:rsid w:val="007E1863"/>
    <w:rsid w:val="007E56AC"/>
    <w:rsid w:val="007E5DD3"/>
    <w:rsid w:val="007F31E8"/>
    <w:rsid w:val="007F350B"/>
    <w:rsid w:val="007F50AA"/>
    <w:rsid w:val="00820BE4"/>
    <w:rsid w:val="00823879"/>
    <w:rsid w:val="00830DC5"/>
    <w:rsid w:val="008451E8"/>
    <w:rsid w:val="008565F4"/>
    <w:rsid w:val="00866A0D"/>
    <w:rsid w:val="00886B16"/>
    <w:rsid w:val="00886F1B"/>
    <w:rsid w:val="008A3A59"/>
    <w:rsid w:val="008B7150"/>
    <w:rsid w:val="008B768B"/>
    <w:rsid w:val="008C0665"/>
    <w:rsid w:val="008C185F"/>
    <w:rsid w:val="008F26C1"/>
    <w:rsid w:val="00901060"/>
    <w:rsid w:val="009134B9"/>
    <w:rsid w:val="00913B9C"/>
    <w:rsid w:val="00927F93"/>
    <w:rsid w:val="00951845"/>
    <w:rsid w:val="00956E77"/>
    <w:rsid w:val="00974139"/>
    <w:rsid w:val="009869B5"/>
    <w:rsid w:val="009A0514"/>
    <w:rsid w:val="009A322A"/>
    <w:rsid w:val="009A338E"/>
    <w:rsid w:val="009C0967"/>
    <w:rsid w:val="009C13BD"/>
    <w:rsid w:val="009D6C11"/>
    <w:rsid w:val="009E37F4"/>
    <w:rsid w:val="009F4811"/>
    <w:rsid w:val="009F48D9"/>
    <w:rsid w:val="00A20A0F"/>
    <w:rsid w:val="00A35693"/>
    <w:rsid w:val="00A47816"/>
    <w:rsid w:val="00A64927"/>
    <w:rsid w:val="00A7518E"/>
    <w:rsid w:val="00A759AA"/>
    <w:rsid w:val="00AA390C"/>
    <w:rsid w:val="00AB4AA5"/>
    <w:rsid w:val="00AB7499"/>
    <w:rsid w:val="00AC5C68"/>
    <w:rsid w:val="00B0200A"/>
    <w:rsid w:val="00B05371"/>
    <w:rsid w:val="00B10B9B"/>
    <w:rsid w:val="00B150BB"/>
    <w:rsid w:val="00B16CBA"/>
    <w:rsid w:val="00B56B46"/>
    <w:rsid w:val="00B574DB"/>
    <w:rsid w:val="00B824F7"/>
    <w:rsid w:val="00B826C2"/>
    <w:rsid w:val="00B8298E"/>
    <w:rsid w:val="00B9584C"/>
    <w:rsid w:val="00BA5568"/>
    <w:rsid w:val="00BD0723"/>
    <w:rsid w:val="00BD2518"/>
    <w:rsid w:val="00BE4C7D"/>
    <w:rsid w:val="00BF0597"/>
    <w:rsid w:val="00BF1D1C"/>
    <w:rsid w:val="00BF7284"/>
    <w:rsid w:val="00C0535E"/>
    <w:rsid w:val="00C20C59"/>
    <w:rsid w:val="00C2727F"/>
    <w:rsid w:val="00C538FC"/>
    <w:rsid w:val="00C55B1F"/>
    <w:rsid w:val="00C739AB"/>
    <w:rsid w:val="00CA2626"/>
    <w:rsid w:val="00CA4ED1"/>
    <w:rsid w:val="00CB1E39"/>
    <w:rsid w:val="00CC5BB9"/>
    <w:rsid w:val="00CE772D"/>
    <w:rsid w:val="00CF1A67"/>
    <w:rsid w:val="00CF6D46"/>
    <w:rsid w:val="00D153D3"/>
    <w:rsid w:val="00D16EC2"/>
    <w:rsid w:val="00D21E8F"/>
    <w:rsid w:val="00D2750E"/>
    <w:rsid w:val="00D305E4"/>
    <w:rsid w:val="00D3124C"/>
    <w:rsid w:val="00D375E0"/>
    <w:rsid w:val="00D50A36"/>
    <w:rsid w:val="00D55E77"/>
    <w:rsid w:val="00D62446"/>
    <w:rsid w:val="00D63F5A"/>
    <w:rsid w:val="00DA28A0"/>
    <w:rsid w:val="00DA4EA2"/>
    <w:rsid w:val="00DB11EC"/>
    <w:rsid w:val="00DC10F5"/>
    <w:rsid w:val="00DC3D3E"/>
    <w:rsid w:val="00DE2C90"/>
    <w:rsid w:val="00DE3B24"/>
    <w:rsid w:val="00E06947"/>
    <w:rsid w:val="00E3077C"/>
    <w:rsid w:val="00E32FD5"/>
    <w:rsid w:val="00E34072"/>
    <w:rsid w:val="00E3592D"/>
    <w:rsid w:val="00E50D76"/>
    <w:rsid w:val="00E80384"/>
    <w:rsid w:val="00E82FAA"/>
    <w:rsid w:val="00E83469"/>
    <w:rsid w:val="00E87E34"/>
    <w:rsid w:val="00E92B79"/>
    <w:rsid w:val="00E92DE8"/>
    <w:rsid w:val="00E96398"/>
    <w:rsid w:val="00EA20BA"/>
    <w:rsid w:val="00EB1212"/>
    <w:rsid w:val="00ED65AB"/>
    <w:rsid w:val="00F05B0F"/>
    <w:rsid w:val="00F126D4"/>
    <w:rsid w:val="00F12850"/>
    <w:rsid w:val="00F173F8"/>
    <w:rsid w:val="00F21198"/>
    <w:rsid w:val="00F24B71"/>
    <w:rsid w:val="00F3109B"/>
    <w:rsid w:val="00F33BF4"/>
    <w:rsid w:val="00F343CD"/>
    <w:rsid w:val="00F4642E"/>
    <w:rsid w:val="00F70FA4"/>
    <w:rsid w:val="00F7105E"/>
    <w:rsid w:val="00F75F57"/>
    <w:rsid w:val="00F81A5C"/>
    <w:rsid w:val="00F82FEE"/>
    <w:rsid w:val="00F968E8"/>
    <w:rsid w:val="00FA66B5"/>
    <w:rsid w:val="00FD1382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,Style 58,超????,超?级链,超级链接,하이퍼링크2,하이퍼링크21"/>
    <w:basedOn w:val="DefaultParagraphFont"/>
    <w:qFormat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2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6F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25B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5B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5B44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5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5B44"/>
    <w:rPr>
      <w:rFonts w:ascii="Calibri" w:hAnsi="Calibri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7E1863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25-s.pdf" TargetMode="External"/><Relationship Id="rId13" Type="http://schemas.openxmlformats.org/officeDocument/2006/relationships/hyperlink" Target="https://www.itu.int/md/D22-TDAG31-C-0012/en" TargetMode="External"/><Relationship Id="rId18" Type="http://schemas.openxmlformats.org/officeDocument/2006/relationships/hyperlink" Target="https://www.itu.int/md/S24-CL-C-0025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CL-C-0025/en" TargetMode="External"/><Relationship Id="rId17" Type="http://schemas.openxmlformats.org/officeDocument/2006/relationships/hyperlink" Target="https://www.itu.int/md/S23-CWGFHR16-C-0010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ties/Pages/regional-presence-dashboard.aspx" TargetMode="External"/><Relationship Id="rId20" Type="http://schemas.openxmlformats.org/officeDocument/2006/relationships/hyperlink" Target="https://www.itu.int/md/D22-TDAG31-C-001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INF-0007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025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23-CL-C-0025/en" TargetMode="External"/><Relationship Id="rId19" Type="http://schemas.openxmlformats.org/officeDocument/2006/relationships/hyperlink" Target="https://www.itu.int/md/D22-TDAG31-C-001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74/en" TargetMode="External"/><Relationship Id="rId14" Type="http://schemas.openxmlformats.org/officeDocument/2006/relationships/hyperlink" Target="https://www.itu.int/md/S20-CL-C-0074/e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5307-F615-4857-AB4E-68447AD2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0</TotalTime>
  <Pages>4</Pages>
  <Words>1744</Words>
  <Characters>10255</Characters>
  <Application>Microsoft Office Word</Application>
  <DocSecurity>4</DocSecurity>
  <Lines>85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2" baseType="lpstr">
      <vt:lpstr/>
      <vt:lpstr/>
    </vt:vector>
  </TitlesOfParts>
  <Manager>Secretaría General - Pool</Manager>
  <Company>International Telecommunication Union</Company>
  <LinksUpToDate>false</LinksUpToDate>
  <CharactersWithSpaces>11976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México - Fortalecimeinto de la presencia regional</dc:title>
  <dc:subject>Consejo 2024 de la UIT</dc:subject>
  <dc:creator>Brouard, Ricarda</dc:creator>
  <cp:keywords>C2024, C24, Council-24</cp:keywords>
  <dc:description/>
  <cp:lastModifiedBy>Brouard, Ricarda</cp:lastModifiedBy>
  <cp:revision>2</cp:revision>
  <cp:lastPrinted>2006-03-24T09:51:00Z</cp:lastPrinted>
  <dcterms:created xsi:type="dcterms:W3CDTF">2024-05-22T11:55:00Z</dcterms:created>
  <dcterms:modified xsi:type="dcterms:W3CDTF">2024-05-22T11:55:00Z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