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324546" w14:paraId="55A267AF" w14:textId="77777777" w:rsidTr="00AD3606">
        <w:trPr>
          <w:cantSplit/>
          <w:trHeight w:val="23"/>
        </w:trPr>
        <w:tc>
          <w:tcPr>
            <w:tcW w:w="3969" w:type="dxa"/>
            <w:vMerge w:val="restart"/>
            <w:tcMar>
              <w:left w:w="0" w:type="dxa"/>
            </w:tcMar>
          </w:tcPr>
          <w:p w14:paraId="6A16D84A" w14:textId="0BB6E1CA" w:rsidR="00AD3606" w:rsidRPr="00324546"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324546">
              <w:rPr>
                <w:b/>
              </w:rPr>
              <w:t xml:space="preserve">Agenda item: </w:t>
            </w:r>
            <w:r w:rsidR="00C70AE0" w:rsidRPr="00324546">
              <w:rPr>
                <w:b/>
              </w:rPr>
              <w:t>PL</w:t>
            </w:r>
            <w:r w:rsidR="008C0802" w:rsidRPr="00324546">
              <w:rPr>
                <w:b/>
              </w:rPr>
              <w:t xml:space="preserve"> </w:t>
            </w:r>
            <w:r w:rsidR="00C70AE0" w:rsidRPr="00324546">
              <w:rPr>
                <w:b/>
              </w:rPr>
              <w:t>2</w:t>
            </w:r>
          </w:p>
        </w:tc>
        <w:tc>
          <w:tcPr>
            <w:tcW w:w="5245" w:type="dxa"/>
          </w:tcPr>
          <w:p w14:paraId="097481C0" w14:textId="5E000C08" w:rsidR="00AD3606" w:rsidRPr="00324546" w:rsidRDefault="00AD3606" w:rsidP="00472BAD">
            <w:pPr>
              <w:tabs>
                <w:tab w:val="left" w:pos="851"/>
              </w:tabs>
              <w:spacing w:before="0" w:line="240" w:lineRule="atLeast"/>
              <w:jc w:val="right"/>
              <w:rPr>
                <w:b/>
              </w:rPr>
            </w:pPr>
            <w:r w:rsidRPr="00324546">
              <w:rPr>
                <w:b/>
              </w:rPr>
              <w:t xml:space="preserve">Document </w:t>
            </w:r>
            <w:proofErr w:type="spellStart"/>
            <w:r w:rsidRPr="00324546">
              <w:rPr>
                <w:b/>
              </w:rPr>
              <w:t>C2</w:t>
            </w:r>
            <w:r w:rsidR="00E23618" w:rsidRPr="00324546">
              <w:rPr>
                <w:b/>
              </w:rPr>
              <w:t>4</w:t>
            </w:r>
            <w:proofErr w:type="spellEnd"/>
            <w:r w:rsidRPr="00324546">
              <w:rPr>
                <w:b/>
              </w:rPr>
              <w:t>/</w:t>
            </w:r>
            <w:r w:rsidR="00C70AE0" w:rsidRPr="00324546">
              <w:rPr>
                <w:b/>
              </w:rPr>
              <w:t>98</w:t>
            </w:r>
            <w:r w:rsidRPr="00324546">
              <w:rPr>
                <w:b/>
              </w:rPr>
              <w:t>-E</w:t>
            </w:r>
          </w:p>
        </w:tc>
      </w:tr>
      <w:tr w:rsidR="00AD3606" w:rsidRPr="00324546" w14:paraId="1FF939FB" w14:textId="77777777" w:rsidTr="00AD3606">
        <w:trPr>
          <w:cantSplit/>
        </w:trPr>
        <w:tc>
          <w:tcPr>
            <w:tcW w:w="3969" w:type="dxa"/>
            <w:vMerge/>
          </w:tcPr>
          <w:p w14:paraId="5270829C" w14:textId="77777777" w:rsidR="00AD3606" w:rsidRPr="00324546" w:rsidRDefault="00AD3606" w:rsidP="00AD3606">
            <w:pPr>
              <w:tabs>
                <w:tab w:val="left" w:pos="851"/>
              </w:tabs>
              <w:spacing w:line="240" w:lineRule="atLeast"/>
              <w:rPr>
                <w:b/>
              </w:rPr>
            </w:pPr>
            <w:bookmarkStart w:id="6" w:name="ddate" w:colFirst="1" w:colLast="1"/>
            <w:bookmarkEnd w:id="0"/>
            <w:bookmarkEnd w:id="1"/>
          </w:p>
        </w:tc>
        <w:tc>
          <w:tcPr>
            <w:tcW w:w="5245" w:type="dxa"/>
          </w:tcPr>
          <w:p w14:paraId="414F72F0" w14:textId="3E17E324" w:rsidR="00AD3606" w:rsidRPr="00324546" w:rsidRDefault="00C70AE0" w:rsidP="00AD3606">
            <w:pPr>
              <w:tabs>
                <w:tab w:val="left" w:pos="851"/>
              </w:tabs>
              <w:spacing w:before="0"/>
              <w:jc w:val="right"/>
              <w:rPr>
                <w:b/>
              </w:rPr>
            </w:pPr>
            <w:r w:rsidRPr="00324546">
              <w:rPr>
                <w:b/>
              </w:rPr>
              <w:t>21 May</w:t>
            </w:r>
            <w:r w:rsidR="00AD3606" w:rsidRPr="00324546">
              <w:rPr>
                <w:b/>
              </w:rPr>
              <w:t xml:space="preserve"> 202</w:t>
            </w:r>
            <w:r w:rsidR="00E23618" w:rsidRPr="00324546">
              <w:rPr>
                <w:b/>
              </w:rPr>
              <w:t>4</w:t>
            </w:r>
          </w:p>
        </w:tc>
      </w:tr>
      <w:tr w:rsidR="00AD3606" w:rsidRPr="00324546" w14:paraId="78C177E5" w14:textId="77777777" w:rsidTr="00AD3606">
        <w:trPr>
          <w:cantSplit/>
          <w:trHeight w:val="23"/>
        </w:trPr>
        <w:tc>
          <w:tcPr>
            <w:tcW w:w="3969" w:type="dxa"/>
            <w:vMerge/>
          </w:tcPr>
          <w:p w14:paraId="37320F07" w14:textId="77777777" w:rsidR="00AD3606" w:rsidRPr="00324546" w:rsidRDefault="00AD3606" w:rsidP="00AD3606">
            <w:pPr>
              <w:tabs>
                <w:tab w:val="left" w:pos="851"/>
              </w:tabs>
              <w:spacing w:line="240" w:lineRule="atLeast"/>
              <w:rPr>
                <w:b/>
              </w:rPr>
            </w:pPr>
            <w:bookmarkStart w:id="7" w:name="dorlang" w:colFirst="1" w:colLast="1"/>
            <w:bookmarkEnd w:id="6"/>
          </w:p>
        </w:tc>
        <w:tc>
          <w:tcPr>
            <w:tcW w:w="5245" w:type="dxa"/>
          </w:tcPr>
          <w:p w14:paraId="167745E7" w14:textId="3DA72103" w:rsidR="00AD3606" w:rsidRPr="00324546" w:rsidRDefault="00AD3606" w:rsidP="00AD3606">
            <w:pPr>
              <w:tabs>
                <w:tab w:val="left" w:pos="851"/>
              </w:tabs>
              <w:spacing w:before="0" w:line="240" w:lineRule="atLeast"/>
              <w:jc w:val="right"/>
              <w:rPr>
                <w:b/>
              </w:rPr>
            </w:pPr>
            <w:r w:rsidRPr="00324546">
              <w:rPr>
                <w:b/>
              </w:rPr>
              <w:t xml:space="preserve">Original: </w:t>
            </w:r>
            <w:r w:rsidR="00C70AE0" w:rsidRPr="00324546">
              <w:rPr>
                <w:b/>
              </w:rPr>
              <w:t>Spanish</w:t>
            </w:r>
          </w:p>
        </w:tc>
      </w:tr>
      <w:tr w:rsidR="00472BAD" w:rsidRPr="00324546" w14:paraId="4EA2D9A3" w14:textId="77777777" w:rsidTr="00AD3606">
        <w:trPr>
          <w:cantSplit/>
          <w:trHeight w:val="23"/>
        </w:trPr>
        <w:tc>
          <w:tcPr>
            <w:tcW w:w="3969" w:type="dxa"/>
          </w:tcPr>
          <w:p w14:paraId="3121893F" w14:textId="77777777" w:rsidR="00472BAD" w:rsidRPr="00324546" w:rsidRDefault="00472BAD" w:rsidP="00AD3606">
            <w:pPr>
              <w:tabs>
                <w:tab w:val="left" w:pos="851"/>
              </w:tabs>
              <w:spacing w:line="240" w:lineRule="atLeast"/>
              <w:rPr>
                <w:b/>
              </w:rPr>
            </w:pPr>
          </w:p>
        </w:tc>
        <w:tc>
          <w:tcPr>
            <w:tcW w:w="5245" w:type="dxa"/>
          </w:tcPr>
          <w:p w14:paraId="6E9B15DE" w14:textId="77777777" w:rsidR="00472BAD" w:rsidRPr="00324546" w:rsidRDefault="00472BAD" w:rsidP="00AD3606">
            <w:pPr>
              <w:tabs>
                <w:tab w:val="left" w:pos="851"/>
              </w:tabs>
              <w:spacing w:before="0" w:line="240" w:lineRule="atLeast"/>
              <w:jc w:val="right"/>
              <w:rPr>
                <w:b/>
              </w:rPr>
            </w:pPr>
          </w:p>
        </w:tc>
      </w:tr>
      <w:tr w:rsidR="00AD3606" w:rsidRPr="00324546" w14:paraId="603D8ADC" w14:textId="77777777" w:rsidTr="00AD3606">
        <w:trPr>
          <w:cantSplit/>
        </w:trPr>
        <w:tc>
          <w:tcPr>
            <w:tcW w:w="9214" w:type="dxa"/>
            <w:gridSpan w:val="2"/>
            <w:tcMar>
              <w:left w:w="0" w:type="dxa"/>
            </w:tcMar>
          </w:tcPr>
          <w:p w14:paraId="588422F2" w14:textId="7ECB73CD" w:rsidR="00AD3606" w:rsidRPr="00324546" w:rsidRDefault="00C70AE0" w:rsidP="006850BE">
            <w:pPr>
              <w:pStyle w:val="Source"/>
              <w:framePr w:hSpace="0" w:wrap="auto" w:vAnchor="margin" w:hAnchor="text" w:xAlign="left" w:yAlign="inline"/>
            </w:pPr>
            <w:bookmarkStart w:id="8" w:name="dsource" w:colFirst="0" w:colLast="0"/>
            <w:bookmarkEnd w:id="7"/>
            <w:r w:rsidRPr="00324546">
              <w:t>Contribution from Mexico</w:t>
            </w:r>
          </w:p>
        </w:tc>
      </w:tr>
      <w:tr w:rsidR="00AD3606" w:rsidRPr="00324546" w14:paraId="3DA38A87" w14:textId="77777777" w:rsidTr="00AD3606">
        <w:trPr>
          <w:cantSplit/>
        </w:trPr>
        <w:tc>
          <w:tcPr>
            <w:tcW w:w="9214" w:type="dxa"/>
            <w:gridSpan w:val="2"/>
            <w:tcMar>
              <w:left w:w="0" w:type="dxa"/>
            </w:tcMar>
          </w:tcPr>
          <w:p w14:paraId="3404F7CF" w14:textId="66456099" w:rsidR="00AD3606" w:rsidRPr="00324546" w:rsidRDefault="0080703E" w:rsidP="006850BE">
            <w:pPr>
              <w:pStyle w:val="Subtitle"/>
              <w:framePr w:hSpace="0" w:wrap="auto" w:xAlign="left" w:yAlign="inline"/>
            </w:pPr>
            <w:bookmarkStart w:id="9" w:name="dtitle1" w:colFirst="0" w:colLast="0"/>
            <w:bookmarkEnd w:id="8"/>
            <w:r w:rsidRPr="00324546">
              <w:t>STRENGTHENING THE REGIONAL PRESENCE</w:t>
            </w:r>
          </w:p>
        </w:tc>
      </w:tr>
      <w:tr w:rsidR="00AD3606" w:rsidRPr="00324546" w14:paraId="1DC9610C" w14:textId="77777777" w:rsidTr="00AD3606">
        <w:trPr>
          <w:cantSplit/>
        </w:trPr>
        <w:tc>
          <w:tcPr>
            <w:tcW w:w="9214" w:type="dxa"/>
            <w:gridSpan w:val="2"/>
            <w:tcBorders>
              <w:top w:val="single" w:sz="4" w:space="0" w:color="auto"/>
              <w:bottom w:val="single" w:sz="4" w:space="0" w:color="auto"/>
            </w:tcBorders>
            <w:tcMar>
              <w:left w:w="0" w:type="dxa"/>
            </w:tcMar>
          </w:tcPr>
          <w:p w14:paraId="46063E13" w14:textId="03C97AF2" w:rsidR="00AD3606" w:rsidRPr="00324546" w:rsidRDefault="00F16BAB" w:rsidP="00F16BAB">
            <w:pPr>
              <w:spacing w:before="160"/>
              <w:rPr>
                <w:b/>
                <w:bCs/>
                <w:sz w:val="26"/>
                <w:szCs w:val="26"/>
              </w:rPr>
            </w:pPr>
            <w:r w:rsidRPr="00324546">
              <w:rPr>
                <w:b/>
                <w:bCs/>
                <w:sz w:val="26"/>
                <w:szCs w:val="26"/>
              </w:rPr>
              <w:t>Purpose</w:t>
            </w:r>
          </w:p>
          <w:p w14:paraId="7888415B" w14:textId="2929822D" w:rsidR="00AD3606" w:rsidRPr="00324546" w:rsidRDefault="00EA7B94" w:rsidP="00F16BAB">
            <w:r w:rsidRPr="00324546">
              <w:t xml:space="preserve">The </w:t>
            </w:r>
            <w:r w:rsidR="00C70AE0" w:rsidRPr="00324546">
              <w:t>Administra</w:t>
            </w:r>
            <w:r w:rsidRPr="00324546">
              <w:t>tio</w:t>
            </w:r>
            <w:r w:rsidR="00C70AE0" w:rsidRPr="00324546">
              <w:t xml:space="preserve">n </w:t>
            </w:r>
            <w:r w:rsidRPr="00324546">
              <w:t xml:space="preserve">of </w:t>
            </w:r>
            <w:r w:rsidR="00C70AE0" w:rsidRPr="00324546">
              <w:t>M</w:t>
            </w:r>
            <w:r w:rsidRPr="00324546">
              <w:t>e</w:t>
            </w:r>
            <w:r w:rsidR="00C70AE0" w:rsidRPr="00324546">
              <w:t>xico invit</w:t>
            </w:r>
            <w:r w:rsidRPr="00324546">
              <w:t>es</w:t>
            </w:r>
            <w:r w:rsidR="00C70AE0" w:rsidRPr="00324546">
              <w:t xml:space="preserve"> </w:t>
            </w:r>
            <w:r w:rsidRPr="00324546">
              <w:t xml:space="preserve">the Council to </w:t>
            </w:r>
            <w:r w:rsidR="00C70AE0" w:rsidRPr="00324546">
              <w:t xml:space="preserve">consider </w:t>
            </w:r>
            <w:r w:rsidRPr="00324546">
              <w:t xml:space="preserve">its proposals with respect to strengthening </w:t>
            </w:r>
            <w:r w:rsidR="00D44917" w:rsidRPr="00324546">
              <w:t xml:space="preserve">the </w:t>
            </w:r>
            <w:r w:rsidRPr="00324546">
              <w:t xml:space="preserve">regional presence in </w:t>
            </w:r>
            <w:r w:rsidR="00D44917" w:rsidRPr="00324546">
              <w:t xml:space="preserve">connection with </w:t>
            </w:r>
            <w:r w:rsidR="00C70AE0" w:rsidRPr="00324546">
              <w:t>Resolu</w:t>
            </w:r>
            <w:r w:rsidRPr="00324546">
              <w:t>t</w:t>
            </w:r>
            <w:r w:rsidR="00C70AE0" w:rsidRPr="00324546">
              <w:t>i</w:t>
            </w:r>
            <w:r w:rsidRPr="00324546">
              <w:t>o</w:t>
            </w:r>
            <w:r w:rsidR="00C70AE0" w:rsidRPr="00324546">
              <w:t>n 25.</w:t>
            </w:r>
          </w:p>
          <w:p w14:paraId="1E4033D3" w14:textId="77777777" w:rsidR="00AD3606" w:rsidRPr="00324546" w:rsidRDefault="00AD3606" w:rsidP="00F16BAB">
            <w:pPr>
              <w:spacing w:before="160"/>
              <w:rPr>
                <w:b/>
                <w:bCs/>
                <w:sz w:val="26"/>
                <w:szCs w:val="26"/>
              </w:rPr>
            </w:pPr>
            <w:r w:rsidRPr="00324546">
              <w:rPr>
                <w:b/>
                <w:bCs/>
                <w:sz w:val="26"/>
                <w:szCs w:val="26"/>
              </w:rPr>
              <w:t>Action required</w:t>
            </w:r>
            <w:r w:rsidR="00F16BAB" w:rsidRPr="00324546">
              <w:rPr>
                <w:b/>
                <w:bCs/>
                <w:sz w:val="26"/>
                <w:szCs w:val="26"/>
              </w:rPr>
              <w:t xml:space="preserve"> by the Council</w:t>
            </w:r>
          </w:p>
          <w:p w14:paraId="2010F18F" w14:textId="1E497C52" w:rsidR="00AD3606" w:rsidRPr="00324546" w:rsidRDefault="00EA7B94" w:rsidP="00AD3606">
            <w:r w:rsidRPr="00324546">
              <w:t>The Council is invited to</w:t>
            </w:r>
            <w:r w:rsidR="00C70AE0" w:rsidRPr="00324546">
              <w:t xml:space="preserve"> </w:t>
            </w:r>
            <w:r w:rsidR="00C70AE0" w:rsidRPr="00324546">
              <w:rPr>
                <w:b/>
                <w:bCs/>
              </w:rPr>
              <w:t>consider</w:t>
            </w:r>
            <w:r w:rsidRPr="00324546">
              <w:t xml:space="preserve"> and </w:t>
            </w:r>
            <w:r w:rsidR="00C70AE0" w:rsidRPr="00324546">
              <w:rPr>
                <w:b/>
                <w:bCs/>
              </w:rPr>
              <w:t>d</w:t>
            </w:r>
            <w:r w:rsidRPr="00324546">
              <w:rPr>
                <w:b/>
                <w:bCs/>
              </w:rPr>
              <w:t>iscuss</w:t>
            </w:r>
            <w:r w:rsidR="00C70AE0" w:rsidRPr="00324546">
              <w:t xml:space="preserve"> </w:t>
            </w:r>
            <w:r w:rsidRPr="00324546">
              <w:t>the proposals</w:t>
            </w:r>
            <w:r w:rsidR="00C70AE0" w:rsidRPr="00324546">
              <w:t>.</w:t>
            </w:r>
          </w:p>
          <w:p w14:paraId="52E41BEE" w14:textId="77777777" w:rsidR="00AD3606" w:rsidRPr="00324546" w:rsidRDefault="00AD3606" w:rsidP="00F16BAB">
            <w:pPr>
              <w:spacing w:before="160"/>
              <w:rPr>
                <w:caps/>
                <w:sz w:val="22"/>
              </w:rPr>
            </w:pPr>
            <w:r w:rsidRPr="00324546">
              <w:rPr>
                <w:sz w:val="22"/>
              </w:rPr>
              <w:t>__________________</w:t>
            </w:r>
          </w:p>
          <w:p w14:paraId="1410680F" w14:textId="77777777" w:rsidR="00AD3606" w:rsidRPr="00324546" w:rsidRDefault="00AD3606" w:rsidP="00F16BAB">
            <w:pPr>
              <w:spacing w:before="160"/>
              <w:rPr>
                <w:b/>
                <w:bCs/>
                <w:sz w:val="26"/>
                <w:szCs w:val="26"/>
              </w:rPr>
            </w:pPr>
            <w:r w:rsidRPr="00324546">
              <w:rPr>
                <w:b/>
                <w:bCs/>
                <w:sz w:val="26"/>
                <w:szCs w:val="26"/>
              </w:rPr>
              <w:t>References</w:t>
            </w:r>
          </w:p>
          <w:p w14:paraId="5474BED2" w14:textId="62A08486" w:rsidR="00AD3606" w:rsidRPr="00324546" w:rsidRDefault="00324546" w:rsidP="00FD0055">
            <w:pPr>
              <w:spacing w:after="160"/>
              <w:rPr>
                <w:szCs w:val="24"/>
              </w:rPr>
            </w:pPr>
            <w:hyperlink r:id="rId8" w:history="1">
              <w:r w:rsidR="00FD0055" w:rsidRPr="00324546">
                <w:rPr>
                  <w:i/>
                  <w:iCs/>
                  <w:color w:val="0000FF"/>
                  <w:szCs w:val="24"/>
                  <w:u w:val="single"/>
                </w:rPr>
                <w:t>Resolution 25 (Rev. Bucharest, 2022) of the Plenipoten</w:t>
              </w:r>
              <w:r w:rsidR="00C26F58" w:rsidRPr="00324546">
                <w:rPr>
                  <w:i/>
                  <w:iCs/>
                  <w:color w:val="0000FF"/>
                  <w:szCs w:val="24"/>
                  <w:u w:val="single"/>
                </w:rPr>
                <w:t>t</w:t>
              </w:r>
              <w:r w:rsidR="00FD0055" w:rsidRPr="00324546">
                <w:rPr>
                  <w:i/>
                  <w:iCs/>
                  <w:color w:val="0000FF"/>
                  <w:szCs w:val="24"/>
                  <w:u w:val="single"/>
                </w:rPr>
                <w:t>iary Conference</w:t>
              </w:r>
            </w:hyperlink>
            <w:r w:rsidR="00FD0055" w:rsidRPr="00324546">
              <w:rPr>
                <w:i/>
                <w:iCs/>
                <w:szCs w:val="24"/>
              </w:rPr>
              <w:t>;</w:t>
            </w:r>
            <w:r>
              <w:rPr>
                <w:i/>
                <w:iCs/>
                <w:szCs w:val="24"/>
              </w:rPr>
              <w:t xml:space="preserve"> </w:t>
            </w:r>
            <w:r w:rsidR="00FD0055" w:rsidRPr="00324546">
              <w:rPr>
                <w:i/>
                <w:iCs/>
                <w:szCs w:val="24"/>
              </w:rPr>
              <w:t xml:space="preserve">Council documents </w:t>
            </w:r>
            <w:hyperlink r:id="rId9" w:history="1">
              <w:proofErr w:type="spellStart"/>
              <w:r w:rsidR="00FD0055" w:rsidRPr="00324546">
                <w:rPr>
                  <w:i/>
                  <w:iCs/>
                  <w:color w:val="0000FF"/>
                  <w:szCs w:val="24"/>
                  <w:u w:val="single"/>
                </w:rPr>
                <w:t>C20</w:t>
              </w:r>
              <w:proofErr w:type="spellEnd"/>
              <w:r w:rsidR="00FD0055" w:rsidRPr="00324546">
                <w:rPr>
                  <w:i/>
                  <w:iCs/>
                  <w:color w:val="0000FF"/>
                  <w:szCs w:val="24"/>
                  <w:u w:val="single"/>
                </w:rPr>
                <w:t>/74</w:t>
              </w:r>
            </w:hyperlink>
            <w:r w:rsidR="00FD0055" w:rsidRPr="00324546">
              <w:rPr>
                <w:i/>
                <w:iCs/>
                <w:szCs w:val="24"/>
              </w:rPr>
              <w:t xml:space="preserve">, </w:t>
            </w:r>
            <w:hyperlink r:id="rId10" w:history="1">
              <w:proofErr w:type="spellStart"/>
              <w:r w:rsidR="00FD0055" w:rsidRPr="00324546">
                <w:rPr>
                  <w:i/>
                  <w:iCs/>
                  <w:color w:val="0000FF"/>
                  <w:szCs w:val="24"/>
                  <w:u w:val="single"/>
                </w:rPr>
                <w:t>C23</w:t>
              </w:r>
              <w:proofErr w:type="spellEnd"/>
              <w:r w:rsidR="00FD0055" w:rsidRPr="00324546">
                <w:rPr>
                  <w:i/>
                  <w:iCs/>
                  <w:color w:val="0000FF"/>
                  <w:szCs w:val="24"/>
                  <w:u w:val="single"/>
                </w:rPr>
                <w:t>/25</w:t>
              </w:r>
            </w:hyperlink>
            <w:r w:rsidR="00FD0055" w:rsidRPr="00324546">
              <w:rPr>
                <w:i/>
                <w:iCs/>
                <w:szCs w:val="24"/>
              </w:rPr>
              <w:t xml:space="preserve">, </w:t>
            </w:r>
            <w:hyperlink r:id="rId11" w:history="1">
              <w:proofErr w:type="spellStart"/>
              <w:r w:rsidR="00FD0055" w:rsidRPr="00324546">
                <w:rPr>
                  <w:i/>
                  <w:iCs/>
                  <w:color w:val="0000FF"/>
                  <w:szCs w:val="24"/>
                  <w:u w:val="single"/>
                </w:rPr>
                <w:t>C23</w:t>
              </w:r>
              <w:proofErr w:type="spellEnd"/>
              <w:r w:rsidR="00FD0055" w:rsidRPr="00324546">
                <w:rPr>
                  <w:i/>
                  <w:iCs/>
                  <w:color w:val="0000FF"/>
                  <w:szCs w:val="24"/>
                  <w:u w:val="single"/>
                </w:rPr>
                <w:t>/INF/7</w:t>
              </w:r>
            </w:hyperlink>
            <w:r w:rsidR="00FD0055" w:rsidRPr="00324546">
              <w:rPr>
                <w:i/>
                <w:iCs/>
                <w:szCs w:val="24"/>
              </w:rPr>
              <w:t xml:space="preserve">, </w:t>
            </w:r>
            <w:hyperlink r:id="rId12" w:history="1">
              <w:proofErr w:type="spellStart"/>
              <w:r w:rsidR="00FD0055" w:rsidRPr="00324546">
                <w:rPr>
                  <w:i/>
                  <w:iCs/>
                  <w:color w:val="0000FF"/>
                  <w:szCs w:val="24"/>
                  <w:u w:val="single"/>
                </w:rPr>
                <w:t>C24</w:t>
              </w:r>
              <w:proofErr w:type="spellEnd"/>
              <w:r w:rsidR="00FD0055" w:rsidRPr="00324546">
                <w:rPr>
                  <w:i/>
                  <w:iCs/>
                  <w:color w:val="0000FF"/>
                  <w:szCs w:val="24"/>
                  <w:u w:val="single"/>
                </w:rPr>
                <w:t>/25</w:t>
              </w:r>
            </w:hyperlink>
            <w:r w:rsidR="00FD0055" w:rsidRPr="00324546">
              <w:rPr>
                <w:i/>
                <w:iCs/>
                <w:szCs w:val="24"/>
              </w:rPr>
              <w:t xml:space="preserve">; </w:t>
            </w:r>
            <w:hyperlink r:id="rId13" w:history="1">
              <w:r w:rsidR="00FD0055" w:rsidRPr="00324546">
                <w:rPr>
                  <w:i/>
                  <w:iCs/>
                  <w:color w:val="0000FF"/>
                  <w:szCs w:val="24"/>
                  <w:u w:val="single"/>
                </w:rPr>
                <w:t xml:space="preserve">Document </w:t>
              </w:r>
              <w:proofErr w:type="spellStart"/>
              <w:r w:rsidR="00FD0055" w:rsidRPr="00324546">
                <w:rPr>
                  <w:i/>
                  <w:iCs/>
                  <w:color w:val="0000FF"/>
                  <w:szCs w:val="24"/>
                  <w:u w:val="single"/>
                </w:rPr>
                <w:t>TDAG</w:t>
              </w:r>
              <w:proofErr w:type="spellEnd"/>
              <w:r w:rsidR="00FD0055" w:rsidRPr="00324546">
                <w:rPr>
                  <w:i/>
                  <w:iCs/>
                  <w:color w:val="0000FF"/>
                  <w:szCs w:val="24"/>
                  <w:u w:val="single"/>
                </w:rPr>
                <w:t>-24/12</w:t>
              </w:r>
              <w:r w:rsidR="00FD0055" w:rsidRPr="00324546">
                <w:rPr>
                  <w:i/>
                  <w:iCs/>
                  <w:szCs w:val="24"/>
                </w:rPr>
                <w:t>.</w:t>
              </w:r>
            </w:hyperlink>
          </w:p>
        </w:tc>
      </w:tr>
    </w:tbl>
    <w:p w14:paraId="519CCC45" w14:textId="77777777" w:rsidR="00E227F3" w:rsidRPr="00324546"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075554C7" w14:textId="77777777" w:rsidR="0090147A" w:rsidRPr="00324546"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324546">
        <w:br w:type="page"/>
      </w:r>
    </w:p>
    <w:bookmarkEnd w:id="5"/>
    <w:bookmarkEnd w:id="10"/>
    <w:p w14:paraId="5F3B5172" w14:textId="77777777" w:rsidR="00EB2560" w:rsidRPr="00324546" w:rsidRDefault="00EB2560" w:rsidP="008918B5">
      <w:pPr>
        <w:pStyle w:val="Headingb"/>
      </w:pPr>
      <w:r w:rsidRPr="00324546">
        <w:lastRenderedPageBreak/>
        <w:t>Background</w:t>
      </w:r>
    </w:p>
    <w:p w14:paraId="5C5867A0" w14:textId="721DFE82" w:rsidR="00C70AE0" w:rsidRPr="00324546" w:rsidRDefault="00C70AE0" w:rsidP="008918B5">
      <w:r w:rsidRPr="00324546">
        <w:t>Resolu</w:t>
      </w:r>
      <w:r w:rsidR="00EB2560" w:rsidRPr="00324546">
        <w:t>tio</w:t>
      </w:r>
      <w:r w:rsidRPr="00324546">
        <w:t xml:space="preserve">n 25 </w:t>
      </w:r>
      <w:r w:rsidR="00FD7C1B" w:rsidRPr="00324546">
        <w:t>of the P</w:t>
      </w:r>
      <w:r w:rsidR="00787A16" w:rsidRPr="00324546">
        <w:t>l</w:t>
      </w:r>
      <w:r w:rsidR="00FD7C1B" w:rsidRPr="00324546">
        <w:t>enipotentiary Conference</w:t>
      </w:r>
      <w:r w:rsidR="00C6305A" w:rsidRPr="00324546">
        <w:t>,</w:t>
      </w:r>
      <w:r w:rsidR="00FD7C1B" w:rsidRPr="00324546">
        <w:t xml:space="preserve"> on </w:t>
      </w:r>
      <w:r w:rsidR="008A613B" w:rsidRPr="00324546">
        <w:t>strengthening the ITU regional presence</w:t>
      </w:r>
      <w:r w:rsidR="00320003" w:rsidRPr="00324546">
        <w:t>,</w:t>
      </w:r>
      <w:r w:rsidR="008A613B" w:rsidRPr="00324546">
        <w:t xml:space="preserve"> highlights </w:t>
      </w:r>
      <w:r w:rsidR="008F0C0C" w:rsidRPr="00324546">
        <w:t>"</w:t>
      </w:r>
      <w:r w:rsidR="008A613B" w:rsidRPr="00324546">
        <w:t>the importance of collaboration between the Radiocommunication Bureau (BR), the Telecommunication Standardization Bureau (TSB), the Telecommunication Development Bureau (BDT) and the General Secretariat in order to promote and improve the work of the regional</w:t>
      </w:r>
      <w:r w:rsidR="00320003" w:rsidRPr="00324546">
        <w:t xml:space="preserve"> and area</w:t>
      </w:r>
      <w:r w:rsidR="008A613B" w:rsidRPr="00324546">
        <w:t xml:space="preserve"> offices</w:t>
      </w:r>
      <w:r w:rsidR="008F0C0C" w:rsidRPr="00324546">
        <w:t>"</w:t>
      </w:r>
      <w:r w:rsidRPr="00324546">
        <w:t xml:space="preserve"> </w:t>
      </w:r>
    </w:p>
    <w:p w14:paraId="468C572A" w14:textId="3218E6BE" w:rsidR="00C70AE0" w:rsidRPr="00324546" w:rsidRDefault="00AC2EDC" w:rsidP="008F0C0C">
      <w:r w:rsidRPr="00324546">
        <w:t xml:space="preserve">The resolution also </w:t>
      </w:r>
      <w:bookmarkStart w:id="11" w:name="_Hlk167618222"/>
      <w:r w:rsidRPr="00324546">
        <w:t>instructs the Director of the Telecommunication Development Bureau</w:t>
      </w:r>
      <w:r w:rsidR="00320003" w:rsidRPr="00324546">
        <w:t xml:space="preserve"> </w:t>
      </w:r>
      <w:bookmarkEnd w:id="11"/>
      <w:r w:rsidR="008F0C0C" w:rsidRPr="00324546">
        <w:t>"</w:t>
      </w:r>
      <w:r w:rsidR="008A613B" w:rsidRPr="00324546">
        <w:t xml:space="preserve">to strive to have in the regional </w:t>
      </w:r>
      <w:r w:rsidR="00320003" w:rsidRPr="00324546">
        <w:t xml:space="preserve">and area </w:t>
      </w:r>
      <w:r w:rsidR="008A613B" w:rsidRPr="00324546">
        <w:t>offices staff who have expertise in each of the three Sectors</w:t>
      </w:r>
      <w:r w:rsidR="00320003" w:rsidRPr="00324546">
        <w:t xml:space="preserve"> </w:t>
      </w:r>
      <w:r w:rsidR="008F0C0C" w:rsidRPr="00324546">
        <w:t>"</w:t>
      </w:r>
      <w:r w:rsidR="00320003" w:rsidRPr="00324546">
        <w:t xml:space="preserve">and, </w:t>
      </w:r>
      <w:r w:rsidR="008A613B" w:rsidRPr="00324546">
        <w:t xml:space="preserve">in close consultation with the Secretary-General and the Directors of </w:t>
      </w:r>
      <w:r w:rsidR="00320003" w:rsidRPr="00324546">
        <w:t xml:space="preserve">BR and TSB, </w:t>
      </w:r>
      <w:r w:rsidR="008A613B" w:rsidRPr="00324546">
        <w:t xml:space="preserve">to take the necessary measures </w:t>
      </w:r>
      <w:r w:rsidR="008F0C0C" w:rsidRPr="00324546">
        <w:t>"</w:t>
      </w:r>
      <w:r w:rsidR="00320003" w:rsidRPr="00324546">
        <w:t xml:space="preserve">to </w:t>
      </w:r>
      <w:r w:rsidR="008A613B" w:rsidRPr="00324546">
        <w:t>ensure that the activities of BR and TSB are effectively incorporated in the regional and area offices</w:t>
      </w:r>
      <w:r w:rsidR="008F0C0C" w:rsidRPr="00324546">
        <w:t>"</w:t>
      </w:r>
      <w:r w:rsidR="00C70AE0" w:rsidRPr="00324546">
        <w:t xml:space="preserve">, </w:t>
      </w:r>
      <w:r w:rsidR="008F0C0C" w:rsidRPr="00324546">
        <w:t>"</w:t>
      </w:r>
      <w:r w:rsidR="000B684E" w:rsidRPr="00324546">
        <w:t xml:space="preserve">to </w:t>
      </w:r>
      <w:r w:rsidR="00A0012C" w:rsidRPr="00324546">
        <w:t>strive to ensure that each region has at least one professional with relevant skills and knowledge to act as the focal point for each of the three Sectors, reporting to the regional director</w:t>
      </w:r>
      <w:r w:rsidR="008F0C0C" w:rsidRPr="00324546">
        <w:t>"</w:t>
      </w:r>
      <w:r w:rsidR="00C70AE0" w:rsidRPr="00324546">
        <w:t xml:space="preserve"> </w:t>
      </w:r>
      <w:r w:rsidR="000B684E" w:rsidRPr="00324546">
        <w:t xml:space="preserve">and </w:t>
      </w:r>
      <w:r w:rsidR="008F0C0C" w:rsidRPr="00324546">
        <w:t>"</w:t>
      </w:r>
      <w:r w:rsidR="00A0012C" w:rsidRPr="00324546">
        <w:t>to take the necessary measures to improve the exchange of information, in a timely manner, between headquarters and regional and area offices;</w:t>
      </w:r>
      <w:r w:rsidR="008F0C0C" w:rsidRPr="00324546">
        <w:t>"</w:t>
      </w:r>
      <w:r w:rsidR="00C70AE0" w:rsidRPr="00324546">
        <w:t xml:space="preserve">. </w:t>
      </w:r>
      <w:r w:rsidR="00692629" w:rsidRPr="00324546">
        <w:t xml:space="preserve">Lastly, the resolution resolves that </w:t>
      </w:r>
      <w:r w:rsidR="008F0C0C" w:rsidRPr="00324546">
        <w:t>"</w:t>
      </w:r>
      <w:r w:rsidR="00692629" w:rsidRPr="00324546">
        <w:t>the coordination functions and the balance between ITU headquarters and the regional and area offices should be facilitated and improved</w:t>
      </w:r>
      <w:r w:rsidR="008F0C0C" w:rsidRPr="00324546">
        <w:t>"</w:t>
      </w:r>
      <w:r w:rsidR="00C70AE0" w:rsidRPr="00324546">
        <w:t xml:space="preserve"> </w:t>
      </w:r>
      <w:r w:rsidR="00692629" w:rsidRPr="00324546">
        <w:t xml:space="preserve">and </w:t>
      </w:r>
      <w:r w:rsidR="008F0C0C" w:rsidRPr="00324546">
        <w:t>"</w:t>
      </w:r>
      <w:r w:rsidR="00692629" w:rsidRPr="00324546">
        <w:t>that</w:t>
      </w:r>
      <w:r w:rsidR="00B8261D" w:rsidRPr="00324546">
        <w:t xml:space="preserve">, for the effective </w:t>
      </w:r>
      <w:r w:rsidR="00A0012C" w:rsidRPr="00324546">
        <w:t>performance of their duties, regional and area offices must have sufficient human and financial resources, within the resources allocated by the financial plan</w:t>
      </w:r>
      <w:r w:rsidR="008F0C0C" w:rsidRPr="00324546">
        <w:t>"</w:t>
      </w:r>
      <w:r w:rsidR="00C70AE0" w:rsidRPr="00324546">
        <w:t>.</w:t>
      </w:r>
    </w:p>
    <w:p w14:paraId="10F8D1A2" w14:textId="1A18406D" w:rsidR="00C70AE0" w:rsidRPr="00324546" w:rsidRDefault="000C51FE" w:rsidP="008F0C0C">
      <w:r w:rsidRPr="00324546">
        <w:t xml:space="preserve">At </w:t>
      </w:r>
      <w:r w:rsidR="00E9440E" w:rsidRPr="00324546">
        <w:t xml:space="preserve">its </w:t>
      </w:r>
      <w:r w:rsidR="00C70AE0" w:rsidRPr="00324546">
        <w:t>2019</w:t>
      </w:r>
      <w:r w:rsidR="003C4856" w:rsidRPr="00324546">
        <w:t xml:space="preserve"> session</w:t>
      </w:r>
      <w:r w:rsidR="00C70AE0" w:rsidRPr="00324546">
        <w:t xml:space="preserve">, </w:t>
      </w:r>
      <w:r w:rsidR="003C4856" w:rsidRPr="00324546">
        <w:t xml:space="preserve">the Council </w:t>
      </w:r>
      <w:r w:rsidRPr="00324546">
        <w:t xml:space="preserve">adopted </w:t>
      </w:r>
      <w:r w:rsidR="003C4856" w:rsidRPr="00324546">
        <w:t xml:space="preserve">Decision </w:t>
      </w:r>
      <w:r w:rsidR="00C70AE0" w:rsidRPr="00324546">
        <w:t xml:space="preserve">616, </w:t>
      </w:r>
      <w:r w:rsidRPr="00324546">
        <w:t>which instructed the Secretary-</w:t>
      </w:r>
      <w:r w:rsidR="00C70AE0" w:rsidRPr="00324546">
        <w:t xml:space="preserve">General </w:t>
      </w:r>
      <w:r w:rsidR="00E74D1C" w:rsidRPr="00324546">
        <w:t>to conduct a review of the organization</w:t>
      </w:r>
      <w:r w:rsidR="008F0C0C" w:rsidRPr="00324546">
        <w:t>'</w:t>
      </w:r>
      <w:r w:rsidR="00E74D1C" w:rsidRPr="00324546">
        <w:t>s regional presence</w:t>
      </w:r>
      <w:r w:rsidR="00867462" w:rsidRPr="00324546">
        <w:t xml:space="preserve"> in a bid to improve</w:t>
      </w:r>
      <w:r w:rsidR="00E74D1C" w:rsidRPr="00324546">
        <w:t xml:space="preserve"> its efficiency and effectiveness</w:t>
      </w:r>
      <w:r w:rsidR="00C70AE0" w:rsidRPr="00324546">
        <w:t xml:space="preserve">. </w:t>
      </w:r>
      <w:r w:rsidR="00E74D1C" w:rsidRPr="00324546">
        <w:t>Th</w:t>
      </w:r>
      <w:r w:rsidRPr="00324546">
        <w:t>e</w:t>
      </w:r>
      <w:r w:rsidR="00E74D1C" w:rsidRPr="00324546">
        <w:t xml:space="preserve"> review was entrusted to the company </w:t>
      </w:r>
      <w:r w:rsidR="00C70AE0" w:rsidRPr="00324546">
        <w:t>Price</w:t>
      </w:r>
      <w:r w:rsidR="00EF7323" w:rsidRPr="00324546">
        <w:t>w</w:t>
      </w:r>
      <w:r w:rsidR="00C70AE0" w:rsidRPr="00324546">
        <w:t>aterhouseCoopers (</w:t>
      </w:r>
      <w:r w:rsidR="00C70AE0" w:rsidRPr="00324546">
        <w:rPr>
          <w:szCs w:val="24"/>
        </w:rPr>
        <w:t xml:space="preserve">PwC) </w:t>
      </w:r>
      <w:r w:rsidRPr="00324546">
        <w:t>and</w:t>
      </w:r>
      <w:r w:rsidR="00992C2D" w:rsidRPr="00324546">
        <w:t>,</w:t>
      </w:r>
      <w:r w:rsidRPr="00324546">
        <w:t xml:space="preserve"> </w:t>
      </w:r>
      <w:r w:rsidR="00992C2D" w:rsidRPr="00324546">
        <w:t xml:space="preserve">in November 2020, </w:t>
      </w:r>
      <w:r w:rsidRPr="00324546">
        <w:t xml:space="preserve">the Council took note of the review </w:t>
      </w:r>
      <w:r w:rsidR="00992C2D" w:rsidRPr="00324546">
        <w:t xml:space="preserve">contained in Document </w:t>
      </w:r>
      <w:hyperlink r:id="rId14" w:history="1">
        <w:proofErr w:type="spellStart"/>
        <w:r w:rsidR="00C70AE0" w:rsidRPr="00324546">
          <w:rPr>
            <w:color w:val="0000FF"/>
            <w:u w:val="single"/>
          </w:rPr>
          <w:t>C20</w:t>
        </w:r>
        <w:proofErr w:type="spellEnd"/>
        <w:r w:rsidR="00C70AE0" w:rsidRPr="00324546">
          <w:rPr>
            <w:color w:val="0000FF"/>
            <w:u w:val="single"/>
          </w:rPr>
          <w:t>/74</w:t>
        </w:r>
      </w:hyperlink>
      <w:r w:rsidR="00992C2D" w:rsidRPr="00324546">
        <w:t>, which called for</w:t>
      </w:r>
      <w:r w:rsidR="006C4420" w:rsidRPr="00324546">
        <w:t xml:space="preserve"> </w:t>
      </w:r>
      <w:r w:rsidR="00992C2D" w:rsidRPr="00324546">
        <w:t xml:space="preserve">consideration of </w:t>
      </w:r>
      <w:r w:rsidR="008F0C0C" w:rsidRPr="00324546">
        <w:t>"</w:t>
      </w:r>
      <w:r w:rsidR="00992C2D" w:rsidRPr="00324546">
        <w:t>the level of autonomy accorded to regional offices, and potential adjustments to improve efficiency and effectiveness</w:t>
      </w:r>
      <w:r w:rsidR="008F0C0C" w:rsidRPr="00324546">
        <w:t>"</w:t>
      </w:r>
      <w:r w:rsidR="00C70AE0" w:rsidRPr="00324546">
        <w:t xml:space="preserve">. </w:t>
      </w:r>
      <w:r w:rsidR="00992C2D" w:rsidRPr="00324546">
        <w:t xml:space="preserve">At the </w:t>
      </w:r>
      <w:r w:rsidR="00C70AE0" w:rsidRPr="00324546">
        <w:t xml:space="preserve">2023 </w:t>
      </w:r>
      <w:r w:rsidR="00992C2D" w:rsidRPr="00324546">
        <w:t>session of the Council</w:t>
      </w:r>
      <w:r w:rsidR="00C70AE0" w:rsidRPr="00324546">
        <w:t xml:space="preserve">, </w:t>
      </w:r>
      <w:r w:rsidR="00867462" w:rsidRPr="00324546">
        <w:t>information was provided on a workplan created by the secretariat for the implementation of the PwC recommendations within its remit</w:t>
      </w:r>
      <w:r w:rsidR="006C4420" w:rsidRPr="00324546">
        <w:t xml:space="preserve"> by </w:t>
      </w:r>
      <w:r w:rsidR="00867462" w:rsidRPr="00324546">
        <w:t xml:space="preserve">2023 </w:t>
      </w:r>
      <w:r w:rsidR="00C70AE0" w:rsidRPr="00324546">
        <w:t>(</w:t>
      </w:r>
      <w:proofErr w:type="spellStart"/>
      <w:r w:rsidR="00324546" w:rsidRPr="00324546">
        <w:fldChar w:fldCharType="begin"/>
      </w:r>
      <w:r w:rsidR="00324546" w:rsidRPr="00324546">
        <w:instrText>HYPERLINK "https://www.itu.int/md/S23-CL-C-0025/en"</w:instrText>
      </w:r>
      <w:r w:rsidR="00324546" w:rsidRPr="00324546">
        <w:fldChar w:fldCharType="separate"/>
      </w:r>
      <w:r w:rsidR="00C70AE0" w:rsidRPr="00324546">
        <w:rPr>
          <w:color w:val="0000FF"/>
          <w:u w:val="single"/>
        </w:rPr>
        <w:t>C23</w:t>
      </w:r>
      <w:proofErr w:type="spellEnd"/>
      <w:r w:rsidR="00C70AE0" w:rsidRPr="00324546">
        <w:rPr>
          <w:color w:val="0000FF"/>
          <w:u w:val="single"/>
        </w:rPr>
        <w:t>/25</w:t>
      </w:r>
      <w:r w:rsidR="00324546" w:rsidRPr="00324546">
        <w:rPr>
          <w:color w:val="0000FF"/>
          <w:u w:val="single"/>
        </w:rPr>
        <w:fldChar w:fldCharType="end"/>
      </w:r>
      <w:r w:rsidR="00C70AE0" w:rsidRPr="00324546">
        <w:t xml:space="preserve">). </w:t>
      </w:r>
      <w:r w:rsidR="00E94D4E" w:rsidRPr="00324546">
        <w:t>To that end a d</w:t>
      </w:r>
      <w:r w:rsidR="00C70AE0" w:rsidRPr="00324546">
        <w:t xml:space="preserve">ashboard </w:t>
      </w:r>
      <w:r w:rsidR="008F4C54" w:rsidRPr="00324546">
        <w:t xml:space="preserve">was made available </w:t>
      </w:r>
      <w:r w:rsidR="00E94D4E" w:rsidRPr="00324546">
        <w:t>so that the membership could track the status of the work</w:t>
      </w:r>
      <w:r w:rsidR="00C70AE0" w:rsidRPr="00324546">
        <w:t xml:space="preserve">plan: </w:t>
      </w:r>
      <w:bookmarkStart w:id="12" w:name="_Hlk167370261"/>
      <w:r w:rsidR="008C0802" w:rsidRPr="00324546">
        <w:fldChar w:fldCharType="begin"/>
      </w:r>
      <w:r w:rsidR="008C0802" w:rsidRPr="00324546">
        <w:instrText>HYPERLINK "https://www.itu.int/en/council/ties/Pages/regional-presence-dashboard.aspx"</w:instrText>
      </w:r>
      <w:r w:rsidR="008C0802" w:rsidRPr="00324546">
        <w:fldChar w:fldCharType="separate"/>
      </w:r>
      <w:r w:rsidR="00C70AE0" w:rsidRPr="00324546">
        <w:rPr>
          <w:rFonts w:eastAsia="Calibri" w:cs="Calibri"/>
          <w:color w:val="0000FF"/>
          <w:szCs w:val="24"/>
          <w:u w:val="single"/>
        </w:rPr>
        <w:t>https://www.itu.int/en/council/ties/Pages/regional-presence-dashboard.aspx</w:t>
      </w:r>
      <w:r w:rsidR="008C0802" w:rsidRPr="00324546">
        <w:rPr>
          <w:rFonts w:eastAsia="Calibri" w:cs="Calibri"/>
          <w:color w:val="0000FF"/>
          <w:szCs w:val="24"/>
          <w:u w:val="single"/>
        </w:rPr>
        <w:fldChar w:fldCharType="end"/>
      </w:r>
      <w:r w:rsidR="00C70AE0" w:rsidRPr="00324546">
        <w:rPr>
          <w:rFonts w:eastAsia="Calibri" w:cs="Calibri"/>
          <w:color w:val="0000FF"/>
          <w:szCs w:val="24"/>
        </w:rPr>
        <w:t>.</w:t>
      </w:r>
      <w:bookmarkEnd w:id="12"/>
      <w:r w:rsidR="00F03510" w:rsidRPr="00324546">
        <w:t xml:space="preserve">The dashboard </w:t>
      </w:r>
      <w:r w:rsidR="006C4420" w:rsidRPr="00324546">
        <w:t xml:space="preserve">indicates it was </w:t>
      </w:r>
      <w:r w:rsidR="00F03510" w:rsidRPr="00324546">
        <w:t>most recent</w:t>
      </w:r>
      <w:r w:rsidR="006C4420" w:rsidRPr="00324546">
        <w:t>ly</w:t>
      </w:r>
      <w:r w:rsidR="00F03510" w:rsidRPr="00324546">
        <w:t xml:space="preserve"> update</w:t>
      </w:r>
      <w:r w:rsidR="006C4420" w:rsidRPr="00324546">
        <w:t>d</w:t>
      </w:r>
      <w:r w:rsidR="00F03510" w:rsidRPr="00324546">
        <w:t xml:space="preserve"> in May </w:t>
      </w:r>
      <w:r w:rsidR="00C70AE0" w:rsidRPr="00324546">
        <w:t xml:space="preserve">2023 </w:t>
      </w:r>
      <w:r w:rsidR="00D5040C" w:rsidRPr="00324546">
        <w:t xml:space="preserve">and that </w:t>
      </w:r>
      <w:r w:rsidR="008F4C54" w:rsidRPr="00324546">
        <w:t xml:space="preserve">action </w:t>
      </w:r>
      <w:r w:rsidR="00EF7323" w:rsidRPr="00324546">
        <w:t xml:space="preserve">is </w:t>
      </w:r>
      <w:r w:rsidR="00D5040C" w:rsidRPr="00324546">
        <w:t xml:space="preserve">being taken towards </w:t>
      </w:r>
      <w:r w:rsidR="004D15AA" w:rsidRPr="00324546">
        <w:t xml:space="preserve">enhancing </w:t>
      </w:r>
      <w:r w:rsidR="00D5040C" w:rsidRPr="00324546">
        <w:t xml:space="preserve">the </w:t>
      </w:r>
      <w:r w:rsidR="00C70AE0" w:rsidRPr="00324546">
        <w:t>autonom</w:t>
      </w:r>
      <w:r w:rsidR="00D5040C" w:rsidRPr="00324546">
        <w:t xml:space="preserve">y of the regional presence in </w:t>
      </w:r>
      <w:r w:rsidR="00EE1175" w:rsidRPr="00324546">
        <w:t xml:space="preserve">relation to </w:t>
      </w:r>
      <w:r w:rsidR="00D5040C" w:rsidRPr="00324546">
        <w:t xml:space="preserve">the ITU accountability framework. </w:t>
      </w:r>
    </w:p>
    <w:p w14:paraId="348EF27E" w14:textId="32957206" w:rsidR="00C70AE0" w:rsidRPr="00324546" w:rsidRDefault="006F1902" w:rsidP="008F0C0C">
      <w:r w:rsidRPr="00324546">
        <w:t>At the 17</w:t>
      </w:r>
      <w:r w:rsidRPr="00324546">
        <w:rPr>
          <w:vertAlign w:val="superscript"/>
        </w:rPr>
        <w:t>th</w:t>
      </w:r>
      <w:r w:rsidRPr="00324546">
        <w:t xml:space="preserve"> meeting of the Council Working Group on Financial and Human Resources </w:t>
      </w:r>
      <w:r w:rsidR="00C70AE0" w:rsidRPr="00324546">
        <w:t>(</w:t>
      </w:r>
      <w:r w:rsidRPr="00324546">
        <w:t>CWG-FHR</w:t>
      </w:r>
      <w:r w:rsidR="00C70AE0" w:rsidRPr="00324546">
        <w:t xml:space="preserve">), </w:t>
      </w:r>
      <w:r w:rsidRPr="00324546">
        <w:t xml:space="preserve">held in February </w:t>
      </w:r>
      <w:r w:rsidR="00C70AE0" w:rsidRPr="00324546">
        <w:t xml:space="preserve">2024, </w:t>
      </w:r>
      <w:r w:rsidR="00C87336" w:rsidRPr="00324546">
        <w:t xml:space="preserve">the ITU secretariat </w:t>
      </w:r>
      <w:r w:rsidR="00C70AE0" w:rsidRPr="00324546">
        <w:t>present</w:t>
      </w:r>
      <w:r w:rsidR="00C87336" w:rsidRPr="00324546">
        <w:t>ed</w:t>
      </w:r>
      <w:r w:rsidR="00C70AE0" w:rsidRPr="00324546">
        <w:t xml:space="preserve"> a contribu</w:t>
      </w:r>
      <w:r w:rsidR="00C87336" w:rsidRPr="00324546">
        <w:t>tion</w:t>
      </w:r>
      <w:r w:rsidR="00C70AE0" w:rsidRPr="00324546">
        <w:t xml:space="preserve"> </w:t>
      </w:r>
      <w:r w:rsidR="00C70AE0" w:rsidRPr="00324546">
        <w:rPr>
          <w:color w:val="4F81BD" w:themeColor="accent1"/>
        </w:rPr>
        <w:t>(</w:t>
      </w:r>
      <w:hyperlink r:id="rId15" w:history="1">
        <w:r w:rsidR="00C70AE0" w:rsidRPr="00324546">
          <w:rPr>
            <w:color w:val="0000FF"/>
            <w:u w:val="single"/>
          </w:rPr>
          <w:t>CWG-FHR-16/10</w:t>
        </w:r>
      </w:hyperlink>
      <w:r w:rsidR="00C70AE0" w:rsidRPr="00324546">
        <w:rPr>
          <w:color w:val="4F81BD" w:themeColor="accent1"/>
        </w:rPr>
        <w:t>)</w:t>
      </w:r>
      <w:r w:rsidR="00C70AE0" w:rsidRPr="00324546">
        <w:t xml:space="preserve"> </w:t>
      </w:r>
      <w:r w:rsidR="00C87336" w:rsidRPr="00324546">
        <w:t>setting out criteria to guide deliberations on establishing future ITU regional and area offices</w:t>
      </w:r>
      <w:r w:rsidR="00C70AE0" w:rsidRPr="00324546">
        <w:t>.</w:t>
      </w:r>
      <w:r w:rsidR="00EF7323" w:rsidRPr="00324546">
        <w:t xml:space="preserve"> </w:t>
      </w:r>
      <w:r w:rsidR="00BE43DB" w:rsidRPr="00324546">
        <w:t>In this connection</w:t>
      </w:r>
      <w:r w:rsidR="00C70AE0" w:rsidRPr="00324546">
        <w:t xml:space="preserve">, </w:t>
      </w:r>
      <w:r w:rsidR="00BE43DB" w:rsidRPr="00324546">
        <w:t>it was decided to send a liaison statement to the Telecommunication Development Advisory Group (</w:t>
      </w:r>
      <w:proofErr w:type="spellStart"/>
      <w:r w:rsidR="00BE43DB" w:rsidRPr="00324546">
        <w:t>TDAG</w:t>
      </w:r>
      <w:proofErr w:type="spellEnd"/>
      <w:r w:rsidR="00BE43DB" w:rsidRPr="00324546">
        <w:t>)</w:t>
      </w:r>
      <w:r w:rsidR="00C70AE0" w:rsidRPr="00324546">
        <w:t xml:space="preserve"> </w:t>
      </w:r>
      <w:r w:rsidR="00E9440E" w:rsidRPr="00324546">
        <w:t xml:space="preserve">and </w:t>
      </w:r>
      <w:r w:rsidR="00BE43DB" w:rsidRPr="00324546">
        <w:t xml:space="preserve">the Inter-Sector Coordination Group </w:t>
      </w:r>
      <w:r w:rsidR="00C70AE0" w:rsidRPr="00324546">
        <w:t>(</w:t>
      </w:r>
      <w:proofErr w:type="spellStart"/>
      <w:r w:rsidR="00C70AE0" w:rsidRPr="00324546">
        <w:t>ISCG</w:t>
      </w:r>
      <w:proofErr w:type="spellEnd"/>
      <w:r w:rsidR="00C70AE0" w:rsidRPr="00324546">
        <w:t xml:space="preserve">) </w:t>
      </w:r>
      <w:r w:rsidR="00BE43DB" w:rsidRPr="00324546">
        <w:t xml:space="preserve">for their review and comments </w:t>
      </w:r>
      <w:r w:rsidR="00E9440E" w:rsidRPr="00324546">
        <w:t>to</w:t>
      </w:r>
      <w:r w:rsidR="00BE43DB" w:rsidRPr="00324546">
        <w:t xml:space="preserve"> the </w:t>
      </w:r>
      <w:r w:rsidR="00C70AE0" w:rsidRPr="00324546">
        <w:t>2024</w:t>
      </w:r>
      <w:r w:rsidR="00BE43DB" w:rsidRPr="00324546">
        <w:t xml:space="preserve"> session of the Council</w:t>
      </w:r>
      <w:r w:rsidR="00C70AE0" w:rsidRPr="00324546">
        <w:t>.</w:t>
      </w:r>
    </w:p>
    <w:p w14:paraId="6AF99FEA" w14:textId="3446AB6D" w:rsidR="00C70AE0" w:rsidRPr="00324546" w:rsidRDefault="006E5400" w:rsidP="008F0C0C">
      <w:r w:rsidRPr="00324546">
        <w:t>Furthermore</w:t>
      </w:r>
      <w:r w:rsidR="00C70AE0" w:rsidRPr="00324546">
        <w:t xml:space="preserve">, </w:t>
      </w:r>
      <w:r w:rsidR="004A3C71" w:rsidRPr="00324546">
        <w:t xml:space="preserve">it is worth noting that the </w:t>
      </w:r>
      <w:r w:rsidR="00C70AE0" w:rsidRPr="00324546">
        <w:t>informa</w:t>
      </w:r>
      <w:r w:rsidR="00E9440E" w:rsidRPr="00324546">
        <w:t>t</w:t>
      </w:r>
      <w:r w:rsidR="00C70AE0" w:rsidRPr="00324546">
        <w:t>i</w:t>
      </w:r>
      <w:r w:rsidR="00E9440E" w:rsidRPr="00324546">
        <w:t>o</w:t>
      </w:r>
      <w:r w:rsidR="00C70AE0" w:rsidRPr="00324546">
        <w:t xml:space="preserve">n </w:t>
      </w:r>
      <w:r w:rsidR="00E9440E" w:rsidRPr="00324546">
        <w:t xml:space="preserve">provided by the </w:t>
      </w:r>
      <w:r w:rsidR="00C70AE0" w:rsidRPr="00324546">
        <w:t xml:space="preserve">General </w:t>
      </w:r>
      <w:r w:rsidR="00EF7323" w:rsidRPr="00324546">
        <w:t xml:space="preserve">Secretariat </w:t>
      </w:r>
      <w:r w:rsidR="00E9440E" w:rsidRPr="00324546">
        <w:t>in D</w:t>
      </w:r>
      <w:r w:rsidR="00C70AE0" w:rsidRPr="00324546">
        <w:t xml:space="preserve">ocument </w:t>
      </w:r>
      <w:hyperlink r:id="rId16" w:history="1">
        <w:proofErr w:type="spellStart"/>
        <w:r w:rsidR="00C70AE0" w:rsidRPr="00324546">
          <w:rPr>
            <w:color w:val="0000FF"/>
            <w:u w:val="single"/>
          </w:rPr>
          <w:t>C24</w:t>
        </w:r>
        <w:proofErr w:type="spellEnd"/>
        <w:r w:rsidR="00C70AE0" w:rsidRPr="00324546">
          <w:rPr>
            <w:color w:val="0000FF"/>
            <w:u w:val="single"/>
          </w:rPr>
          <w:t>/25</w:t>
        </w:r>
      </w:hyperlink>
      <w:r w:rsidR="004A3C71" w:rsidRPr="00324546">
        <w:t xml:space="preserve"> shows a disparity in the </w:t>
      </w:r>
      <w:r w:rsidR="00C70AE0" w:rsidRPr="00324546">
        <w:t>implementa</w:t>
      </w:r>
      <w:r w:rsidR="004A3C71" w:rsidRPr="00324546">
        <w:t>tio</w:t>
      </w:r>
      <w:r w:rsidR="00C70AE0" w:rsidRPr="00324546">
        <w:t xml:space="preserve">n </w:t>
      </w:r>
      <w:r w:rsidR="004A3C71" w:rsidRPr="00324546">
        <w:t xml:space="preserve">of </w:t>
      </w:r>
      <w:r w:rsidR="004A2013" w:rsidRPr="00324546">
        <w:t xml:space="preserve">the </w:t>
      </w:r>
      <w:r w:rsidR="004A3C71" w:rsidRPr="00324546">
        <w:t>activities</w:t>
      </w:r>
      <w:r w:rsidR="004A2013" w:rsidRPr="00324546">
        <w:t xml:space="preserve"> of </w:t>
      </w:r>
      <w:r w:rsidR="004A3C71" w:rsidRPr="00324546">
        <w:t>the different regional offices</w:t>
      </w:r>
      <w:r w:rsidR="00C70AE0" w:rsidRPr="00324546">
        <w:t>;</w:t>
      </w:r>
      <w:r w:rsidR="004A3C71" w:rsidRPr="00324546">
        <w:t xml:space="preserve"> for example</w:t>
      </w:r>
      <w:r w:rsidR="00C70AE0" w:rsidRPr="00324546">
        <w:t xml:space="preserve">, </w:t>
      </w:r>
      <w:r w:rsidR="004A2013" w:rsidRPr="00324546">
        <w:t>upon</w:t>
      </w:r>
      <w:r w:rsidR="00F03391" w:rsidRPr="00324546">
        <w:t xml:space="preserve"> </w:t>
      </w:r>
      <w:r w:rsidR="004A3C71" w:rsidRPr="00324546">
        <w:t>comparison</w:t>
      </w:r>
      <w:r w:rsidR="004A2013" w:rsidRPr="00324546">
        <w:t xml:space="preserve">, </w:t>
      </w:r>
      <w:r w:rsidR="00D17CB8" w:rsidRPr="00324546">
        <w:t xml:space="preserve">it </w:t>
      </w:r>
      <w:r w:rsidR="00F03391" w:rsidRPr="00324546">
        <w:t xml:space="preserve">can be seen </w:t>
      </w:r>
      <w:r w:rsidR="00D17CB8" w:rsidRPr="00324546">
        <w:t xml:space="preserve">that the </w:t>
      </w:r>
      <w:r w:rsidR="00E9440E" w:rsidRPr="00324546">
        <w:t>ITU Regional Office for Asia and the Pacific (RO-ASP) carried out more activities than other regional offices</w:t>
      </w:r>
      <w:r w:rsidR="00C70AE0" w:rsidRPr="00324546">
        <w:t xml:space="preserve">. </w:t>
      </w:r>
    </w:p>
    <w:p w14:paraId="0578D38A" w14:textId="45CF86B4" w:rsidR="00C70AE0" w:rsidRPr="00324546" w:rsidRDefault="00636B32" w:rsidP="008F0C0C">
      <w:pPr>
        <w:keepLines/>
      </w:pPr>
      <w:r w:rsidRPr="00324546">
        <w:lastRenderedPageBreak/>
        <w:t>Moreover</w:t>
      </w:r>
      <w:r w:rsidR="00C70AE0" w:rsidRPr="00324546">
        <w:t xml:space="preserve">, </w:t>
      </w:r>
      <w:r w:rsidR="00F03391" w:rsidRPr="00324546">
        <w:t xml:space="preserve">at the </w:t>
      </w:r>
      <w:proofErr w:type="spellStart"/>
      <w:r w:rsidR="00F03391" w:rsidRPr="00324546">
        <w:t>TDAG</w:t>
      </w:r>
      <w:proofErr w:type="spellEnd"/>
      <w:r w:rsidR="00F03391" w:rsidRPr="00324546">
        <w:t xml:space="preserve"> meeting </w:t>
      </w:r>
      <w:r w:rsidR="006E5400" w:rsidRPr="00324546">
        <w:t xml:space="preserve">to </w:t>
      </w:r>
      <w:r w:rsidR="00F03391" w:rsidRPr="00324546">
        <w:t xml:space="preserve">be held in </w:t>
      </w:r>
      <w:r w:rsidRPr="00324546">
        <w:t xml:space="preserve">May </w:t>
      </w:r>
      <w:r w:rsidR="00C70AE0" w:rsidRPr="00324546">
        <w:t xml:space="preserve">2024, </w:t>
      </w:r>
      <w:r w:rsidRPr="00324546">
        <w:t>D</w:t>
      </w:r>
      <w:r w:rsidR="00C70AE0" w:rsidRPr="00324546">
        <w:t xml:space="preserve">ocument </w:t>
      </w:r>
      <w:hyperlink r:id="rId17" w:history="1">
        <w:proofErr w:type="spellStart"/>
        <w:r w:rsidR="00C70AE0" w:rsidRPr="00324546">
          <w:rPr>
            <w:color w:val="0000FF"/>
            <w:u w:val="single"/>
          </w:rPr>
          <w:t>TDAG</w:t>
        </w:r>
        <w:proofErr w:type="spellEnd"/>
        <w:r w:rsidR="00C70AE0" w:rsidRPr="00324546">
          <w:rPr>
            <w:color w:val="0000FF"/>
            <w:u w:val="single"/>
          </w:rPr>
          <w:t>-24/12</w:t>
        </w:r>
      </w:hyperlink>
      <w:r w:rsidR="00C70AE0" w:rsidRPr="00324546">
        <w:t xml:space="preserve"> </w:t>
      </w:r>
      <w:r w:rsidRPr="00324546">
        <w:t>will be presented</w:t>
      </w:r>
      <w:r w:rsidR="0053195B" w:rsidRPr="00324546">
        <w:t>,</w:t>
      </w:r>
      <w:r w:rsidRPr="00324546">
        <w:t xml:space="preserve"> </w:t>
      </w:r>
      <w:r w:rsidR="0053195B" w:rsidRPr="00324546">
        <w:t xml:space="preserve">which </w:t>
      </w:r>
      <w:r w:rsidRPr="00324546">
        <w:t xml:space="preserve">describes the process undertaken by </w:t>
      </w:r>
      <w:r w:rsidR="00C70AE0" w:rsidRPr="00324546">
        <w:t xml:space="preserve">BDT </w:t>
      </w:r>
      <w:r w:rsidR="00CF3CDD" w:rsidRPr="00324546">
        <w:t xml:space="preserve">in planning the activities currently deployed under the 2024 ITU-D operational plan </w:t>
      </w:r>
      <w:r w:rsidR="00E96A61" w:rsidRPr="00324546">
        <w:t>(OP-24)</w:t>
      </w:r>
      <w:r w:rsidR="004A2013" w:rsidRPr="00324546">
        <w:t>,</w:t>
      </w:r>
      <w:r w:rsidR="00E96A61" w:rsidRPr="00324546">
        <w:t xml:space="preserve"> </w:t>
      </w:r>
      <w:r w:rsidR="0053195B" w:rsidRPr="00324546">
        <w:t xml:space="preserve">and mentions </w:t>
      </w:r>
      <w:r w:rsidR="00E96A61" w:rsidRPr="00324546">
        <w:t xml:space="preserve">that the allocation of funds for each of the </w:t>
      </w:r>
      <w:r w:rsidR="00CF3CDD" w:rsidRPr="00324546">
        <w:t>r</w:t>
      </w:r>
      <w:r w:rsidR="00C70AE0" w:rsidRPr="00324546">
        <w:t xml:space="preserve">egional </w:t>
      </w:r>
      <w:r w:rsidR="00CF3CDD" w:rsidRPr="00324546">
        <w:t xml:space="preserve">offices </w:t>
      </w:r>
      <w:r w:rsidR="00E96A61" w:rsidRPr="00324546">
        <w:t xml:space="preserve">varies </w:t>
      </w:r>
      <w:r w:rsidR="006E5400" w:rsidRPr="00324546">
        <w:t xml:space="preserve">from </w:t>
      </w:r>
      <w:r w:rsidR="00C70AE0" w:rsidRPr="00324546">
        <w:t>7</w:t>
      </w:r>
      <w:r w:rsidR="00CF3CDD" w:rsidRPr="00324546">
        <w:t xml:space="preserve"> </w:t>
      </w:r>
      <w:r w:rsidR="008F0C0C" w:rsidRPr="00324546">
        <w:t>to</w:t>
      </w:r>
      <w:r w:rsidR="006E5400" w:rsidRPr="00324546">
        <w:t xml:space="preserve"> </w:t>
      </w:r>
      <w:r w:rsidR="00C70AE0" w:rsidRPr="00324546">
        <w:t>8</w:t>
      </w:r>
      <w:r w:rsidR="00CF3CDD" w:rsidRPr="00324546">
        <w:t xml:space="preserve"> per cen</w:t>
      </w:r>
      <w:r w:rsidR="00EE1175" w:rsidRPr="00324546">
        <w:t>t</w:t>
      </w:r>
      <w:r w:rsidR="00E96A61" w:rsidRPr="00324546">
        <w:t>, while more than half of the OP-24 budget (54%) has been directed towards outputs with a global focus.</w:t>
      </w:r>
    </w:p>
    <w:p w14:paraId="07580E9B" w14:textId="3FE054BD" w:rsidR="00C70AE0" w:rsidRPr="00324546" w:rsidRDefault="00C70AE0" w:rsidP="008F0C0C">
      <w:pPr>
        <w:pStyle w:val="Headingb"/>
      </w:pPr>
      <w:r w:rsidRPr="00324546">
        <w:t>Prop</w:t>
      </w:r>
      <w:r w:rsidR="003C4856" w:rsidRPr="00324546">
        <w:t>osal</w:t>
      </w:r>
    </w:p>
    <w:p w14:paraId="58350FFF" w14:textId="3DCEDC2D" w:rsidR="00C70AE0" w:rsidRPr="00324546" w:rsidRDefault="00E9440E" w:rsidP="00E61C17">
      <w:r w:rsidRPr="00324546">
        <w:t>The Administration of Mexico notes with concern the</w:t>
      </w:r>
      <w:r w:rsidR="00C70AE0" w:rsidRPr="00324546">
        <w:t xml:space="preserve"> informa</w:t>
      </w:r>
      <w:r w:rsidRPr="00324546">
        <w:t>tio</w:t>
      </w:r>
      <w:r w:rsidR="00C70AE0" w:rsidRPr="00324546">
        <w:t>n cont</w:t>
      </w:r>
      <w:r w:rsidRPr="00324546">
        <w:t>ained</w:t>
      </w:r>
      <w:r w:rsidR="00C70AE0" w:rsidRPr="00324546">
        <w:t xml:space="preserve"> </w:t>
      </w:r>
      <w:r w:rsidRPr="00324546">
        <w:t>in D</w:t>
      </w:r>
      <w:r w:rsidR="00C70AE0" w:rsidRPr="00324546">
        <w:t xml:space="preserve">ocument </w:t>
      </w:r>
      <w:hyperlink r:id="rId18" w:history="1">
        <w:proofErr w:type="spellStart"/>
        <w:r w:rsidR="00C70AE0" w:rsidRPr="00324546">
          <w:rPr>
            <w:color w:val="0000FF"/>
            <w:u w:val="single"/>
          </w:rPr>
          <w:t>TDAG</w:t>
        </w:r>
        <w:proofErr w:type="spellEnd"/>
        <w:r w:rsidR="00C70AE0" w:rsidRPr="00324546">
          <w:rPr>
            <w:color w:val="0000FF"/>
            <w:u w:val="single"/>
          </w:rPr>
          <w:t>-24/12</w:t>
        </w:r>
      </w:hyperlink>
      <w:r w:rsidR="00C70AE0" w:rsidRPr="00324546">
        <w:t xml:space="preserve"> </w:t>
      </w:r>
      <w:r w:rsidR="0042589D" w:rsidRPr="00324546">
        <w:t>showing the allocation of funds by beneficiary regi</w:t>
      </w:r>
      <w:r w:rsidR="00252C29" w:rsidRPr="00324546">
        <w:t>o</w:t>
      </w:r>
      <w:r w:rsidR="0042589D" w:rsidRPr="00324546">
        <w:t xml:space="preserve">n </w:t>
      </w:r>
      <w:r w:rsidR="006E5400" w:rsidRPr="00324546">
        <w:t xml:space="preserve">as </w:t>
      </w:r>
      <w:r w:rsidR="0042589D" w:rsidRPr="00324546">
        <w:t xml:space="preserve">mentioned above. The </w:t>
      </w:r>
      <w:r w:rsidR="00252C29" w:rsidRPr="00324546">
        <w:t>a</w:t>
      </w:r>
      <w:r w:rsidR="0042589D" w:rsidRPr="00324546">
        <w:t xml:space="preserve">dministration </w:t>
      </w:r>
      <w:r w:rsidR="00C70AE0" w:rsidRPr="00324546">
        <w:t>consider</w:t>
      </w:r>
      <w:r w:rsidR="0042589D" w:rsidRPr="00324546">
        <w:t xml:space="preserve">s it </w:t>
      </w:r>
      <w:r w:rsidR="00C70AE0" w:rsidRPr="00324546">
        <w:t>neces</w:t>
      </w:r>
      <w:r w:rsidR="0042589D" w:rsidRPr="00324546">
        <w:t>sary: to strengthen the regional offices</w:t>
      </w:r>
      <w:r w:rsidR="00E61C17" w:rsidRPr="00324546">
        <w:t>,</w:t>
      </w:r>
      <w:r w:rsidR="0042589D" w:rsidRPr="00324546">
        <w:t xml:space="preserve"> bearing in mind the </w:t>
      </w:r>
      <w:r w:rsidR="006E5400" w:rsidRPr="00324546">
        <w:t>regions</w:t>
      </w:r>
      <w:r w:rsidR="008F0C0C" w:rsidRPr="00324546">
        <w:t>'</w:t>
      </w:r>
      <w:r w:rsidR="006E5400" w:rsidRPr="00324546">
        <w:t xml:space="preserve"> </w:t>
      </w:r>
      <w:r w:rsidR="0042589D" w:rsidRPr="00324546">
        <w:t>particular priorities and needs in order to address them</w:t>
      </w:r>
      <w:r w:rsidR="00C70AE0" w:rsidRPr="00324546">
        <w:t>;</w:t>
      </w:r>
      <w:r w:rsidR="0042589D" w:rsidRPr="00324546">
        <w:t xml:space="preserve"> to encourage the participation of </w:t>
      </w:r>
      <w:r w:rsidR="001C1CBD" w:rsidRPr="00324546">
        <w:t xml:space="preserve">the entire membership </w:t>
      </w:r>
      <w:r w:rsidR="0042589D" w:rsidRPr="00324546">
        <w:t>in the work of the Union</w:t>
      </w:r>
      <w:r w:rsidR="00C70AE0" w:rsidRPr="00324546">
        <w:t>;</w:t>
      </w:r>
      <w:r w:rsidR="00E61C17" w:rsidRPr="00324546">
        <w:t xml:space="preserve"> </w:t>
      </w:r>
      <w:r w:rsidR="00252C29" w:rsidRPr="00324546">
        <w:t>a</w:t>
      </w:r>
      <w:r w:rsidR="00A62E35" w:rsidRPr="00324546">
        <w:t xml:space="preserve">nd to ensure greater dissemination by the </w:t>
      </w:r>
      <w:r w:rsidR="00252C29" w:rsidRPr="00324546">
        <w:t>regional</w:t>
      </w:r>
      <w:r w:rsidR="00A62E35" w:rsidRPr="00324546">
        <w:t xml:space="preserve"> offices of the results of the activities of the three Sectors of the Union. </w:t>
      </w:r>
      <w:r w:rsidR="00252C29" w:rsidRPr="00324546">
        <w:t>For this reason,</w:t>
      </w:r>
      <w:r w:rsidR="00A62E35" w:rsidRPr="00324546">
        <w:t xml:space="preserve"> the </w:t>
      </w:r>
      <w:r w:rsidR="00252C29" w:rsidRPr="00324546">
        <w:t>r</w:t>
      </w:r>
      <w:r w:rsidR="00A62E35" w:rsidRPr="00324546">
        <w:t xml:space="preserve">egional and </w:t>
      </w:r>
      <w:r w:rsidR="00252C29" w:rsidRPr="00324546">
        <w:t>area o</w:t>
      </w:r>
      <w:r w:rsidR="00A62E35" w:rsidRPr="00324546">
        <w:t xml:space="preserve">ffices </w:t>
      </w:r>
      <w:r w:rsidR="00252C29" w:rsidRPr="00324546">
        <w:t xml:space="preserve">should be provided </w:t>
      </w:r>
      <w:r w:rsidR="00A62E35" w:rsidRPr="00324546">
        <w:t>with sufficient human and financial resources to achieve their objectives.</w:t>
      </w:r>
    </w:p>
    <w:p w14:paraId="06B3929D" w14:textId="69CA701F" w:rsidR="00C70AE0" w:rsidRPr="00324546" w:rsidRDefault="003219C4" w:rsidP="00E61C17">
      <w:r w:rsidRPr="00324546">
        <w:t>In addition</w:t>
      </w:r>
      <w:r w:rsidR="005B155E" w:rsidRPr="00324546">
        <w:t xml:space="preserve">, the Mexican Administration </w:t>
      </w:r>
      <w:r w:rsidR="00595E05" w:rsidRPr="00324546">
        <w:t>believes it is</w:t>
      </w:r>
      <w:r w:rsidR="005B155E" w:rsidRPr="00324546">
        <w:t xml:space="preserve"> important that the regional offices have </w:t>
      </w:r>
      <w:r w:rsidR="00595E05" w:rsidRPr="00324546">
        <w:t xml:space="preserve">staff </w:t>
      </w:r>
      <w:r w:rsidR="005B155E" w:rsidRPr="00324546">
        <w:t>specialized in the three Sectors of the Union and that information be provided on the human resources available in each regional office</w:t>
      </w:r>
      <w:r w:rsidR="0053195B" w:rsidRPr="00324546">
        <w:t>.</w:t>
      </w:r>
      <w:r w:rsidR="005B155E" w:rsidRPr="00324546">
        <w:t xml:space="preserve"> </w:t>
      </w:r>
      <w:r w:rsidR="00595E05" w:rsidRPr="00324546">
        <w:t>F</w:t>
      </w:r>
      <w:r w:rsidR="005B155E" w:rsidRPr="00324546">
        <w:t>or example,</w:t>
      </w:r>
      <w:r w:rsidR="004B7E57" w:rsidRPr="00324546">
        <w:t xml:space="preserve"> in the case of</w:t>
      </w:r>
      <w:r w:rsidR="005B155E" w:rsidRPr="00324546">
        <w:t xml:space="preserve"> </w:t>
      </w:r>
      <w:r w:rsidR="004B7E57" w:rsidRPr="00324546">
        <w:t xml:space="preserve">the Regional Office for the Americas, </w:t>
      </w:r>
      <w:r w:rsidR="005B155E" w:rsidRPr="00324546">
        <w:t xml:space="preserve">the information available on the webpage does not mention the </w:t>
      </w:r>
      <w:r w:rsidR="00F97500" w:rsidRPr="00324546">
        <w:t xml:space="preserve">focal point </w:t>
      </w:r>
      <w:r w:rsidR="005B155E" w:rsidRPr="00324546">
        <w:t xml:space="preserve">for each Sector, as </w:t>
      </w:r>
      <w:r w:rsidR="0000344F" w:rsidRPr="00324546">
        <w:t xml:space="preserve">suggested </w:t>
      </w:r>
      <w:r w:rsidR="005B155E" w:rsidRPr="00324546">
        <w:t>in Resolution 25.</w:t>
      </w:r>
      <w:r w:rsidR="0019150A" w:rsidRPr="00324546">
        <w:t xml:space="preserve"> Presenting this information in a visible manner could help Member States to facilitate communication and coordination </w:t>
      </w:r>
      <w:r w:rsidR="00EE1175" w:rsidRPr="00324546">
        <w:t>regarding</w:t>
      </w:r>
      <w:r w:rsidR="00595E05" w:rsidRPr="00324546">
        <w:t xml:space="preserve"> </w:t>
      </w:r>
      <w:r w:rsidR="0019150A" w:rsidRPr="00324546">
        <w:t>the activities of the three Sectors of the Union.</w:t>
      </w:r>
    </w:p>
    <w:p w14:paraId="320C56DF" w14:textId="640F1940" w:rsidR="00C70AE0" w:rsidRPr="00324546" w:rsidRDefault="001E4E6F" w:rsidP="00E61C17">
      <w:r w:rsidRPr="00324546">
        <w:t xml:space="preserve">As for the events coordinated by the Regional Office of the Americas, it is noticeable </w:t>
      </w:r>
      <w:r w:rsidR="00694DAA" w:rsidRPr="00324546">
        <w:t xml:space="preserve">that </w:t>
      </w:r>
      <w:r w:rsidRPr="00324546">
        <w:t xml:space="preserve">most of the events </w:t>
      </w:r>
      <w:r w:rsidR="00595E05" w:rsidRPr="00324546">
        <w:t xml:space="preserve">have been </w:t>
      </w:r>
      <w:r w:rsidRPr="00324546">
        <w:t>organized by the Telecommunication Development Sector (ITU</w:t>
      </w:r>
      <w:r w:rsidR="00E61C17" w:rsidRPr="00324546">
        <w:noBreakHyphen/>
      </w:r>
      <w:r w:rsidRPr="00324546">
        <w:t xml:space="preserve">D), </w:t>
      </w:r>
      <w:r w:rsidR="00694DAA" w:rsidRPr="00324546">
        <w:t xml:space="preserve">such as </w:t>
      </w:r>
      <w:r w:rsidR="00C70AE0" w:rsidRPr="00324546">
        <w:t>Acce</w:t>
      </w:r>
      <w:r w:rsidR="00E61C17" w:rsidRPr="00324546">
        <w:t>s</w:t>
      </w:r>
      <w:r w:rsidR="00C70AE0" w:rsidRPr="00324546">
        <w:t>sible</w:t>
      </w:r>
      <w:r w:rsidR="009F195D" w:rsidRPr="00324546">
        <w:t xml:space="preserve"> Americas</w:t>
      </w:r>
      <w:r w:rsidR="00C70AE0" w:rsidRPr="00324546">
        <w:t xml:space="preserve">, </w:t>
      </w:r>
      <w:r w:rsidR="00694DAA" w:rsidRPr="00324546">
        <w:t xml:space="preserve">ITU Policy and Economic Colloquium </w:t>
      </w:r>
      <w:r w:rsidR="00C70AE0" w:rsidRPr="00324546">
        <w:t>(</w:t>
      </w:r>
      <w:proofErr w:type="spellStart"/>
      <w:r w:rsidR="00C70AE0" w:rsidRPr="00324546">
        <w:t>IPEC</w:t>
      </w:r>
      <w:proofErr w:type="spellEnd"/>
      <w:r w:rsidR="00C70AE0" w:rsidRPr="00324546">
        <w:t xml:space="preserve">) </w:t>
      </w:r>
      <w:r w:rsidR="00694DAA" w:rsidRPr="00324546">
        <w:t xml:space="preserve">and </w:t>
      </w:r>
      <w:r w:rsidR="00C70AE0" w:rsidRPr="00324546">
        <w:t xml:space="preserve">America </w:t>
      </w:r>
      <w:proofErr w:type="spellStart"/>
      <w:r w:rsidR="00C70AE0" w:rsidRPr="00324546">
        <w:t>Cyberdrill</w:t>
      </w:r>
      <w:proofErr w:type="spellEnd"/>
      <w:r w:rsidR="00C70AE0" w:rsidRPr="00324546">
        <w:t xml:space="preserve">. </w:t>
      </w:r>
      <w:r w:rsidR="0019150A" w:rsidRPr="00324546">
        <w:t xml:space="preserve">The </w:t>
      </w:r>
      <w:r w:rsidR="00C70AE0" w:rsidRPr="00324546">
        <w:t>Administra</w:t>
      </w:r>
      <w:r w:rsidR="0019150A" w:rsidRPr="00324546">
        <w:t>tion of</w:t>
      </w:r>
      <w:r w:rsidR="00C70AE0" w:rsidRPr="00324546">
        <w:t xml:space="preserve"> M</w:t>
      </w:r>
      <w:r w:rsidR="0019150A" w:rsidRPr="00324546">
        <w:t>e</w:t>
      </w:r>
      <w:r w:rsidR="00C70AE0" w:rsidRPr="00324546">
        <w:t xml:space="preserve">xico </w:t>
      </w:r>
      <w:r w:rsidR="0019150A" w:rsidRPr="00324546">
        <w:t xml:space="preserve">considers that there is no balance in the events </w:t>
      </w:r>
      <w:r w:rsidR="004B7E57" w:rsidRPr="00324546">
        <w:t xml:space="preserve">held by </w:t>
      </w:r>
      <w:r w:rsidR="0019150A" w:rsidRPr="00324546">
        <w:t xml:space="preserve">the three Sectors and that </w:t>
      </w:r>
      <w:r w:rsidR="00A7063B" w:rsidRPr="00324546">
        <w:t xml:space="preserve">the </w:t>
      </w:r>
      <w:r w:rsidR="0019150A" w:rsidRPr="00324546">
        <w:t>events are mostly focused on the Development Sector.</w:t>
      </w:r>
    </w:p>
    <w:p w14:paraId="1E6D6794" w14:textId="72BEB5D6" w:rsidR="00C70AE0" w:rsidRPr="00324546" w:rsidRDefault="00695DB0" w:rsidP="00E61C17">
      <w:r w:rsidRPr="00324546">
        <w:t xml:space="preserve">It is important to provide Member States with the most up-to-date information on activities carried out by the three Sectors through the regional offices; however, when one visits the official ITU website and consults the </w:t>
      </w:r>
      <w:r w:rsidR="008F0C0C" w:rsidRPr="00324546">
        <w:t>"</w:t>
      </w:r>
      <w:r w:rsidRPr="00324546">
        <w:t>Regional Presence</w:t>
      </w:r>
      <w:r w:rsidR="008F0C0C" w:rsidRPr="00324546">
        <w:t>"</w:t>
      </w:r>
      <w:r w:rsidRPr="00324546">
        <w:t xml:space="preserve"> sections for the Radiocommunication and Standardization Sectors, one is redirected to the ITU-D webpage.</w:t>
      </w:r>
    </w:p>
    <w:p w14:paraId="662B65F1" w14:textId="1BA0C2C8" w:rsidR="00C70AE0" w:rsidRPr="00324546" w:rsidRDefault="00A7063B" w:rsidP="00E61C17">
      <w:r w:rsidRPr="00324546">
        <w:t>Moreover</w:t>
      </w:r>
      <w:r w:rsidR="00695DB0" w:rsidRPr="00324546">
        <w:t xml:space="preserve">, the Administration of Mexico has identified situations in which there is no communication between ITU headquarters in Geneva and the Regional Office for the Americas and therefore </w:t>
      </w:r>
      <w:r w:rsidR="00595E05" w:rsidRPr="00324546">
        <w:t xml:space="preserve">deems </w:t>
      </w:r>
      <w:r w:rsidR="00695DB0" w:rsidRPr="00324546">
        <w:t>it necessary to have a better mechanism to coordinate the activities of the Union and improve communication between ITU headquarters and the regional offices.</w:t>
      </w:r>
      <w:r w:rsidR="00C70AE0" w:rsidRPr="00324546">
        <w:t xml:space="preserve"> </w:t>
      </w:r>
    </w:p>
    <w:p w14:paraId="29F2ABD7" w14:textId="3315FFFE" w:rsidR="00C70AE0" w:rsidRPr="00324546" w:rsidRDefault="00EC2F14" w:rsidP="00E61C17">
      <w:r w:rsidRPr="00324546">
        <w:t>Lastly</w:t>
      </w:r>
      <w:r w:rsidR="00E3217E" w:rsidRPr="00324546">
        <w:t>,</w:t>
      </w:r>
      <w:r w:rsidR="00C70AE0" w:rsidRPr="00324546">
        <w:t xml:space="preserve"> </w:t>
      </w:r>
      <w:r w:rsidR="00363642" w:rsidRPr="00324546">
        <w:t>the Administration of Mexico considers it important that the members</w:t>
      </w:r>
      <w:r w:rsidR="00704C6F" w:rsidRPr="00324546">
        <w:t>hip</w:t>
      </w:r>
      <w:r w:rsidR="00363642" w:rsidRPr="00324546">
        <w:t xml:space="preserve"> </w:t>
      </w:r>
      <w:r w:rsidR="00704C6F" w:rsidRPr="00324546">
        <w:t>is</w:t>
      </w:r>
      <w:r w:rsidR="00363642" w:rsidRPr="00324546">
        <w:t xml:space="preserve"> kept informed of progress, if any, in the implementation of activities under the responsibility of the General Secretariat related to strengthening the regional presence, which should have been completed before 2023 and which c</w:t>
      </w:r>
      <w:r w:rsidR="00A7063B" w:rsidRPr="00324546">
        <w:t>ould</w:t>
      </w:r>
      <w:r w:rsidR="00363642" w:rsidRPr="00324546">
        <w:t xml:space="preserve"> be easily displayed in the dashboard mentioned above.</w:t>
      </w:r>
    </w:p>
    <w:p w14:paraId="5DB7100D" w14:textId="3E36541D" w:rsidR="00C70AE0" w:rsidRPr="00324546" w:rsidRDefault="00363642" w:rsidP="00E61C17">
      <w:pPr>
        <w:keepNext/>
      </w:pPr>
      <w:bookmarkStart w:id="13" w:name="_Hlk166085289"/>
      <w:r w:rsidRPr="00324546">
        <w:lastRenderedPageBreak/>
        <w:t>In view of the foregoing</w:t>
      </w:r>
      <w:r w:rsidR="00C70AE0" w:rsidRPr="00324546">
        <w:t xml:space="preserve">, </w:t>
      </w:r>
      <w:r w:rsidRPr="00324546">
        <w:t>the Administration of Mexico requests that the following elements be taken into consideration</w:t>
      </w:r>
      <w:r w:rsidR="00C70AE0" w:rsidRPr="00324546">
        <w:t>:</w:t>
      </w:r>
    </w:p>
    <w:p w14:paraId="52EF9E5C" w14:textId="684F554F" w:rsidR="00C70AE0" w:rsidRPr="00324546" w:rsidRDefault="00C70AE0" w:rsidP="00E61C17">
      <w:pPr>
        <w:pStyle w:val="enumlev1"/>
      </w:pPr>
      <w:r w:rsidRPr="00324546">
        <w:t>1</w:t>
      </w:r>
      <w:r w:rsidR="00A96CBB" w:rsidRPr="00324546">
        <w:t>)</w:t>
      </w:r>
      <w:r w:rsidRPr="00324546">
        <w:tab/>
      </w:r>
      <w:r w:rsidR="00363642" w:rsidRPr="00324546">
        <w:t xml:space="preserve">On the basis of the </w:t>
      </w:r>
      <w:r w:rsidR="00E3217E" w:rsidRPr="00324546">
        <w:t xml:space="preserve">requirements under </w:t>
      </w:r>
      <w:r w:rsidRPr="00324546">
        <w:t>Resolu</w:t>
      </w:r>
      <w:r w:rsidR="00363642" w:rsidRPr="00324546">
        <w:t>t</w:t>
      </w:r>
      <w:r w:rsidRPr="00324546">
        <w:t>i</w:t>
      </w:r>
      <w:r w:rsidR="00363642" w:rsidRPr="00324546">
        <w:t>o</w:t>
      </w:r>
      <w:r w:rsidRPr="00324546">
        <w:t xml:space="preserve">n 25, </w:t>
      </w:r>
      <w:r w:rsidR="00363642" w:rsidRPr="00324546">
        <w:t xml:space="preserve">the General Secretariat and the Director of the Telecommunication Development Bureau (BDT) </w:t>
      </w:r>
      <w:r w:rsidR="00CC0A60" w:rsidRPr="00324546">
        <w:t xml:space="preserve">are requested </w:t>
      </w:r>
      <w:r w:rsidR="00363642" w:rsidRPr="00324546">
        <w:t>to continue to provide the Member States with up</w:t>
      </w:r>
      <w:r w:rsidR="00F80735" w:rsidRPr="00324546">
        <w:t xml:space="preserve">-to </w:t>
      </w:r>
      <w:r w:rsidR="00363642" w:rsidRPr="00324546">
        <w:t xml:space="preserve">date information on the expenditures of the </w:t>
      </w:r>
      <w:r w:rsidR="00F80735" w:rsidRPr="00324546">
        <w:t>r</w:t>
      </w:r>
      <w:r w:rsidR="00363642" w:rsidRPr="00324546">
        <w:t xml:space="preserve">egional and </w:t>
      </w:r>
      <w:r w:rsidR="00F80735" w:rsidRPr="00324546">
        <w:t>area o</w:t>
      </w:r>
      <w:r w:rsidR="00363642" w:rsidRPr="00324546">
        <w:t xml:space="preserve">ffices, including the total number of </w:t>
      </w:r>
      <w:r w:rsidR="00704C6F" w:rsidRPr="00324546">
        <w:t xml:space="preserve">staff </w:t>
      </w:r>
      <w:r w:rsidR="00F80735" w:rsidRPr="00324546">
        <w:t>for</w:t>
      </w:r>
      <w:r w:rsidR="00363642" w:rsidRPr="00324546">
        <w:t xml:space="preserve"> each </w:t>
      </w:r>
      <w:r w:rsidR="00F80735" w:rsidRPr="00324546">
        <w:t>r</w:t>
      </w:r>
      <w:r w:rsidR="00363642" w:rsidRPr="00324546">
        <w:t xml:space="preserve">egional and </w:t>
      </w:r>
      <w:r w:rsidR="00F80735" w:rsidRPr="00324546">
        <w:t>area o</w:t>
      </w:r>
      <w:r w:rsidR="00363642" w:rsidRPr="00324546">
        <w:t xml:space="preserve">ffice and their respective levels, in order to identify the </w:t>
      </w:r>
      <w:r w:rsidR="00F80735" w:rsidRPr="00324546">
        <w:t>r</w:t>
      </w:r>
      <w:r w:rsidR="00363642" w:rsidRPr="00324546">
        <w:t xml:space="preserve">egional and </w:t>
      </w:r>
      <w:r w:rsidR="00F80735" w:rsidRPr="00324546">
        <w:t>area o</w:t>
      </w:r>
      <w:r w:rsidR="00363642" w:rsidRPr="00324546">
        <w:t>ffices that could be strengthened.</w:t>
      </w:r>
    </w:p>
    <w:p w14:paraId="54164340" w14:textId="6EF1B8AC" w:rsidR="00704C6F" w:rsidRPr="00324546" w:rsidRDefault="00C70AE0" w:rsidP="00E61C17">
      <w:pPr>
        <w:pStyle w:val="enumlev1"/>
      </w:pPr>
      <w:r w:rsidRPr="00324546">
        <w:t>2</w:t>
      </w:r>
      <w:r w:rsidR="00A96CBB" w:rsidRPr="00324546">
        <w:t>)</w:t>
      </w:r>
      <w:r w:rsidRPr="00324546">
        <w:tab/>
      </w:r>
      <w:r w:rsidR="00CC0A60" w:rsidRPr="00324546">
        <w:t xml:space="preserve">The regional offices should be given greater </w:t>
      </w:r>
      <w:r w:rsidR="00E61C17" w:rsidRPr="00324546">
        <w:t>autonomy,</w:t>
      </w:r>
      <w:r w:rsidR="00CC0A60" w:rsidRPr="00324546">
        <w:t xml:space="preserve"> especially with respect to the implementation of initiatives, projects and events; in addition, an analy</w:t>
      </w:r>
      <w:r w:rsidR="00B675DB" w:rsidRPr="00324546">
        <w:t>s</w:t>
      </w:r>
      <w:r w:rsidR="00CC0A60" w:rsidRPr="00324546">
        <w:t>is should be conducted of what steps can be taken to decentralize decision-making by the regional offices.</w:t>
      </w:r>
    </w:p>
    <w:p w14:paraId="5096B750" w14:textId="418096EC" w:rsidR="00C70AE0" w:rsidRPr="00324546" w:rsidRDefault="00704C6F" w:rsidP="00E61C17">
      <w:pPr>
        <w:pStyle w:val="enumlev1"/>
      </w:pPr>
      <w:r w:rsidRPr="00324546">
        <w:tab/>
      </w:r>
      <w:r w:rsidR="00CC0A60" w:rsidRPr="00324546">
        <w:t xml:space="preserve">The Administration </w:t>
      </w:r>
      <w:r w:rsidR="0029199F" w:rsidRPr="00324546">
        <w:t xml:space="preserve">of Mexico </w:t>
      </w:r>
      <w:r w:rsidR="00CC0A60" w:rsidRPr="00324546">
        <w:t xml:space="preserve">recognizes that the regional and area offices represent the entire Union; however, it considers that the regional </w:t>
      </w:r>
      <w:r w:rsidR="00B675DB" w:rsidRPr="00324546">
        <w:t>o</w:t>
      </w:r>
      <w:r w:rsidR="00CC0A60" w:rsidRPr="00324546">
        <w:t xml:space="preserve">ffices should be more decentralized from ITU headquarters so that they have greater autonomy in decision-making on the various activities, initiatives and projects they carry out, </w:t>
      </w:r>
      <w:r w:rsidR="00595E05" w:rsidRPr="00324546">
        <w:t xml:space="preserve">while </w:t>
      </w:r>
      <w:r w:rsidR="00CC0A60" w:rsidRPr="00324546">
        <w:t>taking into consideration and ensuring appropriate accountability.</w:t>
      </w:r>
    </w:p>
    <w:p w14:paraId="798FE94E" w14:textId="4A469698" w:rsidR="00B032C1" w:rsidRPr="00324546" w:rsidRDefault="002C7EDA" w:rsidP="00E61C17">
      <w:pPr>
        <w:pStyle w:val="enumlev1"/>
      </w:pPr>
      <w:r w:rsidRPr="00324546">
        <w:t>3</w:t>
      </w:r>
      <w:r w:rsidR="00A96CBB" w:rsidRPr="00324546">
        <w:t>)</w:t>
      </w:r>
      <w:r w:rsidR="00C70AE0" w:rsidRPr="00324546">
        <w:tab/>
      </w:r>
      <w:r w:rsidR="00B675DB" w:rsidRPr="00324546">
        <w:t xml:space="preserve">The Administration of Mexico considers it </w:t>
      </w:r>
      <w:r w:rsidR="00B032C1" w:rsidRPr="00324546">
        <w:t xml:space="preserve">key </w:t>
      </w:r>
      <w:r w:rsidR="00A7063B" w:rsidRPr="00324546">
        <w:t xml:space="preserve">for </w:t>
      </w:r>
      <w:r w:rsidR="00B675DB" w:rsidRPr="00324546">
        <w:t xml:space="preserve">regional offices </w:t>
      </w:r>
      <w:r w:rsidR="00A7063B" w:rsidRPr="00324546">
        <w:t xml:space="preserve">to </w:t>
      </w:r>
      <w:r w:rsidR="00B675DB" w:rsidRPr="00324546">
        <w:t xml:space="preserve">have technical staff with knowledge and experience of the three Sectors of the Union, </w:t>
      </w:r>
      <w:r w:rsidR="00B032C1" w:rsidRPr="00324546">
        <w:t xml:space="preserve">particularly dedicated </w:t>
      </w:r>
      <w:r w:rsidR="00B675DB" w:rsidRPr="00324546">
        <w:t>staff from the Standardization and Radiocommunication Sectors, in order to strengthen and assist Member States</w:t>
      </w:r>
      <w:r w:rsidR="008F0C0C" w:rsidRPr="00324546">
        <w:t>'</w:t>
      </w:r>
      <w:r w:rsidR="00B675DB" w:rsidRPr="00324546">
        <w:t xml:space="preserve"> participation in the activities of these Sectors. </w:t>
      </w:r>
      <w:r w:rsidR="00B032C1" w:rsidRPr="00324546">
        <w:t xml:space="preserve">In </w:t>
      </w:r>
      <w:r w:rsidR="00B675DB" w:rsidRPr="00324546">
        <w:t>this connection, the ITU secretariat is requested to provide more information on the technical specialization of staff at each of the six regional offices, with a view to analysing the human resources available to the offices and identifying mechanisms to strengthen them.</w:t>
      </w:r>
    </w:p>
    <w:p w14:paraId="3705411E" w14:textId="532E063F" w:rsidR="00C70AE0" w:rsidRPr="00324546" w:rsidRDefault="00B032C1" w:rsidP="00E61C17">
      <w:pPr>
        <w:pStyle w:val="enumlev1"/>
      </w:pPr>
      <w:r w:rsidRPr="00324546">
        <w:tab/>
      </w:r>
      <w:r w:rsidR="00B675DB" w:rsidRPr="00324546">
        <w:t xml:space="preserve">The Director </w:t>
      </w:r>
      <w:r w:rsidRPr="00324546">
        <w:t xml:space="preserve">of BDT </w:t>
      </w:r>
      <w:r w:rsidR="00B675DB" w:rsidRPr="00324546">
        <w:t xml:space="preserve">is </w:t>
      </w:r>
      <w:r w:rsidRPr="00324546">
        <w:t xml:space="preserve">also </w:t>
      </w:r>
      <w:r w:rsidR="00B675DB" w:rsidRPr="00324546">
        <w:t>requested to assist in the identification of fo</w:t>
      </w:r>
      <w:r w:rsidR="002C7EDA" w:rsidRPr="00324546">
        <w:t>c</w:t>
      </w:r>
      <w:r w:rsidR="00B675DB" w:rsidRPr="00324546">
        <w:t xml:space="preserve">al points for each of the three Sectors in the regional offices who will report to the </w:t>
      </w:r>
      <w:r w:rsidRPr="00324546">
        <w:t>r</w:t>
      </w:r>
      <w:r w:rsidR="00B675DB" w:rsidRPr="00324546">
        <w:t xml:space="preserve">egional </w:t>
      </w:r>
      <w:r w:rsidRPr="00324546">
        <w:t>d</w:t>
      </w:r>
      <w:r w:rsidR="00B675DB" w:rsidRPr="00324546">
        <w:t>irector, as stipulated in Resolution 25.</w:t>
      </w:r>
    </w:p>
    <w:p w14:paraId="5F9FEC12" w14:textId="0AAC6908" w:rsidR="00C70AE0" w:rsidRPr="00324546" w:rsidRDefault="00B032C1" w:rsidP="00E61C17">
      <w:pPr>
        <w:pStyle w:val="enumlev1"/>
      </w:pPr>
      <w:r w:rsidRPr="00324546">
        <w:t>4</w:t>
      </w:r>
      <w:r w:rsidR="00A96CBB" w:rsidRPr="00324546">
        <w:t>)</w:t>
      </w:r>
      <w:r w:rsidR="00C70AE0" w:rsidRPr="00324546">
        <w:tab/>
      </w:r>
      <w:r w:rsidR="00E3217E" w:rsidRPr="00324546">
        <w:t xml:space="preserve">The Director of BDT should </w:t>
      </w:r>
      <w:r w:rsidR="00595E05" w:rsidRPr="00324546">
        <w:t xml:space="preserve">hold </w:t>
      </w:r>
      <w:r w:rsidR="00E3217E" w:rsidRPr="00324546">
        <w:t>consult</w:t>
      </w:r>
      <w:r w:rsidR="00595E05" w:rsidRPr="00324546">
        <w:t>ations</w:t>
      </w:r>
      <w:r w:rsidR="00E3217E" w:rsidRPr="00324546">
        <w:t xml:space="preserve"> with the Directors of the Radiocommunication and Standardization Bureaux, as well as with the regional offices, in order to identify expectations </w:t>
      </w:r>
      <w:r w:rsidRPr="00324546">
        <w:t>for</w:t>
      </w:r>
      <w:r w:rsidR="00E3217E" w:rsidRPr="00324546">
        <w:t xml:space="preserve"> the regional presence and the level of contribution of each Sector and share them with the members</w:t>
      </w:r>
      <w:r w:rsidRPr="00324546">
        <w:t>hip</w:t>
      </w:r>
      <w:r w:rsidR="00E3217E" w:rsidRPr="00324546">
        <w:t xml:space="preserve">, with a view to stepping up </w:t>
      </w:r>
      <w:r w:rsidR="001C1CBD" w:rsidRPr="00324546">
        <w:t xml:space="preserve">its </w:t>
      </w:r>
      <w:r w:rsidR="00E3217E" w:rsidRPr="00324546">
        <w:t>cooperation and coordination with the regional offices.</w:t>
      </w:r>
    </w:p>
    <w:p w14:paraId="15305605" w14:textId="134620BD" w:rsidR="00C70AE0" w:rsidRPr="00324546" w:rsidRDefault="001C1CBD" w:rsidP="00E61C17">
      <w:pPr>
        <w:pStyle w:val="enumlev1"/>
      </w:pPr>
      <w:r w:rsidRPr="00324546">
        <w:t>5</w:t>
      </w:r>
      <w:r w:rsidR="00A96CBB" w:rsidRPr="00324546">
        <w:t>)</w:t>
      </w:r>
      <w:r w:rsidR="00C70AE0" w:rsidRPr="00324546">
        <w:tab/>
      </w:r>
      <w:r w:rsidR="00E3217E" w:rsidRPr="00324546">
        <w:t xml:space="preserve">The ITU secretariat should seek mechanisms to strengthen and increase participation </w:t>
      </w:r>
      <w:r w:rsidR="00A7063B" w:rsidRPr="00324546">
        <w:t xml:space="preserve">in </w:t>
      </w:r>
      <w:r w:rsidR="00E3217E" w:rsidRPr="00324546">
        <w:t>and coordination and communication on the activities, projects and initiatives of the regional offices with ITU headquarters.</w:t>
      </w:r>
    </w:p>
    <w:p w14:paraId="7A60AB5F" w14:textId="0462BB6B" w:rsidR="00C70AE0" w:rsidRPr="00324546" w:rsidRDefault="001C1CBD" w:rsidP="00E61C17">
      <w:pPr>
        <w:pStyle w:val="enumlev1"/>
      </w:pPr>
      <w:r w:rsidRPr="00324546">
        <w:t>6</w:t>
      </w:r>
      <w:r w:rsidR="00A96CBB" w:rsidRPr="00324546">
        <w:t>)</w:t>
      </w:r>
      <w:r w:rsidR="00C70AE0" w:rsidRPr="00324546">
        <w:tab/>
      </w:r>
      <w:r w:rsidR="00E3217E" w:rsidRPr="00324546">
        <w:t xml:space="preserve">Finally, with respect to the criteria for opening new area or regional offices, it is </w:t>
      </w:r>
      <w:r w:rsidR="001B486F" w:rsidRPr="00324546">
        <w:t xml:space="preserve">important </w:t>
      </w:r>
      <w:r w:rsidR="00E3217E" w:rsidRPr="00324546">
        <w:t xml:space="preserve">that </w:t>
      </w:r>
      <w:r w:rsidR="001B486F" w:rsidRPr="00324546">
        <w:t xml:space="preserve">such </w:t>
      </w:r>
      <w:r w:rsidR="00E3217E" w:rsidRPr="00324546">
        <w:t xml:space="preserve">criteria </w:t>
      </w:r>
      <w:r w:rsidRPr="00324546">
        <w:t xml:space="preserve">should </w:t>
      </w:r>
      <w:r w:rsidR="00E3217E" w:rsidRPr="00324546">
        <w:t>include an analysis of the possible effects of relocating an existing office as a</w:t>
      </w:r>
      <w:r w:rsidRPr="00324546">
        <w:t xml:space="preserve"> </w:t>
      </w:r>
      <w:r w:rsidR="00595E05" w:rsidRPr="00324546">
        <w:t xml:space="preserve">means </w:t>
      </w:r>
      <w:r w:rsidR="00E3217E" w:rsidRPr="00324546">
        <w:t xml:space="preserve">of meeting the </w:t>
      </w:r>
      <w:r w:rsidR="001B486F" w:rsidRPr="00324546">
        <w:t>need</w:t>
      </w:r>
      <w:r w:rsidRPr="00324546">
        <w:t xml:space="preserve"> </w:t>
      </w:r>
      <w:r w:rsidR="00E3217E" w:rsidRPr="00324546">
        <w:t xml:space="preserve">identified </w:t>
      </w:r>
    </w:p>
    <w:bookmarkEnd w:id="13"/>
    <w:p w14:paraId="699B4622" w14:textId="77777777" w:rsidR="00C70AE0" w:rsidRPr="00324546" w:rsidRDefault="00C70AE0" w:rsidP="00C70AE0">
      <w:pPr>
        <w:spacing w:before="720"/>
        <w:jc w:val="center"/>
      </w:pPr>
      <w:r w:rsidRPr="00324546">
        <w:t>________________</w:t>
      </w:r>
    </w:p>
    <w:p w14:paraId="6FA2045F" w14:textId="77777777" w:rsidR="00A514A4" w:rsidRPr="00324546" w:rsidRDefault="00A514A4">
      <w:pPr>
        <w:tabs>
          <w:tab w:val="clear" w:pos="567"/>
          <w:tab w:val="clear" w:pos="1134"/>
          <w:tab w:val="clear" w:pos="1701"/>
          <w:tab w:val="clear" w:pos="2268"/>
          <w:tab w:val="clear" w:pos="2835"/>
        </w:tabs>
        <w:overflowPunct/>
        <w:autoSpaceDE/>
        <w:autoSpaceDN/>
        <w:adjustRightInd/>
        <w:spacing w:before="0"/>
        <w:textAlignment w:val="auto"/>
      </w:pPr>
    </w:p>
    <w:sectPr w:rsidR="00A514A4" w:rsidRPr="00324546"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CF18" w14:textId="77777777" w:rsidR="00CD1285" w:rsidRDefault="00CD1285">
      <w:r>
        <w:separator/>
      </w:r>
    </w:p>
  </w:endnote>
  <w:endnote w:type="continuationSeparator" w:id="0">
    <w:p w14:paraId="125FCBFC" w14:textId="77777777" w:rsidR="00CD1285" w:rsidRDefault="00CD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75790615" w14:textId="77777777" w:rsidTr="0042469C">
      <w:trPr>
        <w:jc w:val="center"/>
      </w:trPr>
      <w:tc>
        <w:tcPr>
          <w:tcW w:w="1803" w:type="dxa"/>
          <w:vAlign w:val="center"/>
        </w:tcPr>
        <w:p w14:paraId="092FC0DB" w14:textId="181BE6D0" w:rsidR="00EE49E8" w:rsidRDefault="00595E05" w:rsidP="00EE49E8">
          <w:pPr>
            <w:pStyle w:val="Header"/>
            <w:jc w:val="left"/>
            <w:rPr>
              <w:noProof/>
            </w:rPr>
          </w:pPr>
          <w:r>
            <w:rPr>
              <w:noProof/>
            </w:rPr>
            <w:t>2400823E</w:t>
          </w:r>
        </w:p>
      </w:tc>
      <w:tc>
        <w:tcPr>
          <w:tcW w:w="8261" w:type="dxa"/>
        </w:tcPr>
        <w:p w14:paraId="080651B3" w14:textId="58BC7E8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C70AE0">
            <w:rPr>
              <w:bCs/>
            </w:rPr>
            <w:t>98</w:t>
          </w:r>
          <w:r w:rsidRPr="00623AE3">
            <w:rPr>
              <w:bCs/>
            </w:rPr>
            <w:t>-E</w:t>
          </w:r>
          <w:r>
            <w:rPr>
              <w:bCs/>
            </w:rPr>
            <w:tab/>
          </w:r>
          <w:r>
            <w:fldChar w:fldCharType="begin"/>
          </w:r>
          <w:r>
            <w:instrText>PAGE</w:instrText>
          </w:r>
          <w:r>
            <w:fldChar w:fldCharType="separate"/>
          </w:r>
          <w:r>
            <w:t>1</w:t>
          </w:r>
          <w:r>
            <w:rPr>
              <w:noProof/>
            </w:rPr>
            <w:fldChar w:fldCharType="end"/>
          </w:r>
        </w:p>
      </w:tc>
    </w:tr>
  </w:tbl>
  <w:p w14:paraId="3EEB4D76"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2D6E927" w14:textId="77777777" w:rsidTr="00EE49E8">
      <w:trPr>
        <w:jc w:val="center"/>
      </w:trPr>
      <w:tc>
        <w:tcPr>
          <w:tcW w:w="1803" w:type="dxa"/>
          <w:vAlign w:val="center"/>
        </w:tcPr>
        <w:p w14:paraId="53E4E1A7" w14:textId="77777777" w:rsidR="00EE49E8" w:rsidRDefault="00324546"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EB1B76F" w14:textId="019B392E"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C70AE0">
            <w:rPr>
              <w:bCs/>
            </w:rPr>
            <w:t>98</w:t>
          </w:r>
          <w:r w:rsidRPr="00623AE3">
            <w:rPr>
              <w:bCs/>
            </w:rPr>
            <w:t>-E</w:t>
          </w:r>
          <w:r>
            <w:rPr>
              <w:bCs/>
            </w:rPr>
            <w:tab/>
          </w:r>
          <w:r>
            <w:fldChar w:fldCharType="begin"/>
          </w:r>
          <w:r>
            <w:instrText>PAGE</w:instrText>
          </w:r>
          <w:r>
            <w:fldChar w:fldCharType="separate"/>
          </w:r>
          <w:r>
            <w:t>1</w:t>
          </w:r>
          <w:r>
            <w:rPr>
              <w:noProof/>
            </w:rPr>
            <w:fldChar w:fldCharType="end"/>
          </w:r>
        </w:p>
      </w:tc>
    </w:tr>
  </w:tbl>
  <w:p w14:paraId="19BB501E"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A0FF" w14:textId="77777777" w:rsidR="00CD1285" w:rsidRDefault="00CD1285">
      <w:r>
        <w:t>____________________</w:t>
      </w:r>
    </w:p>
  </w:footnote>
  <w:footnote w:type="continuationSeparator" w:id="0">
    <w:p w14:paraId="7C2EFF20" w14:textId="77777777" w:rsidR="00CD1285" w:rsidRDefault="00CD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017D00BC" w14:textId="77777777" w:rsidTr="00C91CFC">
      <w:trPr>
        <w:trHeight w:val="1104"/>
        <w:jc w:val="center"/>
      </w:trPr>
      <w:tc>
        <w:tcPr>
          <w:tcW w:w="4390" w:type="dxa"/>
          <w:vAlign w:val="center"/>
        </w:tcPr>
        <w:p w14:paraId="110D3726" w14:textId="77777777" w:rsidR="00AD3606" w:rsidRPr="009621F8" w:rsidRDefault="006850BE" w:rsidP="00AD3606">
          <w:pPr>
            <w:pStyle w:val="Header"/>
            <w:jc w:val="left"/>
            <w:rPr>
              <w:rFonts w:ascii="Arial" w:hAnsi="Arial" w:cs="Arial"/>
              <w:b/>
              <w:bCs/>
              <w:color w:val="009CD6"/>
              <w:sz w:val="36"/>
              <w:szCs w:val="36"/>
            </w:rPr>
          </w:pPr>
          <w:bookmarkStart w:id="14" w:name="_Hlk133422111"/>
          <w:r>
            <w:rPr>
              <w:noProof/>
            </w:rPr>
            <w:drawing>
              <wp:inline distT="0" distB="0" distL="0" distR="0" wp14:anchorId="5208ABFC" wp14:editId="31BABF62">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4309794E" w14:textId="77777777" w:rsidR="00AD3606" w:rsidRDefault="00AD3606" w:rsidP="00AD3606">
          <w:pPr>
            <w:pStyle w:val="Header"/>
            <w:jc w:val="right"/>
            <w:rPr>
              <w:rFonts w:ascii="Arial" w:hAnsi="Arial" w:cs="Arial"/>
              <w:b/>
              <w:bCs/>
              <w:color w:val="009CD6"/>
              <w:szCs w:val="18"/>
            </w:rPr>
          </w:pPr>
        </w:p>
        <w:p w14:paraId="5D7F90A2" w14:textId="77777777" w:rsidR="00AD3606" w:rsidRDefault="00AD3606" w:rsidP="00AD3606">
          <w:pPr>
            <w:pStyle w:val="Header"/>
            <w:jc w:val="right"/>
            <w:rPr>
              <w:rFonts w:ascii="Arial" w:hAnsi="Arial" w:cs="Arial"/>
              <w:b/>
              <w:bCs/>
              <w:color w:val="009CD6"/>
              <w:szCs w:val="18"/>
            </w:rPr>
          </w:pPr>
        </w:p>
        <w:p w14:paraId="01DC74E4"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4"/>
  <w:p w14:paraId="3391DEBA"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644CEE76" wp14:editId="7665193A">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BFEF6"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4D353B"/>
    <w:multiLevelType w:val="hybridMultilevel"/>
    <w:tmpl w:val="955A37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4816267">
    <w:abstractNumId w:val="0"/>
  </w:num>
  <w:num w:numId="2" w16cid:durableId="93339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344F"/>
    <w:rsid w:val="000210D4"/>
    <w:rsid w:val="0004698E"/>
    <w:rsid w:val="00063016"/>
    <w:rsid w:val="00066795"/>
    <w:rsid w:val="00076AF6"/>
    <w:rsid w:val="00085CF2"/>
    <w:rsid w:val="000B1705"/>
    <w:rsid w:val="000B684E"/>
    <w:rsid w:val="000C51FE"/>
    <w:rsid w:val="000D75B2"/>
    <w:rsid w:val="001121F5"/>
    <w:rsid w:val="00133ACD"/>
    <w:rsid w:val="001400DC"/>
    <w:rsid w:val="00140CE1"/>
    <w:rsid w:val="0017539C"/>
    <w:rsid w:val="00175AC2"/>
    <w:rsid w:val="0017609F"/>
    <w:rsid w:val="0019150A"/>
    <w:rsid w:val="001A7D1D"/>
    <w:rsid w:val="001B486F"/>
    <w:rsid w:val="001B51DD"/>
    <w:rsid w:val="001C1CBD"/>
    <w:rsid w:val="001C628E"/>
    <w:rsid w:val="001E0F7B"/>
    <w:rsid w:val="001E4E6F"/>
    <w:rsid w:val="002119FD"/>
    <w:rsid w:val="002130E0"/>
    <w:rsid w:val="00223833"/>
    <w:rsid w:val="00252C29"/>
    <w:rsid w:val="00264425"/>
    <w:rsid w:val="00265875"/>
    <w:rsid w:val="0027303B"/>
    <w:rsid w:val="0028109B"/>
    <w:rsid w:val="0029199F"/>
    <w:rsid w:val="002A2188"/>
    <w:rsid w:val="002B1F58"/>
    <w:rsid w:val="002C1C7A"/>
    <w:rsid w:val="002C54E2"/>
    <w:rsid w:val="002C7EDA"/>
    <w:rsid w:val="0030160F"/>
    <w:rsid w:val="00320003"/>
    <w:rsid w:val="00320223"/>
    <w:rsid w:val="003219C4"/>
    <w:rsid w:val="00322D0D"/>
    <w:rsid w:val="00324546"/>
    <w:rsid w:val="00361465"/>
    <w:rsid w:val="00363642"/>
    <w:rsid w:val="003877F5"/>
    <w:rsid w:val="003942D4"/>
    <w:rsid w:val="003958A8"/>
    <w:rsid w:val="003C2533"/>
    <w:rsid w:val="003C4856"/>
    <w:rsid w:val="003C7671"/>
    <w:rsid w:val="003D5A7F"/>
    <w:rsid w:val="004016E2"/>
    <w:rsid w:val="0040435A"/>
    <w:rsid w:val="00416A24"/>
    <w:rsid w:val="0042466A"/>
    <w:rsid w:val="0042589D"/>
    <w:rsid w:val="00431D9E"/>
    <w:rsid w:val="00433CE8"/>
    <w:rsid w:val="00434A5C"/>
    <w:rsid w:val="004544D9"/>
    <w:rsid w:val="00472BAD"/>
    <w:rsid w:val="00484009"/>
    <w:rsid w:val="00490E72"/>
    <w:rsid w:val="00491157"/>
    <w:rsid w:val="004921C8"/>
    <w:rsid w:val="00495B0B"/>
    <w:rsid w:val="004A1B8B"/>
    <w:rsid w:val="004A2013"/>
    <w:rsid w:val="004A3C71"/>
    <w:rsid w:val="004B7E57"/>
    <w:rsid w:val="004D15AA"/>
    <w:rsid w:val="004D1851"/>
    <w:rsid w:val="004D599D"/>
    <w:rsid w:val="004E2EA5"/>
    <w:rsid w:val="004E3AEB"/>
    <w:rsid w:val="0050223C"/>
    <w:rsid w:val="005243FF"/>
    <w:rsid w:val="0053195B"/>
    <w:rsid w:val="00564FBC"/>
    <w:rsid w:val="005800BC"/>
    <w:rsid w:val="005803A1"/>
    <w:rsid w:val="00582442"/>
    <w:rsid w:val="00595E05"/>
    <w:rsid w:val="005A7975"/>
    <w:rsid w:val="005B155E"/>
    <w:rsid w:val="005F3269"/>
    <w:rsid w:val="006200A6"/>
    <w:rsid w:val="00623AE3"/>
    <w:rsid w:val="00636B32"/>
    <w:rsid w:val="0064737F"/>
    <w:rsid w:val="006535F1"/>
    <w:rsid w:val="0065557D"/>
    <w:rsid w:val="00660D50"/>
    <w:rsid w:val="00662984"/>
    <w:rsid w:val="006716BB"/>
    <w:rsid w:val="006850BE"/>
    <w:rsid w:val="00692629"/>
    <w:rsid w:val="00694DAA"/>
    <w:rsid w:val="00695DB0"/>
    <w:rsid w:val="006B1859"/>
    <w:rsid w:val="006B6680"/>
    <w:rsid w:val="006B6DCC"/>
    <w:rsid w:val="006C4420"/>
    <w:rsid w:val="006E5400"/>
    <w:rsid w:val="006F1902"/>
    <w:rsid w:val="00702DEF"/>
    <w:rsid w:val="00704C6F"/>
    <w:rsid w:val="00706861"/>
    <w:rsid w:val="0075051B"/>
    <w:rsid w:val="00787A16"/>
    <w:rsid w:val="00793188"/>
    <w:rsid w:val="00794D34"/>
    <w:rsid w:val="0080703E"/>
    <w:rsid w:val="00813E5E"/>
    <w:rsid w:val="0083581B"/>
    <w:rsid w:val="00857935"/>
    <w:rsid w:val="00863874"/>
    <w:rsid w:val="00864AFF"/>
    <w:rsid w:val="00865925"/>
    <w:rsid w:val="00867462"/>
    <w:rsid w:val="008918B5"/>
    <w:rsid w:val="008A613B"/>
    <w:rsid w:val="008B4A6A"/>
    <w:rsid w:val="008C0802"/>
    <w:rsid w:val="008C2D09"/>
    <w:rsid w:val="008C7E27"/>
    <w:rsid w:val="008F0C0C"/>
    <w:rsid w:val="008F4C54"/>
    <w:rsid w:val="008F7448"/>
    <w:rsid w:val="0090147A"/>
    <w:rsid w:val="009173EF"/>
    <w:rsid w:val="00932906"/>
    <w:rsid w:val="00961B0B"/>
    <w:rsid w:val="00962D33"/>
    <w:rsid w:val="00992C2D"/>
    <w:rsid w:val="009B38C3"/>
    <w:rsid w:val="009E17BD"/>
    <w:rsid w:val="009E485A"/>
    <w:rsid w:val="009F195D"/>
    <w:rsid w:val="00A0012C"/>
    <w:rsid w:val="00A04CEC"/>
    <w:rsid w:val="00A27F92"/>
    <w:rsid w:val="00A32257"/>
    <w:rsid w:val="00A36D20"/>
    <w:rsid w:val="00A41F08"/>
    <w:rsid w:val="00A514A4"/>
    <w:rsid w:val="00A55622"/>
    <w:rsid w:val="00A62E35"/>
    <w:rsid w:val="00A7063B"/>
    <w:rsid w:val="00A83502"/>
    <w:rsid w:val="00A96CBB"/>
    <w:rsid w:val="00AC2EDC"/>
    <w:rsid w:val="00AD15B3"/>
    <w:rsid w:val="00AD2C67"/>
    <w:rsid w:val="00AD3606"/>
    <w:rsid w:val="00AD4A3D"/>
    <w:rsid w:val="00AF6E49"/>
    <w:rsid w:val="00B032C1"/>
    <w:rsid w:val="00B04A67"/>
    <w:rsid w:val="00B0583C"/>
    <w:rsid w:val="00B40A81"/>
    <w:rsid w:val="00B44910"/>
    <w:rsid w:val="00B675DB"/>
    <w:rsid w:val="00B72267"/>
    <w:rsid w:val="00B76EB6"/>
    <w:rsid w:val="00B7737B"/>
    <w:rsid w:val="00B824C8"/>
    <w:rsid w:val="00B8261D"/>
    <w:rsid w:val="00B84B9D"/>
    <w:rsid w:val="00BB3ADC"/>
    <w:rsid w:val="00BC251A"/>
    <w:rsid w:val="00BD032B"/>
    <w:rsid w:val="00BE2640"/>
    <w:rsid w:val="00BE43DB"/>
    <w:rsid w:val="00BF6C28"/>
    <w:rsid w:val="00C01189"/>
    <w:rsid w:val="00C26F58"/>
    <w:rsid w:val="00C374DE"/>
    <w:rsid w:val="00C47AD4"/>
    <w:rsid w:val="00C52D81"/>
    <w:rsid w:val="00C55198"/>
    <w:rsid w:val="00C6305A"/>
    <w:rsid w:val="00C70AE0"/>
    <w:rsid w:val="00C87336"/>
    <w:rsid w:val="00CA1216"/>
    <w:rsid w:val="00CA6393"/>
    <w:rsid w:val="00CB18FF"/>
    <w:rsid w:val="00CC0A60"/>
    <w:rsid w:val="00CD0C08"/>
    <w:rsid w:val="00CD1285"/>
    <w:rsid w:val="00CE03FB"/>
    <w:rsid w:val="00CE433C"/>
    <w:rsid w:val="00CF0161"/>
    <w:rsid w:val="00CF33F3"/>
    <w:rsid w:val="00CF3CDD"/>
    <w:rsid w:val="00D06183"/>
    <w:rsid w:val="00D17CB8"/>
    <w:rsid w:val="00D22C42"/>
    <w:rsid w:val="00D44917"/>
    <w:rsid w:val="00D5040C"/>
    <w:rsid w:val="00D65041"/>
    <w:rsid w:val="00DB1936"/>
    <w:rsid w:val="00DB384B"/>
    <w:rsid w:val="00DF0189"/>
    <w:rsid w:val="00E06FD5"/>
    <w:rsid w:val="00E10E80"/>
    <w:rsid w:val="00E124F0"/>
    <w:rsid w:val="00E227F3"/>
    <w:rsid w:val="00E23618"/>
    <w:rsid w:val="00E3217E"/>
    <w:rsid w:val="00E545C6"/>
    <w:rsid w:val="00E60F04"/>
    <w:rsid w:val="00E61C17"/>
    <w:rsid w:val="00E62949"/>
    <w:rsid w:val="00E65B24"/>
    <w:rsid w:val="00E74D1C"/>
    <w:rsid w:val="00E854E4"/>
    <w:rsid w:val="00E86DBF"/>
    <w:rsid w:val="00E9440E"/>
    <w:rsid w:val="00E94D4E"/>
    <w:rsid w:val="00E96A61"/>
    <w:rsid w:val="00EA7B94"/>
    <w:rsid w:val="00EB0D6F"/>
    <w:rsid w:val="00EB2232"/>
    <w:rsid w:val="00EB2560"/>
    <w:rsid w:val="00EC2F14"/>
    <w:rsid w:val="00EC5337"/>
    <w:rsid w:val="00EE1175"/>
    <w:rsid w:val="00EE49E8"/>
    <w:rsid w:val="00EF7323"/>
    <w:rsid w:val="00F03391"/>
    <w:rsid w:val="00F03510"/>
    <w:rsid w:val="00F16BAB"/>
    <w:rsid w:val="00F2150A"/>
    <w:rsid w:val="00F231D8"/>
    <w:rsid w:val="00F44871"/>
    <w:rsid w:val="00F44C00"/>
    <w:rsid w:val="00F45D2C"/>
    <w:rsid w:val="00F46C5F"/>
    <w:rsid w:val="00F632C0"/>
    <w:rsid w:val="00F74710"/>
    <w:rsid w:val="00F80735"/>
    <w:rsid w:val="00F94A63"/>
    <w:rsid w:val="00F97500"/>
    <w:rsid w:val="00FA1C28"/>
    <w:rsid w:val="00FB1279"/>
    <w:rsid w:val="00FB6B76"/>
    <w:rsid w:val="00FB7596"/>
    <w:rsid w:val="00FD0055"/>
    <w:rsid w:val="00FD7C1B"/>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959748"/>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CommentReference">
    <w:name w:val="annotation reference"/>
    <w:basedOn w:val="DefaultParagraphFont"/>
    <w:semiHidden/>
    <w:unhideWhenUsed/>
    <w:rsid w:val="00D44917"/>
    <w:rPr>
      <w:sz w:val="16"/>
      <w:szCs w:val="16"/>
    </w:rPr>
  </w:style>
  <w:style w:type="paragraph" w:styleId="CommentText">
    <w:name w:val="annotation text"/>
    <w:basedOn w:val="Normal"/>
    <w:link w:val="CommentTextChar"/>
    <w:semiHidden/>
    <w:unhideWhenUsed/>
    <w:rsid w:val="00D44917"/>
    <w:rPr>
      <w:sz w:val="20"/>
    </w:rPr>
  </w:style>
  <w:style w:type="character" w:customStyle="1" w:styleId="CommentTextChar">
    <w:name w:val="Comment Text Char"/>
    <w:basedOn w:val="DefaultParagraphFont"/>
    <w:link w:val="CommentText"/>
    <w:semiHidden/>
    <w:rsid w:val="00D44917"/>
    <w:rPr>
      <w:rFonts w:ascii="Calibri" w:hAnsi="Calibri"/>
      <w:lang w:val="en-GB" w:eastAsia="en-US"/>
    </w:rPr>
  </w:style>
  <w:style w:type="paragraph" w:styleId="CommentSubject">
    <w:name w:val="annotation subject"/>
    <w:basedOn w:val="CommentText"/>
    <w:next w:val="CommentText"/>
    <w:link w:val="CommentSubjectChar"/>
    <w:semiHidden/>
    <w:unhideWhenUsed/>
    <w:rsid w:val="00D44917"/>
    <w:rPr>
      <w:b/>
      <w:bCs/>
    </w:rPr>
  </w:style>
  <w:style w:type="character" w:customStyle="1" w:styleId="CommentSubjectChar">
    <w:name w:val="Comment Subject Char"/>
    <w:basedOn w:val="CommentTextChar"/>
    <w:link w:val="CommentSubject"/>
    <w:semiHidden/>
    <w:rsid w:val="00D44917"/>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77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025-e.pdf" TargetMode="External"/><Relationship Id="rId13" Type="http://schemas.openxmlformats.org/officeDocument/2006/relationships/hyperlink" Target="https://www.itu.int/md/D22-TDAG31-C-0012/en" TargetMode="External"/><Relationship Id="rId18" Type="http://schemas.openxmlformats.org/officeDocument/2006/relationships/hyperlink" Target="https://www.itu.int/md/D22-TDAG31-C-0012/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L-C-0025/en" TargetMode="External"/><Relationship Id="rId17" Type="http://schemas.openxmlformats.org/officeDocument/2006/relationships/hyperlink" Target="https://www.itu.int/md/D22-TDAG31-C-0012/en" TargetMode="External"/><Relationship Id="rId2" Type="http://schemas.openxmlformats.org/officeDocument/2006/relationships/numbering" Target="numbering.xml"/><Relationship Id="rId16" Type="http://schemas.openxmlformats.org/officeDocument/2006/relationships/hyperlink" Target="https://www.itu.int/md/S24-CL-C-002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3-CL-INF-0007/en" TargetMode="External"/><Relationship Id="rId5" Type="http://schemas.openxmlformats.org/officeDocument/2006/relationships/webSettings" Target="webSettings.xml"/><Relationship Id="rId15" Type="http://schemas.openxmlformats.org/officeDocument/2006/relationships/hyperlink" Target="https://www.itu.int/md/S23-CWGFHR16-C-0010/en" TargetMode="External"/><Relationship Id="rId23" Type="http://schemas.openxmlformats.org/officeDocument/2006/relationships/theme" Target="theme/theme1.xml"/><Relationship Id="rId10" Type="http://schemas.openxmlformats.org/officeDocument/2006/relationships/hyperlink" Target="https://www.itu.int/md/S23-CL-C-0025/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20-CL-C-0074/en" TargetMode="External"/><Relationship Id="rId14" Type="http://schemas.openxmlformats.org/officeDocument/2006/relationships/hyperlink" Target="https://www.itu.int/md/S20-CL-C-0074/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84</TotalTime>
  <Pages>4</Pages>
  <Words>1548</Words>
  <Characters>9546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11072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TPU E RR</dc:creator>
  <cp:keywords/>
  <dc:description/>
  <cp:lastModifiedBy>LRT</cp:lastModifiedBy>
  <cp:revision>9</cp:revision>
  <cp:lastPrinted>2000-07-18T13:30:00Z</cp:lastPrinted>
  <dcterms:created xsi:type="dcterms:W3CDTF">2024-05-27T05:34:00Z</dcterms:created>
  <dcterms:modified xsi:type="dcterms:W3CDTF">2024-05-27T13:35:00Z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