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DF6DBE" w14:paraId="775DC796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02FBDFA" w14:textId="03F051F2" w:rsidR="00796BD3" w:rsidRPr="00DF6DBE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DF6DBE">
              <w:rPr>
                <w:b/>
              </w:rPr>
              <w:t>Пункт повестки дня:</w:t>
            </w:r>
            <w:r w:rsidR="006478D9" w:rsidRPr="00DF6DBE">
              <w:rPr>
                <w:b/>
                <w:bCs/>
              </w:rPr>
              <w:t xml:space="preserve"> ADM 3</w:t>
            </w:r>
          </w:p>
        </w:tc>
        <w:tc>
          <w:tcPr>
            <w:tcW w:w="5245" w:type="dxa"/>
          </w:tcPr>
          <w:p w14:paraId="6297DF48" w14:textId="2F353C66" w:rsidR="00796BD3" w:rsidRPr="00DF6DBE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DF6DBE">
              <w:rPr>
                <w:b/>
              </w:rPr>
              <w:t xml:space="preserve">Документ </w:t>
            </w:r>
            <w:proofErr w:type="spellStart"/>
            <w:r w:rsidR="00796BD3" w:rsidRPr="00DF6DBE">
              <w:rPr>
                <w:b/>
              </w:rPr>
              <w:t>C2</w:t>
            </w:r>
            <w:r w:rsidR="00660449" w:rsidRPr="00DF6DBE">
              <w:rPr>
                <w:b/>
              </w:rPr>
              <w:t>4</w:t>
            </w:r>
            <w:proofErr w:type="spellEnd"/>
            <w:r w:rsidR="00796BD3" w:rsidRPr="00DF6DBE">
              <w:rPr>
                <w:b/>
              </w:rPr>
              <w:t>/</w:t>
            </w:r>
            <w:r w:rsidR="006478D9" w:rsidRPr="00DF6DBE">
              <w:rPr>
                <w:b/>
              </w:rPr>
              <w:t>97</w:t>
            </w:r>
            <w:r w:rsidR="00796BD3" w:rsidRPr="00DF6DBE">
              <w:rPr>
                <w:b/>
              </w:rPr>
              <w:t>-R</w:t>
            </w:r>
          </w:p>
        </w:tc>
      </w:tr>
      <w:tr w:rsidR="00796BD3" w:rsidRPr="00DF6DBE" w14:paraId="0854DEA9" w14:textId="77777777" w:rsidTr="00E31DCE">
        <w:trPr>
          <w:cantSplit/>
        </w:trPr>
        <w:tc>
          <w:tcPr>
            <w:tcW w:w="3969" w:type="dxa"/>
            <w:vMerge/>
          </w:tcPr>
          <w:p w14:paraId="63BEBE0D" w14:textId="77777777" w:rsidR="00796BD3" w:rsidRPr="00DF6DB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78DDC9B" w14:textId="193EE432" w:rsidR="00796BD3" w:rsidRPr="00DF6DBE" w:rsidRDefault="00A437E1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DF6DBE">
              <w:rPr>
                <w:b/>
              </w:rPr>
              <w:t>11 июня</w:t>
            </w:r>
            <w:r w:rsidR="00796BD3" w:rsidRPr="00DF6DBE">
              <w:rPr>
                <w:b/>
              </w:rPr>
              <w:t xml:space="preserve"> 202</w:t>
            </w:r>
            <w:r w:rsidR="00660449" w:rsidRPr="00DF6DBE">
              <w:rPr>
                <w:b/>
              </w:rPr>
              <w:t>4</w:t>
            </w:r>
            <w:r w:rsidR="006478D9" w:rsidRPr="00DF6DBE">
              <w:rPr>
                <w:b/>
              </w:rPr>
              <w:t xml:space="preserve"> года</w:t>
            </w:r>
          </w:p>
        </w:tc>
      </w:tr>
      <w:tr w:rsidR="00796BD3" w:rsidRPr="00DF6DBE" w14:paraId="0D05E1B6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3AEE9D49" w14:textId="77777777" w:rsidR="00796BD3" w:rsidRPr="00DF6DB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F14D395" w14:textId="6F0E5BE8" w:rsidR="00796BD3" w:rsidRPr="00DF6DBE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DF6DBE">
              <w:rPr>
                <w:b/>
              </w:rPr>
              <w:t xml:space="preserve">Оригинал: </w:t>
            </w:r>
            <w:r w:rsidR="006478D9" w:rsidRPr="00DF6DBE">
              <w:rPr>
                <w:b/>
              </w:rPr>
              <w:t>испанский</w:t>
            </w:r>
          </w:p>
        </w:tc>
      </w:tr>
      <w:tr w:rsidR="00796BD3" w:rsidRPr="00DF6DBE" w14:paraId="6D07D0CD" w14:textId="77777777" w:rsidTr="00E31DCE">
        <w:trPr>
          <w:cantSplit/>
          <w:trHeight w:val="23"/>
        </w:trPr>
        <w:tc>
          <w:tcPr>
            <w:tcW w:w="3969" w:type="dxa"/>
          </w:tcPr>
          <w:p w14:paraId="35B0A9DB" w14:textId="77777777" w:rsidR="00796BD3" w:rsidRPr="00DF6DB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5710CE0" w14:textId="77777777" w:rsidR="00796BD3" w:rsidRPr="00DF6DBE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796BD3" w:rsidRPr="00DF6DBE" w14:paraId="07418437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FE24A19" w14:textId="7067AC60" w:rsidR="00796BD3" w:rsidRPr="00DF6DBE" w:rsidRDefault="006478D9" w:rsidP="00672F8A">
            <w:pPr>
              <w:pStyle w:val="Source"/>
              <w:jc w:val="left"/>
              <w:rPr>
                <w:sz w:val="32"/>
                <w:szCs w:val="32"/>
              </w:rPr>
            </w:pPr>
            <w:bookmarkStart w:id="5" w:name="dsource" w:colFirst="0" w:colLast="0"/>
            <w:bookmarkEnd w:id="4"/>
            <w:r w:rsidRPr="00DF6DBE">
              <w:rPr>
                <w:rFonts w:cstheme="minorHAnsi"/>
                <w:sz w:val="32"/>
                <w:szCs w:val="32"/>
              </w:rPr>
              <w:t>Вклад Мексики</w:t>
            </w:r>
            <w:r w:rsidR="00A437E1" w:rsidRPr="00DF6DBE">
              <w:rPr>
                <w:rFonts w:cstheme="minorHAnsi"/>
                <w:sz w:val="32"/>
                <w:szCs w:val="32"/>
              </w:rPr>
              <w:t>, а также Эль-Сальвадора (Республики), Панамы (Республики) и Парагвая (Республики)</w:t>
            </w:r>
          </w:p>
        </w:tc>
      </w:tr>
      <w:tr w:rsidR="00796BD3" w:rsidRPr="00DF6DBE" w14:paraId="1C2D969E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779F15E" w14:textId="1D562788" w:rsidR="00796BD3" w:rsidRPr="00DF6DBE" w:rsidRDefault="006478D9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</w:rPr>
            </w:pPr>
            <w:bookmarkStart w:id="6" w:name="dtitle1" w:colFirst="0" w:colLast="0"/>
            <w:bookmarkEnd w:id="5"/>
            <w:r w:rsidRPr="00DF6DBE">
              <w:rPr>
                <w:rFonts w:cstheme="minorHAnsi"/>
                <w:sz w:val="32"/>
                <w:szCs w:val="32"/>
              </w:rPr>
              <w:t>ВЫПОЛНЕНИЕ РЕЗОЛЮЦИИ 167 ОБ УКРЕПЛЕНИИ И РАЗВИТИИ ПОТЕНЦИАЛА МСЭ ДЛЯ ПРОВЕДЕНИЯ ПОЛНОСТЬЮ ВИРТУАЛЬНЫХ СОБРАНИЙ И ОЧНЫХ СОБРАНИЙ С ДИСТАНЦИОННЫМ УЧАСТИЕМ И ОБЕСПЕЧЕНИИ ЭЛЕКТРОННЫХ СРЕДСТВ ДЛЯ ПРОДВИЖЕНИЯ РАБОТЫ СОЮЗА</w:t>
            </w:r>
          </w:p>
        </w:tc>
      </w:tr>
      <w:tr w:rsidR="00796BD3" w:rsidRPr="00DF6DBE" w14:paraId="64320A14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1BF7DB6E" w14:textId="60E05624" w:rsidR="00796BD3" w:rsidRPr="00DF6DBE" w:rsidRDefault="0033025A" w:rsidP="00E31DCE">
            <w:pPr>
              <w:spacing w:before="160"/>
              <w:rPr>
                <w:b/>
                <w:bCs/>
                <w:sz w:val="24"/>
                <w:szCs w:val="24"/>
              </w:rPr>
            </w:pPr>
            <w:r w:rsidRPr="00DF6DBE">
              <w:rPr>
                <w:b/>
                <w:bCs/>
                <w:sz w:val="24"/>
                <w:szCs w:val="24"/>
              </w:rPr>
              <w:t>Назначение</w:t>
            </w:r>
          </w:p>
          <w:p w14:paraId="0EA9CF00" w14:textId="3589D77A" w:rsidR="00796BD3" w:rsidRPr="00DF6DBE" w:rsidRDefault="006478D9" w:rsidP="00E31DCE">
            <w:r w:rsidRPr="00DF6DBE">
              <w:t>Администрация Мексики предлагает Совету рассмотреть ее предложения в целях выполнения Резолюции 167 Полномочной конференции.</w:t>
            </w:r>
          </w:p>
          <w:p w14:paraId="2376E3C8" w14:textId="77777777" w:rsidR="00796BD3" w:rsidRPr="00DF6DBE" w:rsidRDefault="0033025A" w:rsidP="00E31DCE">
            <w:pPr>
              <w:spacing w:before="160"/>
              <w:rPr>
                <w:b/>
                <w:bCs/>
                <w:sz w:val="24"/>
                <w:szCs w:val="24"/>
              </w:rPr>
            </w:pPr>
            <w:r w:rsidRPr="00DF6DBE">
              <w:rPr>
                <w:b/>
                <w:bCs/>
                <w:sz w:val="24"/>
                <w:szCs w:val="24"/>
              </w:rPr>
              <w:t>Необходимые действия Совета</w:t>
            </w:r>
          </w:p>
          <w:p w14:paraId="230D2CA6" w14:textId="2C0C2FE8" w:rsidR="00796BD3" w:rsidRPr="00DF6DBE" w:rsidRDefault="006478D9" w:rsidP="00E31DCE">
            <w:r w:rsidRPr="00DF6DBE">
              <w:t xml:space="preserve">Совету предлагается </w:t>
            </w:r>
            <w:r w:rsidRPr="00DF6DBE">
              <w:rPr>
                <w:b/>
                <w:bCs/>
              </w:rPr>
              <w:t xml:space="preserve">рассмотреть </w:t>
            </w:r>
            <w:r w:rsidRPr="00DF6DBE">
              <w:t xml:space="preserve">и </w:t>
            </w:r>
            <w:r w:rsidRPr="00DF6DBE">
              <w:rPr>
                <w:b/>
                <w:bCs/>
              </w:rPr>
              <w:t xml:space="preserve">обсудить </w:t>
            </w:r>
            <w:r w:rsidRPr="00DF6DBE">
              <w:t>предложения.</w:t>
            </w:r>
          </w:p>
          <w:p w14:paraId="763B8351" w14:textId="77777777" w:rsidR="00796BD3" w:rsidRPr="00DF6DBE" w:rsidRDefault="00796BD3" w:rsidP="001C044C">
            <w:r w:rsidRPr="00DF6DBE">
              <w:t>__________________</w:t>
            </w:r>
          </w:p>
          <w:p w14:paraId="6429A4BF" w14:textId="77777777" w:rsidR="00796BD3" w:rsidRPr="00DF6DBE" w:rsidRDefault="0033025A" w:rsidP="00E31DCE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DF6DBE">
              <w:rPr>
                <w:b/>
                <w:bCs/>
                <w:sz w:val="24"/>
                <w:szCs w:val="24"/>
              </w:rPr>
              <w:t>Справочные материалы</w:t>
            </w:r>
          </w:p>
          <w:p w14:paraId="2CA22A00" w14:textId="49672A59" w:rsidR="00796BD3" w:rsidRPr="00DF6DBE" w:rsidRDefault="00DF6DBE" w:rsidP="00E31DCE">
            <w:pPr>
              <w:spacing w:after="160"/>
            </w:pPr>
            <w:hyperlink r:id="rId7" w:history="1">
              <w:hyperlink r:id="rId8" w:history="1">
                <w:r w:rsidR="006478D9" w:rsidRPr="00DF6DBE">
                  <w:rPr>
                    <w:rStyle w:val="Hyperlink"/>
                    <w:i/>
                    <w:iCs/>
                  </w:rPr>
                  <w:t>Документ PP-22/64</w:t>
                </w:r>
              </w:hyperlink>
              <w:r w:rsidR="006478D9" w:rsidRPr="00DF6DBE">
                <w:rPr>
                  <w:i/>
                  <w:iCs/>
                </w:rPr>
                <w:t>;</w:t>
              </w:r>
              <w:r w:rsidR="006478D9" w:rsidRPr="00DF6DBE">
                <w:t xml:space="preserve"> </w:t>
              </w:r>
              <w:hyperlink r:id="rId9" w:history="1">
                <w:r w:rsidR="006478D9" w:rsidRPr="00DF6DBE">
                  <w:rPr>
                    <w:rStyle w:val="Hyperlink"/>
                    <w:i/>
                    <w:iCs/>
                  </w:rPr>
                  <w:t>Резолюция 167 (Пересм. Бухарест, 2022 г.)</w:t>
                </w:r>
              </w:hyperlink>
              <w:r w:rsidR="006478D9" w:rsidRPr="00DF6DBE">
                <w:rPr>
                  <w:i/>
                  <w:iCs/>
                </w:rPr>
                <w:t xml:space="preserve"> Полномочной конференции;</w:t>
              </w:r>
              <w:r w:rsidR="006478D9" w:rsidRPr="00DF6DBE">
                <w:t xml:space="preserve"> </w:t>
              </w:r>
              <w:hyperlink r:id="rId10" w:history="1">
                <w:r w:rsidR="006478D9" w:rsidRPr="00DF6DBE">
                  <w:rPr>
                    <w:rStyle w:val="Hyperlink"/>
                    <w:i/>
                    <w:iCs/>
                  </w:rPr>
                  <w:t>Документ CWG-FHR-16/26</w:t>
                </w:r>
              </w:hyperlink>
              <w:r w:rsidR="006478D9" w:rsidRPr="00DF6DBE">
                <w:rPr>
                  <w:i/>
                  <w:iCs/>
                </w:rPr>
                <w:t>;</w:t>
              </w:r>
              <w:r w:rsidR="006478D9" w:rsidRPr="00DF6DBE">
                <w:t xml:space="preserve"> </w:t>
              </w:r>
              <w:hyperlink r:id="rId11" w:history="1">
                <w:r w:rsidR="006478D9" w:rsidRPr="00DF6DBE">
                  <w:rPr>
                    <w:rStyle w:val="Hyperlink"/>
                    <w:i/>
                    <w:iCs/>
                  </w:rPr>
                  <w:t>Документ CWG-FHR-17/24</w:t>
                </w:r>
              </w:hyperlink>
              <w:r w:rsidR="006478D9" w:rsidRPr="00DF6DBE">
                <w:rPr>
                  <w:i/>
                  <w:iCs/>
                  <w:u w:val="single"/>
                </w:rPr>
                <w:t>;</w:t>
              </w:r>
              <w:r w:rsidR="006478D9" w:rsidRPr="00DF6DBE">
                <w:t xml:space="preserve"> </w:t>
              </w:r>
              <w:hyperlink r:id="rId12" w:history="1">
                <w:r w:rsidR="006478D9" w:rsidRPr="00DF6DBE">
                  <w:rPr>
                    <w:rStyle w:val="Hyperlink"/>
                  </w:rPr>
                  <w:t>Документ</w:t>
                </w:r>
                <w:r w:rsidR="006478D9" w:rsidRPr="00DF6DBE">
                  <w:rPr>
                    <w:rStyle w:val="Hyperlink"/>
                    <w:i/>
                    <w:iCs/>
                  </w:rPr>
                  <w:t xml:space="preserve"> C24/61</w:t>
                </w:r>
              </w:hyperlink>
              <w:r w:rsidR="006478D9" w:rsidRPr="00DF6DBE">
                <w:rPr>
                  <w:i/>
                  <w:iCs/>
                </w:rPr>
                <w:t>;</w:t>
              </w:r>
              <w:r w:rsidR="006478D9" w:rsidRPr="00DF6DBE">
                <w:t xml:space="preserve"> </w:t>
              </w:r>
              <w:hyperlink r:id="rId13" w:history="1">
                <w:r w:rsidR="006478D9" w:rsidRPr="00DF6DBE">
                  <w:rPr>
                    <w:rStyle w:val="Hyperlink"/>
                    <w:i/>
                    <w:iCs/>
                  </w:rPr>
                  <w:t>Документ C24/INF/7</w:t>
                </w:r>
              </w:hyperlink>
            </w:hyperlink>
          </w:p>
        </w:tc>
      </w:tr>
      <w:bookmarkEnd w:id="2"/>
      <w:bookmarkEnd w:id="6"/>
    </w:tbl>
    <w:p w14:paraId="6EB9976D" w14:textId="77777777" w:rsidR="00796BD3" w:rsidRPr="00DF6DBE" w:rsidRDefault="00796BD3" w:rsidP="00796BD3"/>
    <w:p w14:paraId="60F31B98" w14:textId="77777777" w:rsidR="00165D06" w:rsidRPr="00DF6DBE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DF6DBE">
        <w:br w:type="page"/>
      </w:r>
    </w:p>
    <w:p w14:paraId="14460DC0" w14:textId="77777777" w:rsidR="006478D9" w:rsidRPr="00DF6DBE" w:rsidRDefault="006478D9" w:rsidP="006478D9">
      <w:pPr>
        <w:pStyle w:val="Headingb"/>
      </w:pPr>
      <w:r w:rsidRPr="00DF6DBE">
        <w:rPr>
          <w:bCs/>
        </w:rPr>
        <w:lastRenderedPageBreak/>
        <w:t>Введение</w:t>
      </w:r>
    </w:p>
    <w:p w14:paraId="5E8A36DF" w14:textId="77777777" w:rsidR="006478D9" w:rsidRPr="00DF6DBE" w:rsidRDefault="006478D9" w:rsidP="006478D9">
      <w:bookmarkStart w:id="7" w:name="_Hlk165876649"/>
      <w:r w:rsidRPr="00DF6DBE">
        <w:t>В Резолюции 167 (Пересм. Бухарест, 2022 г.) Полномочной конференции содержится, среди прочего, решение о том, чтобы Союз продолжил изучение воздействия дистанционного участия на существующие правила процедуры, особенно в части принятия решений на собраниях различных типов.</w:t>
      </w:r>
    </w:p>
    <w:p w14:paraId="7767E4B9" w14:textId="77777777" w:rsidR="006478D9" w:rsidRPr="00DF6DBE" w:rsidRDefault="006478D9" w:rsidP="006478D9">
      <w:pPr>
        <w:rPr>
          <w:i/>
          <w:iCs/>
        </w:rPr>
      </w:pPr>
      <w:r w:rsidRPr="00DF6DBE">
        <w:t>В документе признается необходимость определения допустимых ролей, прав и процедур в отношении участия и принятия решений в рамках полностью виртуальных собраний и очных собраний с дистанционным участием.</w:t>
      </w:r>
    </w:p>
    <w:p w14:paraId="67BE73A2" w14:textId="77777777" w:rsidR="006478D9" w:rsidRPr="00DF6DBE" w:rsidRDefault="006478D9" w:rsidP="006478D9">
      <w:r w:rsidRPr="00DF6DBE">
        <w:t>Кроме того, в Приложении 1 к Резолюции предлагается установить общие руководящие принципы высокого уровня в отношении полностью виртуальных собраний и очных собраний с дистанционным участием, включая, среди прочего, права разных категорий членов, участвующих дистанционно, в отношении принятия решений на собраниях разных типов.</w:t>
      </w:r>
    </w:p>
    <w:bookmarkEnd w:id="7"/>
    <w:p w14:paraId="1066F362" w14:textId="77777777" w:rsidR="006478D9" w:rsidRPr="00DF6DBE" w:rsidRDefault="006478D9" w:rsidP="006478D9">
      <w:pPr>
        <w:pStyle w:val="Headingb"/>
      </w:pPr>
      <w:r w:rsidRPr="00DF6DBE">
        <w:rPr>
          <w:bCs/>
        </w:rPr>
        <w:t>Базовая информация</w:t>
      </w:r>
    </w:p>
    <w:p w14:paraId="5893AECC" w14:textId="77777777" w:rsidR="006478D9" w:rsidRPr="00DF6DBE" w:rsidRDefault="006478D9" w:rsidP="006478D9">
      <w:r w:rsidRPr="00DF6DBE">
        <w:t>Совет 2023 года пришел к выводу о том, что дистанционное участие является чрезвычайно ценным инструментом для Государств-Членов, и поручил Генеральному секретарю подготовить дорожную карту согласования и развития технических средств и возможностей для организации и проведения в полном объеме виртуальных и очных собраний с дистанционным участием с использованием электронных средств для собраний Союза, которая должна быть представлена на сессии Совета 2024 года.</w:t>
      </w:r>
    </w:p>
    <w:p w14:paraId="34A5AACA" w14:textId="3A3F5862" w:rsidR="006478D9" w:rsidRPr="00DF6DBE" w:rsidRDefault="006478D9" w:rsidP="006478D9">
      <w:r w:rsidRPr="00DF6DBE">
        <w:t>На 16-м собрании Рабочей группы Совета по финансовым и людским ресурсам (РГС-ФЛР), состоявшемся в октябре 2023 года, администрация Мексики отметила, что виртуальный режим позволяет участвовать большему число членов, и вновь подчеркнула важность этого формата участия. На собрании было принято решение разработать проект руководящих указаний для полностью виртуальных собраний и очных собраний с дистанционным участием (</w:t>
      </w:r>
      <w:hyperlink r:id="rId14" w:history="1">
        <w:r w:rsidRPr="00DF6DBE">
          <w:rPr>
            <w:rStyle w:val="Hyperlink"/>
          </w:rPr>
          <w:t>CWG</w:t>
        </w:r>
        <w:r w:rsidR="0046772B" w:rsidRPr="00DF6DBE">
          <w:rPr>
            <w:rStyle w:val="Hyperlink"/>
          </w:rPr>
          <w:noBreakHyphen/>
        </w:r>
        <w:r w:rsidRPr="00DF6DBE">
          <w:rPr>
            <w:rStyle w:val="Hyperlink"/>
          </w:rPr>
          <w:t>FHR</w:t>
        </w:r>
        <w:r w:rsidR="0046772B" w:rsidRPr="00DF6DBE">
          <w:rPr>
            <w:rStyle w:val="Hyperlink"/>
          </w:rPr>
          <w:noBreakHyphen/>
        </w:r>
        <w:r w:rsidRPr="00DF6DBE">
          <w:rPr>
            <w:rStyle w:val="Hyperlink"/>
          </w:rPr>
          <w:t>16/26</w:t>
        </w:r>
      </w:hyperlink>
      <w:r w:rsidRPr="00DF6DBE">
        <w:t>). Кроме того, на 17-м собрании РГС-ФЛР в феврале 2024 года делегаты подчеркнули необходимость уточнения прав дистанционных участников и важность учета затрат Государств-Членов, участвующих в собраниях МСЭ очно (</w:t>
      </w:r>
      <w:hyperlink r:id="rId15" w:history="1">
        <w:r w:rsidRPr="00DF6DBE">
          <w:rPr>
            <w:rStyle w:val="Hyperlink"/>
          </w:rPr>
          <w:t>CWG-FHR-17/24</w:t>
        </w:r>
      </w:hyperlink>
      <w:r w:rsidRPr="00DF6DBE">
        <w:t>).</w:t>
      </w:r>
    </w:p>
    <w:p w14:paraId="5295E9B0" w14:textId="77777777" w:rsidR="006478D9" w:rsidRPr="00DF6DBE" w:rsidRDefault="006478D9" w:rsidP="006478D9">
      <w:r w:rsidRPr="00DF6DBE">
        <w:t>В связи с этим РГС-ФЛР обратилась к секретариату с просьбой связаться с другими организациями системы Организации Объединенных Наций и установить, каким образом они управляют правами дистанционных участников при принятии решений или на собраниях, имеющих обязательную юридическую силу. Секретариату также поступила просьба представить сессии Совета 2024 года отчет по проекту процедурных и правовых руководящих указаний по управлению виртуальными собраниями и очными собраниями с дистанционным участием, в которых охватывались бы юридические права дистанционных участников и дистанционных председателей.</w:t>
      </w:r>
    </w:p>
    <w:p w14:paraId="5C32EAC3" w14:textId="77777777" w:rsidR="006478D9" w:rsidRPr="00DF6DBE" w:rsidRDefault="006478D9" w:rsidP="006478D9">
      <w:pPr>
        <w:pStyle w:val="Headingb"/>
      </w:pPr>
      <w:r w:rsidRPr="00DF6DBE">
        <w:rPr>
          <w:bCs/>
        </w:rPr>
        <w:t>Контекст</w:t>
      </w:r>
    </w:p>
    <w:p w14:paraId="28653546" w14:textId="6C6F08B6" w:rsidR="006478D9" w:rsidRPr="00DF6DBE" w:rsidRDefault="006478D9" w:rsidP="006478D9">
      <w:r w:rsidRPr="00DF6DBE">
        <w:t xml:space="preserve">Учитывая финансовые затраты Союза на проведение виртуальных и очных собраний с дистанционным участием, которые составляют, согласно Документу </w:t>
      </w:r>
      <w:hyperlink r:id="rId16" w:history="1">
        <w:proofErr w:type="spellStart"/>
        <w:r w:rsidRPr="00DF6DBE">
          <w:rPr>
            <w:rStyle w:val="Hyperlink"/>
          </w:rPr>
          <w:t>PP</w:t>
        </w:r>
        <w:proofErr w:type="spellEnd"/>
        <w:r w:rsidRPr="00DF6DBE">
          <w:rPr>
            <w:rStyle w:val="Hyperlink"/>
          </w:rPr>
          <w:t>-22/64</w:t>
        </w:r>
      </w:hyperlink>
      <w:r w:rsidRPr="00DF6DBE">
        <w:t>, 855</w:t>
      </w:r>
      <w:r w:rsidR="0046772B" w:rsidRPr="00DF6DBE">
        <w:t> </w:t>
      </w:r>
      <w:r w:rsidRPr="00DF6DBE">
        <w:t>000</w:t>
      </w:r>
      <w:r w:rsidR="0046772B" w:rsidRPr="00DF6DBE">
        <w:t> </w:t>
      </w:r>
      <w:r w:rsidRPr="00DF6DBE">
        <w:t>швейцарских франков в год и капитальные вложения в размере 1</w:t>
      </w:r>
      <w:r w:rsidR="0046772B" w:rsidRPr="00DF6DBE">
        <w:t> </w:t>
      </w:r>
      <w:r w:rsidRPr="00DF6DBE">
        <w:t>000</w:t>
      </w:r>
      <w:r w:rsidR="0046772B" w:rsidRPr="00DF6DBE">
        <w:t> </w:t>
      </w:r>
      <w:r w:rsidRPr="00DF6DBE">
        <w:t>000</w:t>
      </w:r>
      <w:r w:rsidR="0046772B" w:rsidRPr="00DF6DBE">
        <w:t> </w:t>
      </w:r>
      <w:r w:rsidRPr="00DF6DBE">
        <w:t>швейцарских франков каждые пять лет, а также непростую бюджетную ситуацию Союза, администрация Мексики считает для МСЭ важным разработать принципы высокого уровня для проведения полностью виртуальных собраний и очных собраний с дистанционным участием.</w:t>
      </w:r>
    </w:p>
    <w:p w14:paraId="4DB990A0" w14:textId="77777777" w:rsidR="006478D9" w:rsidRPr="00DF6DBE" w:rsidRDefault="006478D9" w:rsidP="006478D9">
      <w:r w:rsidRPr="00DF6DBE">
        <w:lastRenderedPageBreak/>
        <w:t>Важно напомнить, что развивающиеся страны</w:t>
      </w:r>
      <w:r w:rsidRPr="00DF6DBE">
        <w:rPr>
          <w:rStyle w:val="FootnoteReference"/>
        </w:rPr>
        <w:footnoteReference w:id="1"/>
      </w:r>
      <w:r w:rsidRPr="00DF6DBE">
        <w:t xml:space="preserve"> сталкиваются с финансовыми препятствиями для очного участия в собраниях трех Секторов Союза, в то время как виртуальное участие позволяет им следить за ходом работы Союза, не неся значительных затрат. Кроме того, участие широкого большинства Членов в процессе принятия решений способствовало бы созданию благоприятной среды для инноваций и открытому для всех и устойчивому технологическому развитию на глобальном уровне.</w:t>
      </w:r>
    </w:p>
    <w:p w14:paraId="62EE2DED" w14:textId="1A63D85B" w:rsidR="006478D9" w:rsidRPr="00DF6DBE" w:rsidRDefault="006478D9" w:rsidP="006478D9">
      <w:r w:rsidRPr="00DF6DBE">
        <w:t>Хотя ранее Советник МСЭ по правовым вопросам пояснил, что важным принципом Резолюции</w:t>
      </w:r>
      <w:r w:rsidR="0046772B" w:rsidRPr="00DF6DBE">
        <w:t> </w:t>
      </w:r>
      <w:r w:rsidRPr="00DF6DBE">
        <w:t xml:space="preserve">167 является то, что решения принимаются делегатами, присутствующими в зале заседаний, поэтому дистанционным участникам не разрешается участвовать в процессе принятия решений, важно помнить об анализе, представленном Генеральным секретариатом в Документе </w:t>
      </w:r>
      <w:hyperlink r:id="rId17" w:history="1">
        <w:proofErr w:type="spellStart"/>
        <w:r w:rsidRPr="00DF6DBE">
          <w:rPr>
            <w:rStyle w:val="Hyperlink"/>
          </w:rPr>
          <w:t>C24</w:t>
        </w:r>
        <w:proofErr w:type="spellEnd"/>
        <w:r w:rsidRPr="00DF6DBE">
          <w:rPr>
            <w:rStyle w:val="Hyperlink"/>
          </w:rPr>
          <w:t>/61</w:t>
        </w:r>
      </w:hyperlink>
      <w:r w:rsidRPr="00DF6DBE">
        <w:t>, и содержании Приложения 1 к Резолюции 167, где признается необходимость разработки руководящих указаний высокого уровня, которые охватывали бы права членов, участвующих дистанционно, в отношении принятия решений на собраниях различных типов.</w:t>
      </w:r>
    </w:p>
    <w:p w14:paraId="6664DB33" w14:textId="77777777" w:rsidR="006478D9" w:rsidRPr="00DF6DBE" w:rsidRDefault="006478D9" w:rsidP="006478D9">
      <w:pPr>
        <w:pStyle w:val="Headingb"/>
      </w:pPr>
      <w:r w:rsidRPr="00DF6DBE">
        <w:rPr>
          <w:bCs/>
        </w:rPr>
        <w:t>Предложение</w:t>
      </w:r>
    </w:p>
    <w:p w14:paraId="463A2844" w14:textId="77777777" w:rsidR="006478D9" w:rsidRPr="00DF6DBE" w:rsidRDefault="006478D9" w:rsidP="006478D9">
      <w:r w:rsidRPr="00DF6DBE">
        <w:t>Администрация Мексики выражает Генеральному секретариату признательность за представленную информацию, в которой отражена текущая ситуация в Союзе с выполнением Резолюции 167. Она также высоко оценивает работу секретариата по представлению результатов проведенных им консультаций (</w:t>
      </w:r>
      <w:proofErr w:type="spellStart"/>
      <w:r w:rsidR="00E41B39" w:rsidRPr="00DF6DBE">
        <w:fldChar w:fldCharType="begin"/>
      </w:r>
      <w:r w:rsidR="00E41B39" w:rsidRPr="00DF6DBE">
        <w:instrText>HYPERLINK "https://www.itu.int/md/S24-CL-INF-0007/en"</w:instrText>
      </w:r>
      <w:r w:rsidR="00E41B39" w:rsidRPr="00DF6DBE">
        <w:fldChar w:fldCharType="separate"/>
      </w:r>
      <w:r w:rsidRPr="00DF6DBE">
        <w:rPr>
          <w:rStyle w:val="Hyperlink"/>
        </w:rPr>
        <w:t>C24</w:t>
      </w:r>
      <w:proofErr w:type="spellEnd"/>
      <w:r w:rsidRPr="00DF6DBE">
        <w:rPr>
          <w:rStyle w:val="Hyperlink"/>
        </w:rPr>
        <w:t>/INF/7</w:t>
      </w:r>
      <w:r w:rsidR="00E41B39" w:rsidRPr="00DF6DBE">
        <w:rPr>
          <w:rStyle w:val="Hyperlink"/>
        </w:rPr>
        <w:fldChar w:fldCharType="end"/>
      </w:r>
      <w:r w:rsidRPr="00DF6DBE">
        <w:t>), которые свидетельствуют о том, что различные организации системы Организации Объединенных Наций обеспечивают равные права для очных и виртуальных участников, включая право голосовать, поднимать вопросы по порядку ведения собрания, выступать с заявлениями и представлять документы в соответствующих случаях.</w:t>
      </w:r>
    </w:p>
    <w:p w14:paraId="40279265" w14:textId="77777777" w:rsidR="006478D9" w:rsidRPr="00DF6DBE" w:rsidRDefault="006478D9" w:rsidP="006478D9">
      <w:r w:rsidRPr="00DF6DBE">
        <w:t>В то же время администрация Мексики считает важным продолжить изучение этого вопроса с целью укрепления и расширения прав виртуальных участников в процессе принятия решений Союза.</w:t>
      </w:r>
    </w:p>
    <w:p w14:paraId="4927F06D" w14:textId="77777777" w:rsidR="006478D9" w:rsidRPr="00DF6DBE" w:rsidRDefault="006478D9" w:rsidP="006478D9">
      <w:r w:rsidRPr="00DF6DBE">
        <w:t>В связи с этим она предлагает следующее:</w:t>
      </w:r>
    </w:p>
    <w:p w14:paraId="1C3F673B" w14:textId="77777777" w:rsidR="006478D9" w:rsidRPr="00DF6DBE" w:rsidRDefault="006478D9" w:rsidP="006478D9">
      <w:pPr>
        <w:pStyle w:val="enumlev1"/>
      </w:pPr>
      <w:r w:rsidRPr="00DF6DBE">
        <w:t>1)</w:t>
      </w:r>
      <w:r w:rsidRPr="00DF6DBE">
        <w:tab/>
        <w:t>Администрация Мексики поддерживает предложение секретариата МСЭ о том, чтобы Совет МСЭ взял на себя ответственность за определение условий проведения всех конференций, ассамблей и сессий Совета начиная с 2025 года.</w:t>
      </w:r>
    </w:p>
    <w:p w14:paraId="47680FE9" w14:textId="77777777" w:rsidR="006478D9" w:rsidRPr="00DF6DBE" w:rsidRDefault="006478D9" w:rsidP="006478D9">
      <w:pPr>
        <w:pStyle w:val="enumlev1"/>
      </w:pPr>
      <w:r w:rsidRPr="00DF6DBE">
        <w:tab/>
        <w:t>В связи с этим администрация Мексики предлагает создать группу, работающую по переписке, для разработки руководящих указаний высокого уровня по управлению полностью виртуальными собраниями и очными собраниями с дистанционным участием, принимая во внимание Приложение 1 к Резолюции 167, включая, среди прочего, права членов, участвующих дистанционно.</w:t>
      </w:r>
    </w:p>
    <w:p w14:paraId="7E373070" w14:textId="774A3EC4" w:rsidR="006478D9" w:rsidRPr="00DF6DBE" w:rsidRDefault="006478D9" w:rsidP="006478D9">
      <w:pPr>
        <w:pStyle w:val="enumlev1"/>
      </w:pPr>
      <w:r w:rsidRPr="00DF6DBE">
        <w:t>2)</w:t>
      </w:r>
      <w:r w:rsidRPr="00DF6DBE">
        <w:tab/>
        <w:t>По мнению администрации Мексики, следует определить круг ведения группы, работающей по переписке, с тем чтобы направлять ее деятельность по разработке таких руководящих указаний. В этих целях администрация представила в Приложении к настоящему документу предложение для рассмотрения Членами МСЭ.</w:t>
      </w:r>
    </w:p>
    <w:p w14:paraId="264A2DE1" w14:textId="77777777" w:rsidR="006478D9" w:rsidRPr="00DF6DBE" w:rsidRDefault="006478D9" w:rsidP="006478D9">
      <w:pPr>
        <w:pStyle w:val="enumlev1"/>
      </w:pPr>
      <w:r w:rsidRPr="00DF6DBE">
        <w:t>3)</w:t>
      </w:r>
      <w:r w:rsidRPr="00DF6DBE">
        <w:tab/>
        <w:t>Секретариату следует представить анализ очных собраний с дистанционным участием, проводимых тремя Секторами Союза, и указать, в каком случае возможно укрепить права дистанционных участников в процессе принятия решений.</w:t>
      </w:r>
    </w:p>
    <w:p w14:paraId="06CEC784" w14:textId="7347AFF5" w:rsidR="006478D9" w:rsidRPr="00DF6DBE" w:rsidRDefault="006478D9" w:rsidP="006478D9">
      <w:pPr>
        <w:pStyle w:val="enumlev1"/>
      </w:pPr>
      <w:r w:rsidRPr="00DF6DBE">
        <w:lastRenderedPageBreak/>
        <w:t>4)</w:t>
      </w:r>
      <w:r w:rsidRPr="00DF6DBE">
        <w:tab/>
        <w:t>Секретариату следует продолжить изучение воздействия дистанционного участия на существующие правила процедуры и другие соответствующие документы Союза, с тем чтобы усовершенствовать процесс принятия решений на очных собраниях с</w:t>
      </w:r>
      <w:r w:rsidR="0046772B" w:rsidRPr="00DF6DBE">
        <w:t> </w:t>
      </w:r>
      <w:r w:rsidRPr="00DF6DBE">
        <w:t>дистанционным участием в рамках МСЭ.</w:t>
      </w:r>
    </w:p>
    <w:p w14:paraId="5FF4D198" w14:textId="77777777" w:rsidR="006478D9" w:rsidRPr="00DF6DBE" w:rsidRDefault="006478D9" w:rsidP="0046772B">
      <w:pPr>
        <w:spacing w:before="1080"/>
      </w:pPr>
      <w:r w:rsidRPr="00DF6DBE">
        <w:rPr>
          <w:b/>
          <w:bCs/>
        </w:rPr>
        <w:t>Приложение</w:t>
      </w:r>
      <w:r w:rsidRPr="00DF6DBE">
        <w:t>: 1</w:t>
      </w:r>
    </w:p>
    <w:p w14:paraId="69767EBE" w14:textId="29A30AD1" w:rsidR="006478D9" w:rsidRPr="00DF6DBE" w:rsidRDefault="006478D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DF6DBE">
        <w:br w:type="page"/>
      </w:r>
    </w:p>
    <w:p w14:paraId="7081A79A" w14:textId="77777777" w:rsidR="006478D9" w:rsidRPr="00DF6DBE" w:rsidRDefault="006478D9" w:rsidP="006478D9">
      <w:pPr>
        <w:pStyle w:val="AnnexNo"/>
      </w:pPr>
      <w:r w:rsidRPr="00DF6DBE">
        <w:lastRenderedPageBreak/>
        <w:t>ПРИЛОЖЕНИЕ</w:t>
      </w:r>
    </w:p>
    <w:p w14:paraId="3907A85F" w14:textId="77333829" w:rsidR="006478D9" w:rsidRPr="00DF6DBE" w:rsidRDefault="006478D9" w:rsidP="006478D9">
      <w:pPr>
        <w:pStyle w:val="Annextitle"/>
      </w:pPr>
      <w:r w:rsidRPr="00DF6DBE">
        <w:rPr>
          <w:bCs/>
        </w:rPr>
        <w:t>Предлагаемый круг ведения группы, работающей по переписке, по</w:t>
      </w:r>
      <w:r w:rsidR="0046772B" w:rsidRPr="00DF6DBE">
        <w:rPr>
          <w:bCs/>
        </w:rPr>
        <w:t> </w:t>
      </w:r>
      <w:r w:rsidRPr="00DF6DBE">
        <w:rPr>
          <w:bCs/>
        </w:rPr>
        <w:t>руководству и управлению собраниями Союза</w:t>
      </w:r>
    </w:p>
    <w:p w14:paraId="75D30DDD" w14:textId="20BC195B" w:rsidR="006478D9" w:rsidRPr="00DF6DBE" w:rsidRDefault="006478D9" w:rsidP="006478D9">
      <w:pPr>
        <w:pStyle w:val="enumlev1"/>
      </w:pPr>
      <w:r w:rsidRPr="00DF6DBE">
        <w:t>1)</w:t>
      </w:r>
      <w:r w:rsidRPr="00DF6DBE">
        <w:tab/>
        <w:t xml:space="preserve">Принимая во внимание пункт 2 раздела </w:t>
      </w:r>
      <w:r w:rsidRPr="00DF6DBE">
        <w:rPr>
          <w:i/>
          <w:iCs/>
        </w:rPr>
        <w:t xml:space="preserve">решает </w:t>
      </w:r>
      <w:r w:rsidRPr="00DF6DBE">
        <w:t>Резолюции 167 (Пересм. Бухарест, 2022</w:t>
      </w:r>
      <w:r w:rsidR="0046772B" w:rsidRPr="00DF6DBE">
        <w:t> </w:t>
      </w:r>
      <w:r w:rsidRPr="00DF6DBE">
        <w:t>г.) Полномочной конференции и возложенную на Совет МСЭ ответственность, Советники соглашаются с созданием группы, работающей по переписке, в составе представителей Государств-Членов, заинтересованных в участии в разработке руководящих указаний высокого уровня по руководству и управлению следующими собраниями:</w:t>
      </w:r>
    </w:p>
    <w:p w14:paraId="3CC7D0D2" w14:textId="7E556A31" w:rsidR="006478D9" w:rsidRPr="00DF6DBE" w:rsidRDefault="006478D9" w:rsidP="0046772B">
      <w:pPr>
        <w:pStyle w:val="enumlev2"/>
        <w:tabs>
          <w:tab w:val="clear" w:pos="1191"/>
          <w:tab w:val="clear" w:pos="1588"/>
        </w:tabs>
        <w:ind w:left="1418" w:hanging="624"/>
      </w:pPr>
      <w:r w:rsidRPr="00DF6DBE">
        <w:t>–</w:t>
      </w:r>
      <w:r w:rsidRPr="00DF6DBE">
        <w:tab/>
        <w:t>полностью виртуальные собрания;</w:t>
      </w:r>
    </w:p>
    <w:p w14:paraId="58A2D3BE" w14:textId="2DD7D2F6" w:rsidR="006478D9" w:rsidRPr="00DF6DBE" w:rsidRDefault="006478D9" w:rsidP="0046772B">
      <w:pPr>
        <w:pStyle w:val="enumlev2"/>
        <w:tabs>
          <w:tab w:val="clear" w:pos="1191"/>
          <w:tab w:val="clear" w:pos="1588"/>
        </w:tabs>
        <w:ind w:left="1418" w:hanging="624"/>
      </w:pPr>
      <w:r w:rsidRPr="00DF6DBE">
        <w:t>–</w:t>
      </w:r>
      <w:r w:rsidRPr="00DF6DBE">
        <w:tab/>
        <w:t>очные собрания с дистанционным участием.</w:t>
      </w:r>
    </w:p>
    <w:p w14:paraId="79A1F67D" w14:textId="77777777" w:rsidR="006478D9" w:rsidRPr="00DF6DBE" w:rsidRDefault="006478D9" w:rsidP="006478D9">
      <w:pPr>
        <w:pStyle w:val="enumlev1"/>
      </w:pPr>
      <w:r w:rsidRPr="00DF6DBE">
        <w:t>2)</w:t>
      </w:r>
      <w:r w:rsidRPr="00DF6DBE">
        <w:tab/>
        <w:t>В соответствии с Приложением 1 к Резолюции 167, руководящие указания высокого уровня должны содержать следующие элементы:</w:t>
      </w:r>
    </w:p>
    <w:p w14:paraId="557A0AC7" w14:textId="77777777" w:rsidR="006478D9" w:rsidRPr="00DF6DBE" w:rsidRDefault="006478D9" w:rsidP="0046772B">
      <w:pPr>
        <w:pStyle w:val="enumlev2"/>
        <w:tabs>
          <w:tab w:val="clear" w:pos="1191"/>
          <w:tab w:val="clear" w:pos="1588"/>
        </w:tabs>
        <w:ind w:left="1418" w:hanging="624"/>
      </w:pPr>
      <w:r w:rsidRPr="00DF6DBE">
        <w:t>1)</w:t>
      </w:r>
      <w:r w:rsidRPr="00DF6DBE">
        <w:tab/>
      </w:r>
      <w:r w:rsidRPr="00DF6DBE">
        <w:rPr>
          <w:u w:val="single"/>
        </w:rPr>
        <w:t>Права членов, участвующих в дистанционном формате, в процессе принятия решений на собраниях МСЭ различных типов</w:t>
      </w:r>
      <w:r w:rsidRPr="00DF6DBE">
        <w:t>: определение прав дистанционных участников с точки зрения принятия решений (право голоса, участие, порядок ведения и т. д.) на смешанных собраниях Союза.</w:t>
      </w:r>
    </w:p>
    <w:p w14:paraId="45FC4763" w14:textId="77777777" w:rsidR="006478D9" w:rsidRPr="00DF6DBE" w:rsidRDefault="006478D9" w:rsidP="0046772B">
      <w:pPr>
        <w:pStyle w:val="enumlev2"/>
        <w:tabs>
          <w:tab w:val="clear" w:pos="1191"/>
          <w:tab w:val="clear" w:pos="1588"/>
        </w:tabs>
        <w:ind w:left="1418" w:hanging="624"/>
      </w:pPr>
      <w:r w:rsidRPr="00DF6DBE">
        <w:t>2)</w:t>
      </w:r>
      <w:r w:rsidRPr="00DF6DBE">
        <w:tab/>
      </w:r>
      <w:r w:rsidRPr="00DF6DBE">
        <w:rPr>
          <w:u w:val="single"/>
        </w:rPr>
        <w:t>Услуги устного перевода</w:t>
      </w:r>
      <w:r w:rsidRPr="00DF6DBE">
        <w:t>: определение мероприятий, для которых должен обеспечиваться устный перевод на шесть официальных языков Союза, принимая во внимание конкретные потребности каждого мероприятия/собрания и бюджет Союза.</w:t>
      </w:r>
    </w:p>
    <w:p w14:paraId="7A4B8BA9" w14:textId="77777777" w:rsidR="006478D9" w:rsidRPr="00DF6DBE" w:rsidRDefault="006478D9" w:rsidP="0046772B">
      <w:pPr>
        <w:pStyle w:val="enumlev2"/>
        <w:tabs>
          <w:tab w:val="clear" w:pos="1191"/>
          <w:tab w:val="clear" w:pos="1588"/>
        </w:tabs>
        <w:ind w:left="1418" w:hanging="624"/>
      </w:pPr>
      <w:r w:rsidRPr="00DF6DBE">
        <w:t>3)</w:t>
      </w:r>
      <w:r w:rsidRPr="00DF6DBE">
        <w:tab/>
      </w:r>
      <w:r w:rsidRPr="00DF6DBE">
        <w:rPr>
          <w:u w:val="single"/>
        </w:rPr>
        <w:t>Технологическая нейтральность</w:t>
      </w:r>
      <w:r w:rsidRPr="00DF6DBE">
        <w:t>: определение платформ, которые будут использоваться для проведения собраний Союза в целях выполнения задач, поставленных перед собраниями, а также обеспечения безопасности и экономической целесообразности последних.</w:t>
      </w:r>
    </w:p>
    <w:p w14:paraId="3F39C569" w14:textId="77777777" w:rsidR="006478D9" w:rsidRPr="00DF6DBE" w:rsidRDefault="006478D9" w:rsidP="0046772B">
      <w:pPr>
        <w:pStyle w:val="enumlev2"/>
        <w:tabs>
          <w:tab w:val="clear" w:pos="1191"/>
          <w:tab w:val="clear" w:pos="1588"/>
        </w:tabs>
        <w:ind w:left="1418" w:hanging="624"/>
      </w:pPr>
      <w:r w:rsidRPr="00DF6DBE">
        <w:t>4)</w:t>
      </w:r>
      <w:r w:rsidRPr="00DF6DBE">
        <w:tab/>
      </w:r>
      <w:r w:rsidRPr="00DF6DBE">
        <w:rPr>
          <w:u w:val="single"/>
        </w:rPr>
        <w:t>Уведомление о формате участия в различных собраниях Союза</w:t>
      </w:r>
      <w:r w:rsidRPr="00DF6DBE">
        <w:t>: определение мер по совершенствованию процесса уведомления о типах различных собраний МСЭ, с тем чтобы у членов имелась необходимая информация для принятия обоснованных решений о своем участии.</w:t>
      </w:r>
    </w:p>
    <w:p w14:paraId="26572018" w14:textId="4BC4F644" w:rsidR="006478D9" w:rsidRPr="00DF6DBE" w:rsidRDefault="006478D9" w:rsidP="0046772B">
      <w:pPr>
        <w:pStyle w:val="enumlev2"/>
        <w:tabs>
          <w:tab w:val="clear" w:pos="1191"/>
          <w:tab w:val="clear" w:pos="1588"/>
        </w:tabs>
        <w:ind w:left="1418" w:hanging="624"/>
      </w:pPr>
      <w:r w:rsidRPr="00DF6DBE">
        <w:t>5)</w:t>
      </w:r>
      <w:r w:rsidRPr="00DF6DBE">
        <w:tab/>
      </w:r>
      <w:r w:rsidRPr="00DF6DBE">
        <w:rPr>
          <w:u w:val="single"/>
        </w:rPr>
        <w:t>Возможность участия в обсуждениях в офлайновом режиме</w:t>
      </w:r>
      <w:r w:rsidRPr="00DF6DBE">
        <w:t>: определение собраний, в рамках которых виртуальные участники могут участвовать в обсуждениях в офлайновом режиме, а также элементов для определения такого участия, например технические возможности принимающей страны (в</w:t>
      </w:r>
      <w:r w:rsidR="0046772B" w:rsidRPr="00DF6DBE">
        <w:t> </w:t>
      </w:r>
      <w:r w:rsidRPr="00DF6DBE">
        <w:t>зависимости от случая), наличие людских/финансовых ресурсов, темы для рассмотрения и т. д.</w:t>
      </w:r>
    </w:p>
    <w:p w14:paraId="7776EF1D" w14:textId="45A8B995" w:rsidR="006478D9" w:rsidRPr="00DF6DBE" w:rsidRDefault="006478D9" w:rsidP="0046772B">
      <w:pPr>
        <w:pStyle w:val="enumlev2"/>
        <w:tabs>
          <w:tab w:val="clear" w:pos="1191"/>
          <w:tab w:val="clear" w:pos="1588"/>
        </w:tabs>
        <w:ind w:left="1418" w:hanging="624"/>
      </w:pPr>
      <w:r w:rsidRPr="00DF6DBE">
        <w:t>6)</w:t>
      </w:r>
      <w:r w:rsidRPr="00DF6DBE">
        <w:tab/>
      </w:r>
      <w:r w:rsidRPr="00DF6DBE">
        <w:rPr>
          <w:u w:val="single"/>
        </w:rPr>
        <w:t>Участие лиц с ограниченными возможностями и лиц с особыми потребностями</w:t>
      </w:r>
      <w:r w:rsidRPr="00DF6DBE">
        <w:t>: в Резолюции 175 (Пересм. Бухарест, 2022 г.) Полномочной конференции о</w:t>
      </w:r>
      <w:r w:rsidR="0046772B" w:rsidRPr="00DF6DBE">
        <w:t> </w:t>
      </w:r>
      <w:r w:rsidRPr="00DF6DBE">
        <w:t>доступности средств электросвязи/информационно-коммуникационных технологий для лиц с ограниченными возможностями и лиц с особыми потребностями содержится решение привлекать лиц с ограниченными возможностями и лиц с особыми потребностями к работе МСЭ. Важно будет определить механизмы для обеспечения участия лиц с ограниченными возможностями и лиц с особыми потребностями в различных мероприятиях/собраниях Союза.</w:t>
      </w:r>
    </w:p>
    <w:p w14:paraId="28C026CB" w14:textId="77777777" w:rsidR="006478D9" w:rsidRPr="00DF6DBE" w:rsidRDefault="006478D9" w:rsidP="0046772B">
      <w:pPr>
        <w:pStyle w:val="enumlev2"/>
        <w:keepNext/>
        <w:keepLines/>
        <w:tabs>
          <w:tab w:val="clear" w:pos="1191"/>
          <w:tab w:val="clear" w:pos="1588"/>
        </w:tabs>
        <w:ind w:left="1418" w:hanging="624"/>
      </w:pPr>
      <w:r w:rsidRPr="00DF6DBE">
        <w:lastRenderedPageBreak/>
        <w:t>7)</w:t>
      </w:r>
      <w:r w:rsidRPr="00DF6DBE">
        <w:tab/>
      </w:r>
      <w:r w:rsidRPr="00DF6DBE">
        <w:rPr>
          <w:u w:val="single"/>
        </w:rPr>
        <w:t>Продолжительность и сроки проведения собраний</w:t>
      </w:r>
      <w:r w:rsidRPr="00DF6DBE">
        <w:t>: важно учитывать соответствующие затраты, например услуги устного перевода на собраниях. Поэтому важно определить продолжительность собраний, чтобы оптимизировать ресурсы Союза и учесть разницу в часовых поясах.</w:t>
      </w:r>
    </w:p>
    <w:p w14:paraId="6E9D0BF1" w14:textId="77777777" w:rsidR="006478D9" w:rsidRPr="00DF6DBE" w:rsidRDefault="006478D9" w:rsidP="0046772B">
      <w:pPr>
        <w:pStyle w:val="enumlev2"/>
        <w:tabs>
          <w:tab w:val="clear" w:pos="1191"/>
          <w:tab w:val="clear" w:pos="1588"/>
        </w:tabs>
        <w:ind w:left="1418" w:hanging="624"/>
      </w:pPr>
      <w:r w:rsidRPr="00DF6DBE">
        <w:t>8)</w:t>
      </w:r>
      <w:r w:rsidRPr="00DF6DBE">
        <w:tab/>
      </w:r>
      <w:r w:rsidRPr="00DF6DBE">
        <w:rPr>
          <w:u w:val="single"/>
        </w:rPr>
        <w:t>Подготовка организаторов собраний МСЭ и персонала региональных отделений, в том числе занимающих руководящие должности</w:t>
      </w:r>
      <w:r w:rsidRPr="00DF6DBE">
        <w:t>: определение частоты прохождения обучения в области использования технологических средств и технических инструментов, методов выявления потребностей в обучении и подготовки лиц, занимающих руководящие должности в Союзе.</w:t>
      </w:r>
    </w:p>
    <w:p w14:paraId="19E0005C" w14:textId="7BDF9AD3" w:rsidR="006478D9" w:rsidRPr="00DF6DBE" w:rsidRDefault="006478D9" w:rsidP="0046772B">
      <w:pPr>
        <w:pStyle w:val="enumlev2"/>
        <w:tabs>
          <w:tab w:val="clear" w:pos="1191"/>
          <w:tab w:val="clear" w:pos="1588"/>
        </w:tabs>
        <w:ind w:left="1418" w:hanging="624"/>
      </w:pPr>
      <w:r w:rsidRPr="00DF6DBE">
        <w:t>9)</w:t>
      </w:r>
      <w:r w:rsidRPr="00DF6DBE">
        <w:tab/>
      </w:r>
      <w:r w:rsidRPr="00DF6DBE">
        <w:rPr>
          <w:u w:val="single"/>
        </w:rPr>
        <w:t>Сбор статистических данных о тенденциях в области дистанционного участия во</w:t>
      </w:r>
      <w:r w:rsidR="0046772B" w:rsidRPr="00DF6DBE">
        <w:rPr>
          <w:u w:val="single"/>
        </w:rPr>
        <w:t> </w:t>
      </w:r>
      <w:r w:rsidRPr="00DF6DBE">
        <w:rPr>
          <w:u w:val="single"/>
        </w:rPr>
        <w:t>всех трех Секторах</w:t>
      </w:r>
      <w:r w:rsidRPr="00DF6DBE">
        <w:t>: определение частоты, с которой Генеральный секретариат должен представлять такие данные для оценки необходимости обновления руководящих указаний высокого уровня в соответствии с различными потребностями членов.</w:t>
      </w:r>
    </w:p>
    <w:p w14:paraId="417A7ACD" w14:textId="77777777" w:rsidR="006478D9" w:rsidRPr="00DF6DBE" w:rsidRDefault="006478D9" w:rsidP="006478D9">
      <w:pPr>
        <w:pStyle w:val="enumlev1"/>
      </w:pPr>
      <w:r w:rsidRPr="00DF6DBE">
        <w:t>3)</w:t>
      </w:r>
      <w:r w:rsidRPr="00DF6DBE">
        <w:tab/>
        <w:t>Группе, работающей по переписке, следует представить сессии Совета 2025 года проект руководящих указаний высокого уровня для обсуждения и утверждения Членами в установленном порядке.</w:t>
      </w:r>
    </w:p>
    <w:p w14:paraId="6EE2B7E2" w14:textId="7EB6263E" w:rsidR="00796BD3" w:rsidRPr="00DF6DBE" w:rsidRDefault="006478D9" w:rsidP="00E41B39">
      <w:pPr>
        <w:spacing w:before="480"/>
        <w:jc w:val="center"/>
      </w:pPr>
      <w:r w:rsidRPr="00DF6DBE">
        <w:t>______________</w:t>
      </w:r>
    </w:p>
    <w:sectPr w:rsidR="00796BD3" w:rsidRPr="00DF6DBE" w:rsidSect="00796BD3">
      <w:footerReference w:type="default" r:id="rId18"/>
      <w:headerReference w:type="first" r:id="rId19"/>
      <w:footerReference w:type="first" r:id="rId2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2EA46" w14:textId="77777777" w:rsidR="003C62CC" w:rsidRDefault="003C62CC">
      <w:r>
        <w:separator/>
      </w:r>
    </w:p>
  </w:endnote>
  <w:endnote w:type="continuationSeparator" w:id="0">
    <w:p w14:paraId="5B06B4BE" w14:textId="77777777" w:rsidR="003C62CC" w:rsidRDefault="003C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2C6D419" w14:textId="77777777" w:rsidTr="00E31DCE">
      <w:trPr>
        <w:jc w:val="center"/>
      </w:trPr>
      <w:tc>
        <w:tcPr>
          <w:tcW w:w="1803" w:type="dxa"/>
          <w:vAlign w:val="center"/>
        </w:tcPr>
        <w:p w14:paraId="794BBD74" w14:textId="7944B997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69B0129C" w14:textId="780ABD4A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6478D9">
            <w:rPr>
              <w:bCs/>
            </w:rPr>
            <w:t>97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0C38C5D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159252A8" w14:textId="77777777" w:rsidTr="00E31DCE">
      <w:trPr>
        <w:jc w:val="center"/>
      </w:trPr>
      <w:tc>
        <w:tcPr>
          <w:tcW w:w="1803" w:type="dxa"/>
          <w:vAlign w:val="center"/>
        </w:tcPr>
        <w:p w14:paraId="06743D96" w14:textId="26B22D32" w:rsidR="00672F8A" w:rsidRDefault="00672F8A" w:rsidP="00672F8A">
          <w:pPr>
            <w:pStyle w:val="Header"/>
            <w:jc w:val="left"/>
            <w:rPr>
              <w:noProof/>
            </w:rPr>
          </w:pPr>
          <w:bookmarkStart w:id="13" w:name="_Hlk168057878"/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346B5B17" w14:textId="7ACEDC43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6478D9">
            <w:rPr>
              <w:bCs/>
            </w:rPr>
            <w:t>97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  <w:bookmarkEnd w:id="13"/>
  </w:tbl>
  <w:p w14:paraId="2979AD95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C8ABD" w14:textId="77777777" w:rsidR="003C62CC" w:rsidRDefault="003C62CC">
      <w:r>
        <w:t>____________________</w:t>
      </w:r>
    </w:p>
  </w:footnote>
  <w:footnote w:type="continuationSeparator" w:id="0">
    <w:p w14:paraId="57DCFF35" w14:textId="77777777" w:rsidR="003C62CC" w:rsidRDefault="003C62CC">
      <w:r>
        <w:continuationSeparator/>
      </w:r>
    </w:p>
  </w:footnote>
  <w:footnote w:id="1">
    <w:p w14:paraId="4E19A4D6" w14:textId="7656E328" w:rsidR="006478D9" w:rsidRPr="00273B0F" w:rsidRDefault="006478D9" w:rsidP="006478D9">
      <w:pPr>
        <w:pStyle w:val="FootnoteText"/>
      </w:pPr>
      <w:r>
        <w:rPr>
          <w:rStyle w:val="FootnoteReference"/>
        </w:rPr>
        <w:footnoteRef/>
      </w:r>
      <w:r>
        <w:tab/>
        <w:t>Согласно определению Полномочной конференции, данный термин означает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4424F8E6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78F9456" w14:textId="3C28DEAC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8" w:name="_Hlk133422111"/>
          <w:bookmarkStart w:id="9" w:name="_Hlk168057733"/>
          <w:bookmarkStart w:id="10" w:name="_Hlk168057734"/>
          <w:bookmarkStart w:id="11" w:name="_Hlk168057772"/>
          <w:bookmarkStart w:id="12" w:name="_Hlk168057773"/>
          <w:r>
            <w:rPr>
              <w:noProof/>
            </w:rPr>
            <w:drawing>
              <wp:inline distT="0" distB="0" distL="0" distR="0" wp14:anchorId="604AB095" wp14:editId="25D6E374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A3A6F65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ED072D3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DD1C952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8"/>
  <w:p w14:paraId="596D6C8A" w14:textId="77777777" w:rsidR="00796BD3" w:rsidRDefault="00796BD3" w:rsidP="000E3E8D">
    <w:pPr>
      <w:pStyle w:val="Header"/>
      <w:spacing w:before="12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2FE86" wp14:editId="771B1545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BB7791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  <w:bookmarkEnd w:id="9"/>
    <w:bookmarkEnd w:id="10"/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569B4"/>
    <w:rsid w:val="00080E82"/>
    <w:rsid w:val="000B2DE7"/>
    <w:rsid w:val="000E3E8D"/>
    <w:rsid w:val="000E568E"/>
    <w:rsid w:val="0014734F"/>
    <w:rsid w:val="0015710D"/>
    <w:rsid w:val="00163A32"/>
    <w:rsid w:val="00165D06"/>
    <w:rsid w:val="00192B41"/>
    <w:rsid w:val="001B7B09"/>
    <w:rsid w:val="001C044C"/>
    <w:rsid w:val="001E6719"/>
    <w:rsid w:val="001E7F50"/>
    <w:rsid w:val="00225368"/>
    <w:rsid w:val="00227FF0"/>
    <w:rsid w:val="00291EB6"/>
    <w:rsid w:val="002A5CBF"/>
    <w:rsid w:val="002D2F57"/>
    <w:rsid w:val="002D48C5"/>
    <w:rsid w:val="0033025A"/>
    <w:rsid w:val="003C62CC"/>
    <w:rsid w:val="003F099E"/>
    <w:rsid w:val="003F235E"/>
    <w:rsid w:val="004023E0"/>
    <w:rsid w:val="00403DD8"/>
    <w:rsid w:val="00442515"/>
    <w:rsid w:val="0045686C"/>
    <w:rsid w:val="004646ED"/>
    <w:rsid w:val="0046772B"/>
    <w:rsid w:val="004918C4"/>
    <w:rsid w:val="00497703"/>
    <w:rsid w:val="004A0374"/>
    <w:rsid w:val="004A45B5"/>
    <w:rsid w:val="004D0129"/>
    <w:rsid w:val="004E7720"/>
    <w:rsid w:val="005A64D5"/>
    <w:rsid w:val="005B3DEC"/>
    <w:rsid w:val="00601994"/>
    <w:rsid w:val="00645366"/>
    <w:rsid w:val="006478D9"/>
    <w:rsid w:val="00660449"/>
    <w:rsid w:val="00672F8A"/>
    <w:rsid w:val="006E2D42"/>
    <w:rsid w:val="00703676"/>
    <w:rsid w:val="00707304"/>
    <w:rsid w:val="00732269"/>
    <w:rsid w:val="00762555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437E1"/>
    <w:rsid w:val="00A71773"/>
    <w:rsid w:val="00AE2C85"/>
    <w:rsid w:val="00B12A37"/>
    <w:rsid w:val="00B16A11"/>
    <w:rsid w:val="00B41837"/>
    <w:rsid w:val="00B63EF2"/>
    <w:rsid w:val="00BA7D89"/>
    <w:rsid w:val="00BC0D39"/>
    <w:rsid w:val="00BC7BC0"/>
    <w:rsid w:val="00BD57B7"/>
    <w:rsid w:val="00BE63E2"/>
    <w:rsid w:val="00C85ABF"/>
    <w:rsid w:val="00CD2009"/>
    <w:rsid w:val="00CF629C"/>
    <w:rsid w:val="00D92EEA"/>
    <w:rsid w:val="00DA5D4E"/>
    <w:rsid w:val="00DF6DBE"/>
    <w:rsid w:val="00E176BA"/>
    <w:rsid w:val="00E41B39"/>
    <w:rsid w:val="00E423EC"/>
    <w:rsid w:val="00E55121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7F7DF9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AB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2A5CBF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2-PP-C-0064" TargetMode="External"/><Relationship Id="rId13" Type="http://schemas.openxmlformats.org/officeDocument/2006/relationships/hyperlink" Target="https://www.itu.int/md/S24-CL-INF-0007/en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itu.int/md/S22-PP-C-0064" TargetMode="External"/><Relationship Id="rId12" Type="http://schemas.openxmlformats.org/officeDocument/2006/relationships/hyperlink" Target="https://www.itu.int/md/S24-CL-C-0061/en" TargetMode="External"/><Relationship Id="rId17" Type="http://schemas.openxmlformats.org/officeDocument/2006/relationships/hyperlink" Target="https://www.itu.int/md/S24-CL-C-0061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S22-PP-C-0064/en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4-CWGFHR17-C-0024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4-CWGFHR17-C-0024/en" TargetMode="External"/><Relationship Id="rId10" Type="http://schemas.openxmlformats.org/officeDocument/2006/relationships/hyperlink" Target="https://www.itu.int/md/S23-CWGFHR16-C-0026/en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Documents/basic-texts-2023/RES-167-R.pdf" TargetMode="External"/><Relationship Id="rId14" Type="http://schemas.openxmlformats.org/officeDocument/2006/relationships/hyperlink" Target="https://www.itu.int/md/S23-CWGFHR16-C-0026/en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14</TotalTime>
  <Pages>6</Pages>
  <Words>1367</Words>
  <Characters>10255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11599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Brouard, Ricarda</dc:creator>
  <cp:keywords>C2024, C24, Council-24</cp:keywords>
  <dc:description/>
  <cp:lastModifiedBy>Antipina, Nadezda</cp:lastModifiedBy>
  <cp:revision>7</cp:revision>
  <cp:lastPrinted>2006-03-28T16:12:00Z</cp:lastPrinted>
  <dcterms:created xsi:type="dcterms:W3CDTF">2024-06-04T07:44:00Z</dcterms:created>
  <dcterms:modified xsi:type="dcterms:W3CDTF">2024-06-11T15:45:00Z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