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1AB1D28" w14:textId="77777777" w:rsidTr="00E31DCE">
        <w:trPr>
          <w:cantSplit/>
          <w:trHeight w:val="23"/>
        </w:trPr>
        <w:tc>
          <w:tcPr>
            <w:tcW w:w="3969" w:type="dxa"/>
            <w:vMerge w:val="restart"/>
            <w:tcMar>
              <w:left w:w="0" w:type="dxa"/>
            </w:tcMar>
          </w:tcPr>
          <w:p w14:paraId="5B761480" w14:textId="21986128"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894AE4" w:rsidRPr="005169F2">
              <w:rPr>
                <w:b/>
                <w:bCs/>
                <w:lang w:val="zh-CN"/>
              </w:rPr>
              <w:t xml:space="preserve">ADM </w:t>
            </w:r>
            <w:r w:rsidR="00AD021A">
              <w:rPr>
                <w:b/>
                <w:bCs/>
                <w:lang w:val="zh-CN"/>
              </w:rPr>
              <w:t>3</w:t>
            </w:r>
          </w:p>
        </w:tc>
        <w:tc>
          <w:tcPr>
            <w:tcW w:w="5245" w:type="dxa"/>
          </w:tcPr>
          <w:p w14:paraId="5BFD5B79" w14:textId="4CC86643"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894AE4">
              <w:rPr>
                <w:b/>
                <w:lang w:val="fr-CH"/>
              </w:rPr>
              <w:t>9</w:t>
            </w:r>
            <w:r w:rsidR="00AD021A">
              <w:rPr>
                <w:b/>
                <w:lang w:val="fr-CH"/>
              </w:rPr>
              <w:t>7</w:t>
            </w:r>
            <w:r w:rsidRPr="00E24D59">
              <w:rPr>
                <w:b/>
                <w:lang w:val="fr-CH"/>
              </w:rPr>
              <w:t>-C</w:t>
            </w:r>
          </w:p>
        </w:tc>
      </w:tr>
      <w:tr w:rsidR="00E24D59" w:rsidRPr="00813E5E" w14:paraId="3D209343" w14:textId="77777777" w:rsidTr="00E31DCE">
        <w:trPr>
          <w:cantSplit/>
        </w:trPr>
        <w:tc>
          <w:tcPr>
            <w:tcW w:w="3969" w:type="dxa"/>
            <w:vMerge/>
          </w:tcPr>
          <w:p w14:paraId="3C8A4619"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FAFFA43" w14:textId="1917C307" w:rsidR="00E24D59" w:rsidRPr="00E85629" w:rsidRDefault="00B64595" w:rsidP="00E31DCE">
            <w:pPr>
              <w:tabs>
                <w:tab w:val="left" w:pos="851"/>
              </w:tabs>
              <w:spacing w:before="0"/>
              <w:jc w:val="right"/>
              <w:rPr>
                <w:b/>
              </w:rPr>
            </w:pPr>
            <w:r w:rsidRPr="00B64595">
              <w:rPr>
                <w:rFonts w:hint="eastAsia"/>
                <w:b/>
              </w:rPr>
              <w:t>2024</w:t>
            </w:r>
            <w:r w:rsidRPr="00B64595">
              <w:rPr>
                <w:rFonts w:hint="eastAsia"/>
                <w:b/>
              </w:rPr>
              <w:t>年</w:t>
            </w:r>
            <w:r w:rsidRPr="00B64595">
              <w:rPr>
                <w:rFonts w:hint="eastAsia"/>
                <w:b/>
              </w:rPr>
              <w:t>5</w:t>
            </w:r>
            <w:r w:rsidRPr="00B64595">
              <w:rPr>
                <w:rFonts w:hint="eastAsia"/>
                <w:b/>
              </w:rPr>
              <w:t>月</w:t>
            </w:r>
            <w:r w:rsidRPr="00B64595">
              <w:rPr>
                <w:rFonts w:hint="eastAsia"/>
                <w:b/>
              </w:rPr>
              <w:t>2</w:t>
            </w:r>
            <w:r w:rsidR="00894AE4">
              <w:rPr>
                <w:b/>
              </w:rPr>
              <w:t>1</w:t>
            </w:r>
            <w:r w:rsidRPr="00B64595">
              <w:rPr>
                <w:rFonts w:hint="eastAsia"/>
                <w:b/>
              </w:rPr>
              <w:t>日</w:t>
            </w:r>
          </w:p>
        </w:tc>
      </w:tr>
      <w:tr w:rsidR="00E24D59" w:rsidRPr="00813E5E" w14:paraId="6524BC02" w14:textId="77777777" w:rsidTr="00E31DCE">
        <w:trPr>
          <w:cantSplit/>
          <w:trHeight w:val="23"/>
        </w:trPr>
        <w:tc>
          <w:tcPr>
            <w:tcW w:w="3969" w:type="dxa"/>
            <w:vMerge/>
          </w:tcPr>
          <w:p w14:paraId="25BE50A7"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128CBF2" w14:textId="72679304"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AD021A">
              <w:rPr>
                <w:rFonts w:cstheme="minorHAnsi" w:hint="eastAsia"/>
                <w:b/>
                <w:bCs/>
                <w:lang w:val="ru-RU" w:eastAsia="zh-CN"/>
              </w:rPr>
              <w:t>西班牙</w:t>
            </w:r>
            <w:r w:rsidR="00452737">
              <w:rPr>
                <w:rFonts w:cstheme="minorHAnsi" w:hint="eastAsia"/>
                <w:b/>
                <w:bCs/>
                <w:lang w:val="ru-RU" w:eastAsia="zh-CN"/>
              </w:rPr>
              <w:t>文</w:t>
            </w:r>
          </w:p>
        </w:tc>
      </w:tr>
      <w:tr w:rsidR="00E24D59" w:rsidRPr="00813E5E" w14:paraId="7A2A6AC2" w14:textId="77777777" w:rsidTr="00E31DCE">
        <w:trPr>
          <w:cantSplit/>
          <w:trHeight w:val="23"/>
        </w:trPr>
        <w:tc>
          <w:tcPr>
            <w:tcW w:w="3969" w:type="dxa"/>
          </w:tcPr>
          <w:p w14:paraId="4D4D824D" w14:textId="77777777" w:rsidR="00E24D59" w:rsidRPr="00813E5E" w:rsidRDefault="00E24D59" w:rsidP="00E31DCE">
            <w:pPr>
              <w:tabs>
                <w:tab w:val="left" w:pos="851"/>
              </w:tabs>
              <w:spacing w:line="240" w:lineRule="atLeast"/>
              <w:rPr>
                <w:b/>
              </w:rPr>
            </w:pPr>
          </w:p>
        </w:tc>
        <w:tc>
          <w:tcPr>
            <w:tcW w:w="5245" w:type="dxa"/>
          </w:tcPr>
          <w:p w14:paraId="318C9B31" w14:textId="77777777" w:rsidR="00E24D59" w:rsidRDefault="00E24D59" w:rsidP="00E31DCE">
            <w:pPr>
              <w:tabs>
                <w:tab w:val="left" w:pos="851"/>
              </w:tabs>
              <w:spacing w:before="0" w:line="240" w:lineRule="atLeast"/>
              <w:jc w:val="right"/>
              <w:rPr>
                <w:b/>
              </w:rPr>
            </w:pPr>
          </w:p>
        </w:tc>
      </w:tr>
      <w:tr w:rsidR="00E24D59" w:rsidRPr="00813E5E" w14:paraId="0837D9B8" w14:textId="77777777" w:rsidTr="00E31DCE">
        <w:trPr>
          <w:cantSplit/>
        </w:trPr>
        <w:tc>
          <w:tcPr>
            <w:tcW w:w="9214" w:type="dxa"/>
            <w:gridSpan w:val="2"/>
            <w:tcMar>
              <w:left w:w="0" w:type="dxa"/>
            </w:tcMar>
          </w:tcPr>
          <w:p w14:paraId="484E8B03" w14:textId="4762E745" w:rsidR="00E24D59" w:rsidRPr="00E24D59" w:rsidRDefault="00AD021A" w:rsidP="00E24D59">
            <w:pPr>
              <w:pStyle w:val="Source"/>
              <w:jc w:val="left"/>
              <w:rPr>
                <w:sz w:val="34"/>
                <w:szCs w:val="34"/>
                <w:lang w:eastAsia="zh-CN"/>
              </w:rPr>
            </w:pPr>
            <w:bookmarkStart w:id="5" w:name="dsource" w:colFirst="0" w:colLast="0"/>
            <w:bookmarkEnd w:id="4"/>
            <w:r w:rsidRPr="00AD021A">
              <w:rPr>
                <w:rFonts w:cstheme="minorHAnsi" w:hint="eastAsia"/>
                <w:sz w:val="34"/>
                <w:szCs w:val="34"/>
                <w:lang w:val="ru-RU" w:eastAsia="zh-CN"/>
              </w:rPr>
              <w:t>墨西哥</w:t>
            </w:r>
            <w:r w:rsidR="00A27C09" w:rsidRPr="00A27C09">
              <w:rPr>
                <w:rFonts w:cstheme="minorHAnsi" w:hint="eastAsia"/>
                <w:sz w:val="34"/>
                <w:szCs w:val="34"/>
                <w:lang w:val="ru-RU" w:eastAsia="zh-CN"/>
              </w:rPr>
              <w:t>和萨尔瓦多（共和国）、巴拿马（共和国）</w:t>
            </w:r>
            <w:r w:rsidR="00A27C09">
              <w:rPr>
                <w:rFonts w:cstheme="minorHAnsi" w:hint="eastAsia"/>
                <w:sz w:val="34"/>
                <w:szCs w:val="34"/>
                <w:lang w:val="ru-RU" w:eastAsia="zh-CN"/>
              </w:rPr>
              <w:t>及</w:t>
            </w:r>
            <w:r w:rsidR="00A27C09" w:rsidRPr="00A27C09">
              <w:rPr>
                <w:rFonts w:cstheme="minorHAnsi" w:hint="eastAsia"/>
                <w:sz w:val="34"/>
                <w:szCs w:val="34"/>
                <w:lang w:val="ru-RU" w:eastAsia="zh-CN"/>
              </w:rPr>
              <w:t>巴拉圭（共和国）</w:t>
            </w:r>
            <w:r w:rsidR="00A27C09">
              <w:rPr>
                <w:rFonts w:cstheme="minorHAnsi" w:hint="eastAsia"/>
                <w:sz w:val="34"/>
                <w:szCs w:val="34"/>
                <w:lang w:val="ru-RU" w:eastAsia="zh-CN"/>
              </w:rPr>
              <w:t>提交</w:t>
            </w:r>
            <w:r w:rsidRPr="00AD021A">
              <w:rPr>
                <w:rFonts w:cstheme="minorHAnsi" w:hint="eastAsia"/>
                <w:sz w:val="34"/>
                <w:szCs w:val="34"/>
                <w:lang w:val="ru-RU" w:eastAsia="zh-CN"/>
              </w:rPr>
              <w:t>的文稿</w:t>
            </w:r>
          </w:p>
        </w:tc>
      </w:tr>
      <w:tr w:rsidR="00E24D59" w:rsidRPr="00813E5E" w14:paraId="0A607CA0" w14:textId="77777777" w:rsidTr="00E31DCE">
        <w:trPr>
          <w:cantSplit/>
        </w:trPr>
        <w:tc>
          <w:tcPr>
            <w:tcW w:w="9214" w:type="dxa"/>
            <w:gridSpan w:val="2"/>
            <w:tcMar>
              <w:left w:w="0" w:type="dxa"/>
            </w:tcMar>
          </w:tcPr>
          <w:p w14:paraId="61A82356" w14:textId="5BD180F9" w:rsidR="00E24D59" w:rsidRPr="00E24D59" w:rsidRDefault="00AD021A" w:rsidP="00E31DCE">
            <w:pPr>
              <w:pStyle w:val="Subtitle"/>
              <w:framePr w:hSpace="0" w:wrap="auto" w:hAnchor="text" w:xAlign="left" w:yAlign="inline"/>
              <w:rPr>
                <w:rFonts w:ascii="SimSun" w:eastAsia="SimSun" w:hAnsi="SimSun"/>
                <w:lang w:eastAsia="zh-CN"/>
              </w:rPr>
            </w:pPr>
            <w:bookmarkStart w:id="6" w:name="dtitle1" w:colFirst="0" w:colLast="0"/>
            <w:bookmarkEnd w:id="5"/>
            <w:r w:rsidRPr="00AD021A">
              <w:rPr>
                <w:rFonts w:asciiTheme="minorHAnsi" w:eastAsia="SimSun" w:hAnsiTheme="minorHAnsi" w:cstheme="minorHAnsi" w:hint="eastAsia"/>
                <w:lang w:eastAsia="zh-CN"/>
              </w:rPr>
              <w:t>落实旨在“加强和发展国际电联举办完全虚拟会议和有远程参与的现场会议的能力以及推进国际电联工作的电子手段”的第</w:t>
            </w:r>
            <w:r w:rsidRPr="00AD021A">
              <w:rPr>
                <w:rFonts w:asciiTheme="minorHAnsi" w:eastAsia="SimSun" w:hAnsiTheme="minorHAnsi" w:cstheme="minorHAnsi" w:hint="eastAsia"/>
                <w:lang w:eastAsia="zh-CN"/>
              </w:rPr>
              <w:t>167</w:t>
            </w:r>
            <w:r w:rsidRPr="00AD021A">
              <w:rPr>
                <w:rFonts w:asciiTheme="minorHAnsi" w:eastAsia="SimSun" w:hAnsiTheme="minorHAnsi" w:cstheme="minorHAnsi" w:hint="eastAsia"/>
                <w:lang w:eastAsia="zh-CN"/>
              </w:rPr>
              <w:t>号决议</w:t>
            </w:r>
          </w:p>
        </w:tc>
      </w:tr>
      <w:tr w:rsidR="00E24D59" w:rsidRPr="00813E5E" w14:paraId="100C8F8F" w14:textId="77777777" w:rsidTr="00E31DCE">
        <w:trPr>
          <w:cantSplit/>
        </w:trPr>
        <w:tc>
          <w:tcPr>
            <w:tcW w:w="9214" w:type="dxa"/>
            <w:gridSpan w:val="2"/>
            <w:tcBorders>
              <w:top w:val="single" w:sz="4" w:space="0" w:color="auto"/>
              <w:bottom w:val="single" w:sz="4" w:space="0" w:color="auto"/>
            </w:tcBorders>
            <w:tcMar>
              <w:left w:w="0" w:type="dxa"/>
            </w:tcMar>
          </w:tcPr>
          <w:p w14:paraId="710BDCA8"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r w:rsidRPr="008F64AD">
              <w:rPr>
                <w:rFonts w:ascii="SimSun" w:eastAsia="SimSun" w:hAnsi="SimSun" w:cstheme="minorHAnsi" w:hint="eastAsia"/>
                <w:b/>
                <w:bCs/>
                <w:sz w:val="26"/>
                <w:szCs w:val="26"/>
                <w:lang w:eastAsia="zh-CN"/>
              </w:rPr>
              <w:t xml:space="preserve"> </w:t>
            </w:r>
          </w:p>
          <w:p w14:paraId="3A00E644" w14:textId="65E467D9" w:rsidR="00894AE4" w:rsidRPr="00EF71AC" w:rsidRDefault="00AD021A" w:rsidP="00894AE4">
            <w:pPr>
              <w:ind w:firstLineChars="200" w:firstLine="480"/>
              <w:rPr>
                <w:rFonts w:asciiTheme="minorHAnsi" w:hAnsiTheme="minorHAnsi" w:cstheme="minorBidi"/>
                <w:lang w:eastAsia="zh-CN"/>
              </w:rPr>
            </w:pPr>
            <w:r w:rsidRPr="00AD021A">
              <w:rPr>
                <w:rFonts w:hint="eastAsia"/>
                <w:lang w:val="zh-CN" w:eastAsia="zh-CN"/>
              </w:rPr>
              <w:t>墨西哥主管部门请理事会审议该主管部门提出的有关实施全权代表大会第</w:t>
            </w:r>
            <w:r w:rsidRPr="00AD021A">
              <w:rPr>
                <w:rFonts w:hint="eastAsia"/>
                <w:lang w:val="zh-CN" w:eastAsia="zh-CN"/>
              </w:rPr>
              <w:t>167</w:t>
            </w:r>
            <w:r w:rsidRPr="00AD021A">
              <w:rPr>
                <w:rFonts w:hint="eastAsia"/>
                <w:lang w:val="zh-CN" w:eastAsia="zh-CN"/>
              </w:rPr>
              <w:t>号决议的建议。</w:t>
            </w:r>
          </w:p>
          <w:p w14:paraId="4A74E382"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18C647C8" w14:textId="4931690F" w:rsidR="00894AE4" w:rsidRPr="00484009" w:rsidRDefault="00AD021A" w:rsidP="00894AE4">
            <w:pPr>
              <w:ind w:firstLineChars="200" w:firstLine="480"/>
              <w:rPr>
                <w:lang w:eastAsia="zh-CN"/>
              </w:rPr>
            </w:pPr>
            <w:r w:rsidRPr="00AD021A">
              <w:rPr>
                <w:rFonts w:hint="eastAsia"/>
                <w:lang w:val="zh-CN" w:eastAsia="zh-CN"/>
              </w:rPr>
              <w:t>请理事会</w:t>
            </w:r>
            <w:r w:rsidRPr="00AD021A">
              <w:rPr>
                <w:rFonts w:hint="eastAsia"/>
                <w:b/>
                <w:bCs/>
                <w:lang w:val="zh-CN" w:eastAsia="zh-CN"/>
              </w:rPr>
              <w:t>审议</w:t>
            </w:r>
            <w:r w:rsidRPr="00AD021A">
              <w:rPr>
                <w:rFonts w:hint="eastAsia"/>
                <w:lang w:val="zh-CN" w:eastAsia="zh-CN"/>
              </w:rPr>
              <w:t>并</w:t>
            </w:r>
            <w:r w:rsidRPr="00AD021A">
              <w:rPr>
                <w:rFonts w:hint="eastAsia"/>
                <w:b/>
                <w:bCs/>
                <w:lang w:val="zh-CN" w:eastAsia="zh-CN"/>
              </w:rPr>
              <w:t>讨论</w:t>
            </w:r>
            <w:r w:rsidRPr="00AD021A">
              <w:rPr>
                <w:rFonts w:hint="eastAsia"/>
                <w:lang w:val="zh-CN" w:eastAsia="zh-CN"/>
              </w:rPr>
              <w:t>这些建议。</w:t>
            </w:r>
          </w:p>
          <w:p w14:paraId="2C5D408E" w14:textId="77777777" w:rsidR="00894AE4" w:rsidRPr="00813E5E" w:rsidRDefault="00894AE4" w:rsidP="00894AE4">
            <w:pPr>
              <w:spacing w:before="160"/>
              <w:rPr>
                <w:caps/>
                <w:sz w:val="22"/>
                <w:lang w:eastAsia="zh-CN"/>
              </w:rPr>
            </w:pPr>
            <w:r>
              <w:rPr>
                <w:lang w:val="zh-CN" w:eastAsia="zh-CN"/>
              </w:rPr>
              <w:t>__________________</w:t>
            </w:r>
          </w:p>
          <w:p w14:paraId="35AB8921"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10B87927" w14:textId="6C0F39A4" w:rsidR="00E24D59" w:rsidRPr="00AD021A" w:rsidRDefault="00A27C09" w:rsidP="00AD021A">
            <w:pPr>
              <w:pStyle w:val="enumlev1"/>
              <w:tabs>
                <w:tab w:val="clear" w:pos="794"/>
              </w:tabs>
              <w:spacing w:after="120"/>
              <w:ind w:left="0" w:firstLine="0"/>
              <w:rPr>
                <w:rFonts w:eastAsia="STKaiti" w:cs="Calibri"/>
                <w:lang w:eastAsia="zh-CN"/>
              </w:rPr>
            </w:pPr>
            <w:hyperlink r:id="rId8" w:history="1">
              <w:r w:rsidR="00AD021A" w:rsidRPr="00AD021A">
                <w:rPr>
                  <w:rStyle w:val="Hyperlink"/>
                  <w:rFonts w:eastAsia="STKaiti" w:cs="Calibri"/>
                  <w:lang w:eastAsia="zh-CN"/>
                </w:rPr>
                <w:t>PP-22/64</w:t>
              </w:r>
              <w:r w:rsidR="00AD021A" w:rsidRPr="00AD021A">
                <w:rPr>
                  <w:rStyle w:val="Hyperlink"/>
                  <w:rFonts w:eastAsia="STKaiti" w:cs="Calibri"/>
                  <w:lang w:eastAsia="zh-CN"/>
                </w:rPr>
                <w:t>号文件</w:t>
              </w:r>
            </w:hyperlink>
            <w:r w:rsidR="00AD021A" w:rsidRPr="00AD021A">
              <w:rPr>
                <w:rFonts w:eastAsia="STKaiti" w:cs="Calibri"/>
                <w:lang w:eastAsia="zh-CN"/>
              </w:rPr>
              <w:t>；全权代表大会</w:t>
            </w:r>
            <w:hyperlink r:id="rId9" w:history="1">
              <w:r w:rsidR="00AD021A" w:rsidRPr="00AD021A">
                <w:rPr>
                  <w:rStyle w:val="Hyperlink"/>
                  <w:rFonts w:eastAsia="STKaiti" w:cs="Calibri" w:hint="eastAsia"/>
                  <w:lang w:eastAsia="zh-CN"/>
                </w:rPr>
                <w:t>第</w:t>
              </w:r>
              <w:r w:rsidR="00AD021A" w:rsidRPr="00AD021A">
                <w:rPr>
                  <w:rStyle w:val="Hyperlink"/>
                  <w:rFonts w:eastAsia="STKaiti" w:cs="Calibri" w:hint="eastAsia"/>
                  <w:lang w:eastAsia="zh-CN"/>
                </w:rPr>
                <w:t>167</w:t>
              </w:r>
              <w:r w:rsidR="00AD021A" w:rsidRPr="00AD021A">
                <w:rPr>
                  <w:rStyle w:val="Hyperlink"/>
                  <w:rFonts w:eastAsia="STKaiti" w:cs="Calibri" w:hint="eastAsia"/>
                  <w:lang w:eastAsia="zh-CN"/>
                </w:rPr>
                <w:t>号决议（</w:t>
              </w:r>
              <w:r w:rsidR="00AD021A" w:rsidRPr="00AD021A">
                <w:rPr>
                  <w:rStyle w:val="Hyperlink"/>
                  <w:rFonts w:eastAsia="STKaiti" w:cs="Calibri" w:hint="eastAsia"/>
                  <w:lang w:eastAsia="zh-CN"/>
                </w:rPr>
                <w:t>2022</w:t>
              </w:r>
              <w:r w:rsidR="00AD021A" w:rsidRPr="00AD021A">
                <w:rPr>
                  <w:rStyle w:val="Hyperlink"/>
                  <w:rFonts w:eastAsia="STKaiti" w:cs="Calibri" w:hint="eastAsia"/>
                  <w:lang w:eastAsia="zh-CN"/>
                </w:rPr>
                <w:t>年，布加勒斯特，修订版）</w:t>
              </w:r>
            </w:hyperlink>
            <w:r w:rsidR="00AD021A" w:rsidRPr="00AD021A">
              <w:rPr>
                <w:rFonts w:eastAsia="STKaiti" w:cs="Calibri"/>
                <w:lang w:eastAsia="zh-CN"/>
              </w:rPr>
              <w:t>；</w:t>
            </w:r>
            <w:hyperlink r:id="rId10" w:history="1">
              <w:r w:rsidR="00AD021A" w:rsidRPr="00AD021A">
                <w:rPr>
                  <w:rStyle w:val="Hyperlink"/>
                  <w:rFonts w:eastAsia="STKaiti" w:cs="Calibri" w:hint="eastAsia"/>
                  <w:lang w:eastAsia="zh-CN"/>
                </w:rPr>
                <w:t>CWG-FHR-16/26</w:t>
              </w:r>
              <w:r w:rsidR="00AD021A" w:rsidRPr="00AD021A">
                <w:rPr>
                  <w:rStyle w:val="Hyperlink"/>
                  <w:rFonts w:eastAsia="STKaiti" w:cs="Calibri" w:hint="eastAsia"/>
                  <w:lang w:eastAsia="zh-CN"/>
                </w:rPr>
                <w:t>号文件</w:t>
              </w:r>
            </w:hyperlink>
            <w:r w:rsidR="00AD021A" w:rsidRPr="00AD021A">
              <w:rPr>
                <w:rFonts w:eastAsia="STKaiti" w:cs="Calibri"/>
                <w:lang w:eastAsia="zh-CN"/>
              </w:rPr>
              <w:t>；</w:t>
            </w:r>
            <w:hyperlink r:id="rId11" w:history="1">
              <w:r w:rsidR="00AD021A" w:rsidRPr="00AD021A">
                <w:rPr>
                  <w:rStyle w:val="Hyperlink"/>
                  <w:rFonts w:eastAsia="STKaiti" w:cs="Calibri" w:hint="eastAsia"/>
                  <w:lang w:eastAsia="zh-CN"/>
                </w:rPr>
                <w:t>CWG-FHR-17/24</w:t>
              </w:r>
              <w:r w:rsidR="00AD021A" w:rsidRPr="00AD021A">
                <w:rPr>
                  <w:rStyle w:val="Hyperlink"/>
                  <w:rFonts w:eastAsia="STKaiti" w:cs="Calibri" w:hint="eastAsia"/>
                  <w:lang w:eastAsia="zh-CN"/>
                </w:rPr>
                <w:t>号文件</w:t>
              </w:r>
            </w:hyperlink>
            <w:r w:rsidR="00AD021A" w:rsidRPr="00AD021A">
              <w:rPr>
                <w:rFonts w:eastAsia="STKaiti" w:cs="Calibri"/>
                <w:lang w:eastAsia="zh-CN"/>
              </w:rPr>
              <w:t>；</w:t>
            </w:r>
            <w:hyperlink r:id="rId12" w:history="1">
              <w:r w:rsidR="00AD021A" w:rsidRPr="00AD021A">
                <w:rPr>
                  <w:rStyle w:val="Hyperlink"/>
                  <w:rFonts w:eastAsia="STKaiti" w:cs="Calibri" w:hint="eastAsia"/>
                  <w:lang w:eastAsia="zh-CN"/>
                </w:rPr>
                <w:t>C24/61</w:t>
              </w:r>
              <w:r w:rsidR="00AD021A" w:rsidRPr="00AD021A">
                <w:rPr>
                  <w:rStyle w:val="Hyperlink"/>
                  <w:rFonts w:eastAsia="STKaiti" w:cs="Calibri" w:hint="eastAsia"/>
                  <w:lang w:eastAsia="zh-CN"/>
                </w:rPr>
                <w:t>号文件</w:t>
              </w:r>
            </w:hyperlink>
            <w:r w:rsidR="00AD021A" w:rsidRPr="00AD021A">
              <w:rPr>
                <w:rFonts w:eastAsia="STKaiti" w:cs="Calibri"/>
                <w:lang w:eastAsia="zh-CN"/>
              </w:rPr>
              <w:t>；</w:t>
            </w:r>
            <w:hyperlink r:id="rId13" w:history="1">
              <w:r w:rsidR="00AD021A" w:rsidRPr="00AD021A">
                <w:rPr>
                  <w:rStyle w:val="Hyperlink"/>
                  <w:rFonts w:eastAsia="STKaiti" w:cs="Calibri" w:hint="eastAsia"/>
                  <w:lang w:eastAsia="zh-CN"/>
                </w:rPr>
                <w:t>C24/INF/7</w:t>
              </w:r>
              <w:r w:rsidR="00AD021A" w:rsidRPr="00AD021A">
                <w:rPr>
                  <w:rStyle w:val="Hyperlink"/>
                  <w:rFonts w:eastAsia="STKaiti" w:cs="Calibri" w:hint="eastAsia"/>
                  <w:lang w:eastAsia="zh-CN"/>
                </w:rPr>
                <w:t>号文件</w:t>
              </w:r>
            </w:hyperlink>
          </w:p>
        </w:tc>
      </w:tr>
      <w:bookmarkEnd w:id="2"/>
      <w:bookmarkEnd w:id="6"/>
    </w:tbl>
    <w:p w14:paraId="4CEC11E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1776AFAB"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64400D2E" w14:textId="77777777" w:rsidR="00AD021A" w:rsidRPr="00130D8A" w:rsidRDefault="00AD021A" w:rsidP="00AD021A">
      <w:pPr>
        <w:pStyle w:val="Headingb"/>
        <w:rPr>
          <w:lang w:eastAsia="zh-CN"/>
        </w:rPr>
      </w:pPr>
      <w:bookmarkStart w:id="7" w:name="_Hlk165908208"/>
      <w:r>
        <w:rPr>
          <w:rFonts w:hint="eastAsia"/>
          <w:lang w:val="zh-CN" w:eastAsia="zh-CN"/>
        </w:rPr>
        <w:lastRenderedPageBreak/>
        <w:t>引言</w:t>
      </w:r>
    </w:p>
    <w:p w14:paraId="084692D4" w14:textId="77777777" w:rsidR="00AD021A" w:rsidRPr="00130D8A" w:rsidRDefault="00AD021A" w:rsidP="00AD021A">
      <w:pPr>
        <w:ind w:firstLineChars="200" w:firstLine="480"/>
        <w:rPr>
          <w:lang w:eastAsia="zh-CN"/>
        </w:rPr>
      </w:pPr>
      <w:bookmarkStart w:id="8" w:name="_Hlk165876649"/>
      <w:r>
        <w:rPr>
          <w:lang w:val="zh-CN" w:eastAsia="zh-CN"/>
        </w:rPr>
        <w:t>全权代表大会第</w:t>
      </w:r>
      <w:r>
        <w:rPr>
          <w:lang w:val="zh-CN" w:eastAsia="zh-CN"/>
        </w:rPr>
        <w:t>167</w:t>
      </w:r>
      <w:r>
        <w:rPr>
          <w:lang w:val="zh-CN" w:eastAsia="zh-CN"/>
        </w:rPr>
        <w:t>号决议（</w:t>
      </w:r>
      <w:r>
        <w:rPr>
          <w:lang w:val="zh-CN" w:eastAsia="zh-CN"/>
        </w:rPr>
        <w:t>2022</w:t>
      </w:r>
      <w:r>
        <w:rPr>
          <w:lang w:val="zh-CN" w:eastAsia="zh-CN"/>
        </w:rPr>
        <w:t>年，布加勒斯特，修订版）做出决议，请国际电联进一步研究远程参会对现有议事规则的影响，</w:t>
      </w:r>
      <w:r w:rsidRPr="009469CC">
        <w:rPr>
          <w:rFonts w:ascii="STKaiti" w:eastAsia="STKaiti" w:hAnsi="STKaiti"/>
          <w:lang w:val="zh-CN" w:eastAsia="zh-CN"/>
        </w:rPr>
        <w:t>特别是</w:t>
      </w:r>
      <w:r>
        <w:rPr>
          <w:lang w:val="zh-CN" w:eastAsia="zh-CN"/>
        </w:rPr>
        <w:t>对不同类型会议决策的影响。</w:t>
      </w:r>
    </w:p>
    <w:p w14:paraId="167B7ED3" w14:textId="77777777" w:rsidR="00AD021A" w:rsidRPr="00130D8A" w:rsidRDefault="00AD021A" w:rsidP="00AD021A">
      <w:pPr>
        <w:ind w:firstLineChars="200" w:firstLine="480"/>
        <w:rPr>
          <w:i/>
          <w:iCs/>
          <w:lang w:eastAsia="zh-CN"/>
        </w:rPr>
      </w:pPr>
      <w:r>
        <w:rPr>
          <w:rFonts w:hint="eastAsia"/>
          <w:lang w:val="zh-CN" w:eastAsia="zh-CN"/>
        </w:rPr>
        <w:t>此</w:t>
      </w:r>
      <w:r>
        <w:rPr>
          <w:lang w:val="zh-CN" w:eastAsia="zh-CN"/>
        </w:rPr>
        <w:t>决议进一步认识到，有必要澄清完全虚拟会议和可远程参与的</w:t>
      </w:r>
      <w:r>
        <w:rPr>
          <w:rFonts w:hint="eastAsia"/>
          <w:lang w:val="zh-CN" w:eastAsia="zh-CN"/>
        </w:rPr>
        <w:t>现场</w:t>
      </w:r>
      <w:r>
        <w:rPr>
          <w:lang w:val="zh-CN" w:eastAsia="zh-CN"/>
        </w:rPr>
        <w:t>会议</w:t>
      </w:r>
      <w:r>
        <w:rPr>
          <w:rFonts w:hint="eastAsia"/>
          <w:lang w:val="zh-CN" w:eastAsia="zh-CN"/>
        </w:rPr>
        <w:t>在</w:t>
      </w:r>
      <w:r>
        <w:rPr>
          <w:lang w:val="zh-CN" w:eastAsia="zh-CN"/>
        </w:rPr>
        <w:t>参与</w:t>
      </w:r>
      <w:r>
        <w:rPr>
          <w:rFonts w:hint="eastAsia"/>
          <w:lang w:val="zh-CN" w:eastAsia="zh-CN"/>
        </w:rPr>
        <w:t>会议</w:t>
      </w:r>
      <w:r>
        <w:rPr>
          <w:lang w:val="zh-CN" w:eastAsia="zh-CN"/>
        </w:rPr>
        <w:t>决策</w:t>
      </w:r>
      <w:r>
        <w:rPr>
          <w:rFonts w:hint="eastAsia"/>
          <w:lang w:val="zh-CN" w:eastAsia="zh-CN"/>
        </w:rPr>
        <w:t>方面存在的</w:t>
      </w:r>
      <w:r>
        <w:rPr>
          <w:lang w:val="zh-CN" w:eastAsia="zh-CN"/>
        </w:rPr>
        <w:t>作用、权利和程序</w:t>
      </w:r>
      <w:r>
        <w:rPr>
          <w:rFonts w:hint="eastAsia"/>
          <w:lang w:val="zh-CN" w:eastAsia="zh-CN"/>
        </w:rPr>
        <w:t>上的不同</w:t>
      </w:r>
      <w:r>
        <w:rPr>
          <w:lang w:val="zh-CN" w:eastAsia="zh-CN"/>
        </w:rPr>
        <w:t>。</w:t>
      </w:r>
    </w:p>
    <w:p w14:paraId="1ABD13C9" w14:textId="77777777" w:rsidR="00AD021A" w:rsidRPr="00130D8A" w:rsidRDefault="00AD021A" w:rsidP="00AD021A">
      <w:pPr>
        <w:ind w:firstLineChars="200" w:firstLine="480"/>
        <w:rPr>
          <w:lang w:eastAsia="zh-CN"/>
        </w:rPr>
      </w:pPr>
      <w:r>
        <w:rPr>
          <w:lang w:val="zh-CN" w:eastAsia="zh-CN"/>
        </w:rPr>
        <w:t>此外，该决议附件</w:t>
      </w:r>
      <w:r>
        <w:rPr>
          <w:lang w:val="zh-CN" w:eastAsia="zh-CN"/>
        </w:rPr>
        <w:t>1</w:t>
      </w:r>
      <w:r>
        <w:rPr>
          <w:lang w:val="zh-CN" w:eastAsia="zh-CN"/>
        </w:rPr>
        <w:t>请</w:t>
      </w:r>
      <w:r>
        <w:rPr>
          <w:rFonts w:hint="eastAsia"/>
          <w:lang w:val="zh-CN" w:eastAsia="zh-CN"/>
        </w:rPr>
        <w:t>求</w:t>
      </w:r>
      <w:r>
        <w:rPr>
          <w:lang w:val="zh-CN" w:eastAsia="zh-CN"/>
        </w:rPr>
        <w:t>为完全虚拟会议和可远程参与的现场会议制定一般性高层导则，其中包括但不限于</w:t>
      </w:r>
      <w:r>
        <w:rPr>
          <w:rFonts w:hint="eastAsia"/>
          <w:lang w:val="zh-CN" w:eastAsia="zh-CN"/>
        </w:rPr>
        <w:t>对</w:t>
      </w:r>
      <w:r>
        <w:rPr>
          <w:lang w:val="zh-CN" w:eastAsia="zh-CN"/>
        </w:rPr>
        <w:t>远程参与各类会议决策的不同类别成员的权利</w:t>
      </w:r>
      <w:r>
        <w:rPr>
          <w:rFonts w:hint="eastAsia"/>
          <w:lang w:val="zh-CN" w:eastAsia="zh-CN"/>
        </w:rPr>
        <w:t>做出规定</w:t>
      </w:r>
      <w:r>
        <w:rPr>
          <w:lang w:val="zh-CN" w:eastAsia="zh-CN"/>
        </w:rPr>
        <w:t>。</w:t>
      </w:r>
    </w:p>
    <w:bookmarkEnd w:id="8"/>
    <w:p w14:paraId="62ACC329" w14:textId="77777777" w:rsidR="00AD021A" w:rsidRPr="00130D8A" w:rsidRDefault="00AD021A" w:rsidP="00AD021A">
      <w:pPr>
        <w:pStyle w:val="Headingb"/>
        <w:rPr>
          <w:lang w:eastAsia="zh-CN"/>
        </w:rPr>
      </w:pPr>
      <w:r>
        <w:rPr>
          <w:lang w:val="zh-CN" w:eastAsia="zh-CN"/>
        </w:rPr>
        <w:t>背景</w:t>
      </w:r>
    </w:p>
    <w:p w14:paraId="18C7DE21" w14:textId="00FD8B61" w:rsidR="00AD021A" w:rsidRPr="00130D8A" w:rsidRDefault="00AD021A" w:rsidP="00AD021A">
      <w:pPr>
        <w:ind w:firstLineChars="200" w:firstLine="480"/>
        <w:rPr>
          <w:lang w:eastAsia="zh-CN"/>
        </w:rPr>
      </w:pPr>
      <w:r>
        <w:rPr>
          <w:lang w:val="zh-CN" w:eastAsia="zh-CN"/>
        </w:rPr>
        <w:t>理事会</w:t>
      </w:r>
      <w:r>
        <w:rPr>
          <w:lang w:val="zh-CN" w:eastAsia="zh-CN"/>
        </w:rPr>
        <w:t>2023</w:t>
      </w:r>
      <w:r>
        <w:rPr>
          <w:lang w:val="zh-CN" w:eastAsia="zh-CN"/>
        </w:rPr>
        <w:t>年会议</w:t>
      </w:r>
      <w:r>
        <w:rPr>
          <w:rFonts w:hint="eastAsia"/>
          <w:lang w:val="zh-CN" w:eastAsia="zh-CN"/>
        </w:rPr>
        <w:t>的</w:t>
      </w:r>
      <w:r>
        <w:rPr>
          <w:lang w:val="zh-CN" w:eastAsia="zh-CN"/>
        </w:rPr>
        <w:t>结论</w:t>
      </w:r>
      <w:r>
        <w:rPr>
          <w:rFonts w:hint="eastAsia"/>
          <w:lang w:val="zh-CN" w:eastAsia="zh-CN"/>
        </w:rPr>
        <w:t>认为</w:t>
      </w:r>
      <w:r>
        <w:rPr>
          <w:lang w:val="zh-CN" w:eastAsia="zh-CN"/>
        </w:rPr>
        <w:t>远程参会</w:t>
      </w:r>
      <w:r>
        <w:rPr>
          <w:rFonts w:hint="eastAsia"/>
          <w:lang w:val="zh-CN" w:eastAsia="zh-CN"/>
        </w:rPr>
        <w:t>是</w:t>
      </w:r>
      <w:r>
        <w:rPr>
          <w:lang w:val="zh-CN" w:eastAsia="zh-CN"/>
        </w:rPr>
        <w:t>成员国</w:t>
      </w:r>
      <w:r>
        <w:rPr>
          <w:rFonts w:hint="eastAsia"/>
          <w:lang w:val="zh-CN" w:eastAsia="zh-CN"/>
        </w:rPr>
        <w:t>的</w:t>
      </w:r>
      <w:r>
        <w:rPr>
          <w:lang w:val="zh-CN" w:eastAsia="zh-CN"/>
        </w:rPr>
        <w:t>一</w:t>
      </w:r>
      <w:r>
        <w:rPr>
          <w:rFonts w:hint="eastAsia"/>
          <w:lang w:val="zh-CN" w:eastAsia="zh-CN"/>
        </w:rPr>
        <w:t>种</w:t>
      </w:r>
      <w:r>
        <w:rPr>
          <w:lang w:val="zh-CN" w:eastAsia="zh-CN"/>
        </w:rPr>
        <w:t>宝贵的工具，</w:t>
      </w:r>
      <w:r>
        <w:rPr>
          <w:rFonts w:hint="eastAsia"/>
          <w:lang w:val="zh-CN" w:eastAsia="zh-CN"/>
        </w:rPr>
        <w:t>同时</w:t>
      </w:r>
      <w:r>
        <w:rPr>
          <w:lang w:val="zh-CN" w:eastAsia="zh-CN"/>
        </w:rPr>
        <w:t>责成秘书长</w:t>
      </w:r>
      <w:r>
        <w:rPr>
          <w:rFonts w:hint="eastAsia"/>
          <w:lang w:val="zh-CN" w:eastAsia="zh-CN"/>
        </w:rPr>
        <w:t>为</w:t>
      </w:r>
      <w:r>
        <w:rPr>
          <w:lang w:val="zh-CN" w:eastAsia="zh-CN"/>
        </w:rPr>
        <w:t>协调和发展</w:t>
      </w:r>
      <w:r>
        <w:rPr>
          <w:rFonts w:hint="eastAsia"/>
          <w:lang w:val="zh-CN" w:eastAsia="zh-CN"/>
        </w:rPr>
        <w:t>相关</w:t>
      </w:r>
      <w:r>
        <w:rPr>
          <w:lang w:val="zh-CN" w:eastAsia="zh-CN"/>
        </w:rPr>
        <w:t>设施</w:t>
      </w:r>
      <w:r>
        <w:rPr>
          <w:rFonts w:hint="eastAsia"/>
          <w:lang w:val="zh-CN" w:eastAsia="zh-CN"/>
        </w:rPr>
        <w:t>与</w:t>
      </w:r>
      <w:r>
        <w:rPr>
          <w:lang w:val="zh-CN" w:eastAsia="zh-CN"/>
        </w:rPr>
        <w:t>能力</w:t>
      </w:r>
      <w:r>
        <w:rPr>
          <w:rFonts w:hint="eastAsia"/>
          <w:lang w:val="zh-CN" w:eastAsia="zh-CN"/>
        </w:rPr>
        <w:t>制定</w:t>
      </w:r>
      <w:r>
        <w:rPr>
          <w:lang w:val="zh-CN" w:eastAsia="zh-CN"/>
        </w:rPr>
        <w:t>路线图，</w:t>
      </w:r>
      <w:r>
        <w:rPr>
          <w:rFonts w:hint="eastAsia"/>
          <w:lang w:val="zh-CN" w:eastAsia="zh-CN"/>
        </w:rPr>
        <w:t>使国际电联能</w:t>
      </w:r>
      <w:r>
        <w:rPr>
          <w:lang w:val="zh-CN" w:eastAsia="zh-CN"/>
        </w:rPr>
        <w:t>利</w:t>
      </w:r>
      <w:r>
        <w:rPr>
          <w:rFonts w:hint="eastAsia"/>
          <w:lang w:val="zh-CN" w:eastAsia="zh-CN"/>
        </w:rPr>
        <w:t>够</w:t>
      </w:r>
      <w:r>
        <w:rPr>
          <w:lang w:val="zh-CN" w:eastAsia="zh-CN"/>
        </w:rPr>
        <w:t>用电子手段组织举办完全虚拟的会议和可远程参与的现场会议，</w:t>
      </w:r>
      <w:r>
        <w:rPr>
          <w:rFonts w:hint="eastAsia"/>
          <w:lang w:val="zh-CN" w:eastAsia="zh-CN"/>
        </w:rPr>
        <w:t>并将此路线图</w:t>
      </w:r>
      <w:r>
        <w:rPr>
          <w:lang w:val="zh-CN" w:eastAsia="zh-CN"/>
        </w:rPr>
        <w:t>提交理事会</w:t>
      </w:r>
      <w:r>
        <w:rPr>
          <w:lang w:val="zh-CN" w:eastAsia="zh-CN"/>
        </w:rPr>
        <w:t>2024</w:t>
      </w:r>
      <w:r>
        <w:rPr>
          <w:lang w:val="zh-CN" w:eastAsia="zh-CN"/>
        </w:rPr>
        <w:t>年会议。</w:t>
      </w:r>
    </w:p>
    <w:p w14:paraId="46A1507C" w14:textId="15F7D1B6" w:rsidR="00AD021A" w:rsidRPr="00130D8A" w:rsidRDefault="00AD021A" w:rsidP="00AD021A">
      <w:pPr>
        <w:ind w:firstLineChars="200" w:firstLine="480"/>
        <w:rPr>
          <w:lang w:eastAsia="zh-CN"/>
        </w:rPr>
      </w:pPr>
      <w:r>
        <w:rPr>
          <w:lang w:val="zh-CN" w:eastAsia="zh-CN"/>
        </w:rPr>
        <w:t>墨西哥主管部门在</w:t>
      </w:r>
      <w:r>
        <w:rPr>
          <w:lang w:val="zh-CN" w:eastAsia="zh-CN"/>
        </w:rPr>
        <w:t>2023</w:t>
      </w:r>
      <w:r>
        <w:rPr>
          <w:lang w:val="zh-CN" w:eastAsia="zh-CN"/>
        </w:rPr>
        <w:t>年</w:t>
      </w:r>
      <w:r>
        <w:rPr>
          <w:lang w:val="zh-CN" w:eastAsia="zh-CN"/>
        </w:rPr>
        <w:t>10</w:t>
      </w:r>
      <w:r>
        <w:rPr>
          <w:lang w:val="zh-CN" w:eastAsia="zh-CN"/>
        </w:rPr>
        <w:t>月举行的理事会财务和人力资源工作组（</w:t>
      </w:r>
      <w:r>
        <w:rPr>
          <w:lang w:val="zh-CN" w:eastAsia="zh-CN"/>
        </w:rPr>
        <w:t>CWG-FHR</w:t>
      </w:r>
      <w:r>
        <w:rPr>
          <w:lang w:val="zh-CN" w:eastAsia="zh-CN"/>
        </w:rPr>
        <w:t>）第</w:t>
      </w:r>
      <w:r>
        <w:rPr>
          <w:lang w:val="zh-CN" w:eastAsia="zh-CN"/>
        </w:rPr>
        <w:t>16</w:t>
      </w:r>
      <w:r>
        <w:rPr>
          <w:lang w:val="zh-CN" w:eastAsia="zh-CN"/>
        </w:rPr>
        <w:t>次会议上指出，虚拟参会可以让更多成员参与并重申了这种参与模式的重要性。会议同意</w:t>
      </w:r>
      <w:r>
        <w:rPr>
          <w:rFonts w:hint="eastAsia"/>
          <w:lang w:val="zh-CN" w:eastAsia="zh-CN"/>
        </w:rPr>
        <w:t>为</w:t>
      </w:r>
      <w:r>
        <w:rPr>
          <w:lang w:val="zh-CN" w:eastAsia="zh-CN"/>
        </w:rPr>
        <w:t>完全虚拟会议和可远程参与的现场会议</w:t>
      </w:r>
      <w:r>
        <w:rPr>
          <w:rFonts w:hint="eastAsia"/>
          <w:lang w:val="zh-CN" w:eastAsia="zh-CN"/>
        </w:rPr>
        <w:t>编写</w:t>
      </w:r>
      <w:r>
        <w:rPr>
          <w:lang w:val="zh-CN" w:eastAsia="zh-CN"/>
        </w:rPr>
        <w:t>导则草案（</w:t>
      </w:r>
      <w:hyperlink r:id="rId14" w:history="1">
        <w:r w:rsidRPr="00AD021A">
          <w:rPr>
            <w:rStyle w:val="Hyperlink"/>
            <w:lang w:val="zh-CN" w:eastAsia="zh-CN"/>
          </w:rPr>
          <w:t>CWG-FHR-16/26</w:t>
        </w:r>
      </w:hyperlink>
      <w:r>
        <w:rPr>
          <w:lang w:val="zh-CN" w:eastAsia="zh-CN"/>
        </w:rPr>
        <w:t>）。此外，在</w:t>
      </w:r>
      <w:r>
        <w:rPr>
          <w:lang w:val="zh-CN" w:eastAsia="zh-CN"/>
        </w:rPr>
        <w:t>2024</w:t>
      </w:r>
      <w:r>
        <w:rPr>
          <w:lang w:val="zh-CN" w:eastAsia="zh-CN"/>
        </w:rPr>
        <w:t>年</w:t>
      </w:r>
      <w:r>
        <w:rPr>
          <w:lang w:val="zh-CN" w:eastAsia="zh-CN"/>
        </w:rPr>
        <w:t>2</w:t>
      </w:r>
      <w:r>
        <w:rPr>
          <w:lang w:val="zh-CN" w:eastAsia="zh-CN"/>
        </w:rPr>
        <w:t>月的</w:t>
      </w:r>
      <w:r>
        <w:rPr>
          <w:lang w:val="zh-CN" w:eastAsia="zh-CN"/>
        </w:rPr>
        <w:t>CWG-FHR</w:t>
      </w:r>
      <w:r>
        <w:rPr>
          <w:lang w:val="zh-CN" w:eastAsia="zh-CN"/>
        </w:rPr>
        <w:t>第</w:t>
      </w:r>
      <w:r>
        <w:rPr>
          <w:lang w:val="zh-CN" w:eastAsia="zh-CN"/>
        </w:rPr>
        <w:t>17</w:t>
      </w:r>
      <w:r>
        <w:rPr>
          <w:lang w:val="zh-CN" w:eastAsia="zh-CN"/>
        </w:rPr>
        <w:t>次会议上，代表们强调有必要澄清远程与会者的权利</w:t>
      </w:r>
      <w:r>
        <w:rPr>
          <w:rFonts w:hint="eastAsia"/>
          <w:lang w:val="zh-CN" w:eastAsia="zh-CN"/>
        </w:rPr>
        <w:t>，同时要</w:t>
      </w:r>
      <w:r>
        <w:rPr>
          <w:lang w:val="zh-CN" w:eastAsia="zh-CN"/>
        </w:rPr>
        <w:t>考虑</w:t>
      </w:r>
      <w:r>
        <w:rPr>
          <w:rFonts w:hint="eastAsia"/>
          <w:lang w:val="zh-CN" w:eastAsia="zh-CN"/>
        </w:rPr>
        <w:t>到</w:t>
      </w:r>
      <w:r>
        <w:rPr>
          <w:lang w:val="zh-CN" w:eastAsia="zh-CN"/>
        </w:rPr>
        <w:t>成员国出席国际电联会议费用的重要性（</w:t>
      </w:r>
      <w:hyperlink r:id="rId15" w:history="1">
        <w:r w:rsidRPr="00AD021A">
          <w:rPr>
            <w:rStyle w:val="Hyperlink"/>
            <w:lang w:val="zh-CN" w:eastAsia="zh-CN"/>
          </w:rPr>
          <w:t>CWG-FHR-17/24</w:t>
        </w:r>
      </w:hyperlink>
      <w:r>
        <w:rPr>
          <w:lang w:val="zh-CN" w:eastAsia="zh-CN"/>
        </w:rPr>
        <w:t>）。</w:t>
      </w:r>
    </w:p>
    <w:p w14:paraId="35997D3D" w14:textId="77777777" w:rsidR="00AD021A" w:rsidRPr="00130D8A" w:rsidRDefault="00AD021A" w:rsidP="00AD021A">
      <w:pPr>
        <w:ind w:firstLineChars="200" w:firstLine="480"/>
        <w:rPr>
          <w:lang w:eastAsia="zh-CN"/>
        </w:rPr>
      </w:pPr>
      <w:r>
        <w:rPr>
          <w:lang w:val="zh-CN" w:eastAsia="zh-CN"/>
        </w:rPr>
        <w:t>在此方面，</w:t>
      </w:r>
      <w:r>
        <w:rPr>
          <w:lang w:val="zh-CN" w:eastAsia="zh-CN"/>
        </w:rPr>
        <w:t>CWG-FHR</w:t>
      </w:r>
      <w:r>
        <w:rPr>
          <w:lang w:val="zh-CN" w:eastAsia="zh-CN"/>
        </w:rPr>
        <w:t>请秘书处与联合国其他组织取得联系，以调查这些组织在决策</w:t>
      </w:r>
      <w:r>
        <w:rPr>
          <w:rFonts w:hint="eastAsia"/>
          <w:lang w:val="zh-CN" w:eastAsia="zh-CN"/>
        </w:rPr>
        <w:t>性</w:t>
      </w:r>
      <w:r>
        <w:rPr>
          <w:lang w:val="zh-CN" w:eastAsia="zh-CN"/>
        </w:rPr>
        <w:t>会议或具有法律约束力的会议</w:t>
      </w:r>
      <w:r>
        <w:rPr>
          <w:rFonts w:hint="eastAsia"/>
          <w:lang w:val="zh-CN" w:eastAsia="zh-CN"/>
        </w:rPr>
        <w:t>上</w:t>
      </w:r>
      <w:r>
        <w:rPr>
          <w:lang w:val="zh-CN" w:eastAsia="zh-CN"/>
        </w:rPr>
        <w:t>如何管理远程与会者的权利。</w:t>
      </w:r>
      <w:r>
        <w:rPr>
          <w:rFonts w:hint="eastAsia"/>
          <w:lang w:val="zh-CN" w:eastAsia="zh-CN"/>
        </w:rPr>
        <w:t>此外，</w:t>
      </w:r>
      <w:r>
        <w:rPr>
          <w:lang w:val="zh-CN" w:eastAsia="zh-CN"/>
        </w:rPr>
        <w:t>还要求秘书处向理事会</w:t>
      </w:r>
      <w:r>
        <w:rPr>
          <w:lang w:val="zh-CN" w:eastAsia="zh-CN"/>
        </w:rPr>
        <w:t>2024</w:t>
      </w:r>
      <w:r>
        <w:rPr>
          <w:lang w:val="zh-CN" w:eastAsia="zh-CN"/>
        </w:rPr>
        <w:t>年会议提交一份有关管理虚拟会议和可远程参与的</w:t>
      </w:r>
      <w:r>
        <w:rPr>
          <w:rFonts w:hint="eastAsia"/>
          <w:lang w:val="zh-CN" w:eastAsia="zh-CN"/>
        </w:rPr>
        <w:t>现场</w:t>
      </w:r>
      <w:r>
        <w:rPr>
          <w:lang w:val="zh-CN" w:eastAsia="zh-CN"/>
        </w:rPr>
        <w:t>会议</w:t>
      </w:r>
      <w:r>
        <w:rPr>
          <w:rFonts w:hint="eastAsia"/>
          <w:lang w:val="zh-CN" w:eastAsia="zh-CN"/>
        </w:rPr>
        <w:t>的</w:t>
      </w:r>
      <w:r>
        <w:rPr>
          <w:lang w:val="zh-CN" w:eastAsia="zh-CN"/>
        </w:rPr>
        <w:t>导则草案的报告，</w:t>
      </w:r>
      <w:r>
        <w:rPr>
          <w:rFonts w:hint="eastAsia"/>
          <w:lang w:val="zh-CN" w:eastAsia="zh-CN"/>
        </w:rPr>
        <w:t>这份涉及</w:t>
      </w:r>
      <w:r>
        <w:rPr>
          <w:lang w:val="zh-CN" w:eastAsia="zh-CN"/>
        </w:rPr>
        <w:t>程序和法律</w:t>
      </w:r>
      <w:r>
        <w:rPr>
          <w:rFonts w:hint="eastAsia"/>
          <w:lang w:val="zh-CN" w:eastAsia="zh-CN"/>
        </w:rPr>
        <w:t>的报告专门处理</w:t>
      </w:r>
      <w:r>
        <w:rPr>
          <w:lang w:val="zh-CN" w:eastAsia="zh-CN"/>
        </w:rPr>
        <w:t>远程与会者和远程</w:t>
      </w:r>
      <w:r>
        <w:rPr>
          <w:rFonts w:hint="eastAsia"/>
          <w:lang w:val="zh-CN" w:eastAsia="zh-CN"/>
        </w:rPr>
        <w:t>参会</w:t>
      </w:r>
      <w:r>
        <w:rPr>
          <w:lang w:val="zh-CN" w:eastAsia="zh-CN"/>
        </w:rPr>
        <w:t>主席的法律权利问题。</w:t>
      </w:r>
    </w:p>
    <w:p w14:paraId="5C665EFB" w14:textId="77777777" w:rsidR="00AD021A" w:rsidRPr="00130D8A" w:rsidRDefault="00AD021A" w:rsidP="00AD021A">
      <w:pPr>
        <w:pStyle w:val="Headingb"/>
        <w:rPr>
          <w:lang w:eastAsia="zh-CN"/>
        </w:rPr>
      </w:pPr>
      <w:r>
        <w:rPr>
          <w:rFonts w:hint="eastAsia"/>
          <w:lang w:val="zh-CN" w:eastAsia="zh-CN"/>
        </w:rPr>
        <w:t>现状</w:t>
      </w:r>
    </w:p>
    <w:p w14:paraId="5E56AA82" w14:textId="0794B211" w:rsidR="00AD021A" w:rsidRPr="00130D8A" w:rsidRDefault="00A27C09" w:rsidP="00AD021A">
      <w:pPr>
        <w:ind w:firstLineChars="200" w:firstLine="480"/>
        <w:rPr>
          <w:lang w:eastAsia="zh-CN"/>
        </w:rPr>
      </w:pPr>
      <w:hyperlink r:id="rId16" w:history="1">
        <w:r w:rsidR="00AD021A" w:rsidRPr="00AD021A">
          <w:rPr>
            <w:rStyle w:val="Hyperlink"/>
            <w:lang w:val="zh-CN" w:eastAsia="zh-CN"/>
          </w:rPr>
          <w:t>PP-22/64</w:t>
        </w:r>
      </w:hyperlink>
      <w:r w:rsidR="00AD021A">
        <w:rPr>
          <w:lang w:val="zh-CN" w:eastAsia="zh-CN"/>
        </w:rPr>
        <w:t>号文件</w:t>
      </w:r>
      <w:r w:rsidR="00AD021A">
        <w:rPr>
          <w:rFonts w:hint="eastAsia"/>
          <w:lang w:val="zh-CN" w:eastAsia="zh-CN"/>
        </w:rPr>
        <w:t>指出，</w:t>
      </w:r>
      <w:r w:rsidR="00AD021A">
        <w:rPr>
          <w:lang w:val="zh-CN" w:eastAsia="zh-CN"/>
        </w:rPr>
        <w:t>国际电联</w:t>
      </w:r>
      <w:r w:rsidR="00AD021A">
        <w:rPr>
          <w:rFonts w:hint="eastAsia"/>
          <w:lang w:val="zh-CN" w:eastAsia="zh-CN"/>
        </w:rPr>
        <w:t>举办</w:t>
      </w:r>
      <w:r w:rsidR="00AD021A">
        <w:rPr>
          <w:lang w:val="zh-CN" w:eastAsia="zh-CN"/>
        </w:rPr>
        <w:t>虚拟会议和可远程参与的现场会议的财务</w:t>
      </w:r>
      <w:r w:rsidR="00AD021A">
        <w:rPr>
          <w:rFonts w:hint="eastAsia"/>
          <w:lang w:val="zh-CN" w:eastAsia="zh-CN"/>
        </w:rPr>
        <w:t>费用</w:t>
      </w:r>
      <w:r w:rsidR="00AD021A">
        <w:rPr>
          <w:lang w:val="zh-CN" w:eastAsia="zh-CN"/>
        </w:rPr>
        <w:t>高达每年</w:t>
      </w:r>
      <w:r w:rsidR="00AD021A">
        <w:rPr>
          <w:lang w:val="zh-CN" w:eastAsia="zh-CN"/>
        </w:rPr>
        <w:t>855 000</w:t>
      </w:r>
      <w:r w:rsidR="00AD021A">
        <w:rPr>
          <w:lang w:val="zh-CN" w:eastAsia="zh-CN"/>
        </w:rPr>
        <w:t>瑞郎，</w:t>
      </w:r>
      <w:r w:rsidR="00AD021A">
        <w:rPr>
          <w:rFonts w:hint="eastAsia"/>
          <w:lang w:val="zh-CN" w:eastAsia="zh-CN"/>
        </w:rPr>
        <w:t>考虑到</w:t>
      </w:r>
      <w:r w:rsidR="00AD021A">
        <w:rPr>
          <w:lang w:val="zh-CN" w:eastAsia="zh-CN"/>
        </w:rPr>
        <w:t>每五年需投资</w:t>
      </w:r>
      <w:r w:rsidR="00AD021A">
        <w:rPr>
          <w:lang w:val="zh-CN" w:eastAsia="zh-CN"/>
        </w:rPr>
        <w:t>1 000 000</w:t>
      </w:r>
      <w:r w:rsidR="00AD021A">
        <w:rPr>
          <w:lang w:val="zh-CN" w:eastAsia="zh-CN"/>
        </w:rPr>
        <w:t>瑞郎</w:t>
      </w:r>
      <w:r w:rsidR="00AD021A">
        <w:rPr>
          <w:rFonts w:hint="eastAsia"/>
          <w:lang w:val="zh-CN" w:eastAsia="zh-CN"/>
        </w:rPr>
        <w:t>以及</w:t>
      </w:r>
      <w:r w:rsidR="00AD021A">
        <w:rPr>
          <w:lang w:val="zh-CN" w:eastAsia="zh-CN"/>
        </w:rPr>
        <w:t>国际电联面临预算困难，墨西哥主管部门认为，</w:t>
      </w:r>
      <w:r w:rsidR="00AD021A">
        <w:rPr>
          <w:rFonts w:hint="eastAsia"/>
          <w:lang w:val="zh-CN" w:eastAsia="zh-CN"/>
        </w:rPr>
        <w:t>就</w:t>
      </w:r>
      <w:r w:rsidR="00AD021A">
        <w:rPr>
          <w:lang w:val="zh-CN" w:eastAsia="zh-CN"/>
        </w:rPr>
        <w:t>国际电联举办完全虚拟会议和有远程参与的现场会议</w:t>
      </w:r>
      <w:r w:rsidR="00AD021A">
        <w:rPr>
          <w:rFonts w:hint="eastAsia"/>
          <w:lang w:val="zh-CN" w:eastAsia="zh-CN"/>
        </w:rPr>
        <w:t>问题制定</w:t>
      </w:r>
      <w:r w:rsidR="00AD021A">
        <w:rPr>
          <w:lang w:val="zh-CN" w:eastAsia="zh-CN"/>
        </w:rPr>
        <w:t>高层原则非常重要。</w:t>
      </w:r>
    </w:p>
    <w:p w14:paraId="3DD82993" w14:textId="77777777" w:rsidR="00AD021A" w:rsidRPr="00130D8A" w:rsidRDefault="00AD021A" w:rsidP="00AD021A">
      <w:pPr>
        <w:ind w:firstLineChars="200" w:firstLine="480"/>
        <w:rPr>
          <w:lang w:eastAsia="zh-CN"/>
        </w:rPr>
      </w:pPr>
      <w:r>
        <w:rPr>
          <w:lang w:val="zh-CN" w:eastAsia="zh-CN"/>
        </w:rPr>
        <w:t>有必要忆及发展中国家</w:t>
      </w:r>
      <w:r w:rsidRPr="003D304A">
        <w:rPr>
          <w:rStyle w:val="FootnoteReference"/>
          <w:lang w:val="zh-CN"/>
        </w:rPr>
        <w:footnoteReference w:id="1"/>
      </w:r>
      <w:r>
        <w:rPr>
          <w:rFonts w:hint="eastAsia"/>
          <w:lang w:val="zh-CN" w:eastAsia="zh-CN"/>
        </w:rPr>
        <w:t>在</w:t>
      </w:r>
      <w:r>
        <w:rPr>
          <w:lang w:val="zh-CN" w:eastAsia="zh-CN"/>
        </w:rPr>
        <w:t>参加国际电联三个部门</w:t>
      </w:r>
      <w:r>
        <w:rPr>
          <w:rFonts w:hint="eastAsia"/>
          <w:lang w:val="zh-CN" w:eastAsia="zh-CN"/>
        </w:rPr>
        <w:t>实体</w:t>
      </w:r>
      <w:r>
        <w:rPr>
          <w:lang w:val="zh-CN" w:eastAsia="zh-CN"/>
        </w:rPr>
        <w:t>会议</w:t>
      </w:r>
      <w:r>
        <w:rPr>
          <w:rFonts w:hint="eastAsia"/>
          <w:lang w:val="zh-CN" w:eastAsia="zh-CN"/>
        </w:rPr>
        <w:t>方面</w:t>
      </w:r>
      <w:r>
        <w:rPr>
          <w:lang w:val="zh-CN" w:eastAsia="zh-CN"/>
        </w:rPr>
        <w:t>面临财务</w:t>
      </w:r>
      <w:r>
        <w:rPr>
          <w:rFonts w:hint="eastAsia"/>
          <w:lang w:val="zh-CN" w:eastAsia="zh-CN"/>
        </w:rPr>
        <w:t>困难</w:t>
      </w:r>
      <w:r>
        <w:rPr>
          <w:lang w:val="zh-CN" w:eastAsia="zh-CN"/>
        </w:rPr>
        <w:t>，而</w:t>
      </w:r>
      <w:r>
        <w:rPr>
          <w:rFonts w:hint="eastAsia"/>
          <w:lang w:val="zh-CN" w:eastAsia="zh-CN"/>
        </w:rPr>
        <w:t>参加</w:t>
      </w:r>
      <w:r>
        <w:rPr>
          <w:lang w:val="zh-CN" w:eastAsia="zh-CN"/>
        </w:rPr>
        <w:t>虚拟会</w:t>
      </w:r>
      <w:r>
        <w:rPr>
          <w:rFonts w:hint="eastAsia"/>
          <w:lang w:val="zh-CN" w:eastAsia="zh-CN"/>
        </w:rPr>
        <w:t>议</w:t>
      </w:r>
      <w:r>
        <w:rPr>
          <w:lang w:val="zh-CN" w:eastAsia="zh-CN"/>
        </w:rPr>
        <w:t>能使</w:t>
      </w:r>
      <w:r>
        <w:rPr>
          <w:rFonts w:hint="eastAsia"/>
          <w:lang w:val="zh-CN" w:eastAsia="zh-CN"/>
        </w:rPr>
        <w:t>这些发展中国家</w:t>
      </w:r>
      <w:r>
        <w:rPr>
          <w:lang w:val="zh-CN" w:eastAsia="zh-CN"/>
        </w:rPr>
        <w:t>在不产生巨额费用的</w:t>
      </w:r>
      <w:r>
        <w:rPr>
          <w:rFonts w:hint="eastAsia"/>
          <w:lang w:val="zh-CN" w:eastAsia="zh-CN"/>
        </w:rPr>
        <w:t>前提</w:t>
      </w:r>
      <w:r>
        <w:rPr>
          <w:lang w:val="zh-CN" w:eastAsia="zh-CN"/>
        </w:rPr>
        <w:t>下跟进国际电联</w:t>
      </w:r>
      <w:r>
        <w:rPr>
          <w:rFonts w:hint="eastAsia"/>
          <w:lang w:val="zh-CN" w:eastAsia="zh-CN"/>
        </w:rPr>
        <w:t>开展的</w:t>
      </w:r>
      <w:r>
        <w:rPr>
          <w:lang w:val="zh-CN" w:eastAsia="zh-CN"/>
        </w:rPr>
        <w:t>活动。此外，</w:t>
      </w:r>
      <w:r>
        <w:rPr>
          <w:rFonts w:hint="eastAsia"/>
          <w:lang w:val="zh-CN" w:eastAsia="zh-CN"/>
        </w:rPr>
        <w:t>让</w:t>
      </w:r>
      <w:r>
        <w:rPr>
          <w:lang w:val="zh-CN" w:eastAsia="zh-CN"/>
        </w:rPr>
        <w:t>多数成员参与决策将在全球层面促进</w:t>
      </w:r>
      <w:r>
        <w:rPr>
          <w:rFonts w:hint="eastAsia"/>
          <w:lang w:val="zh-CN" w:eastAsia="zh-CN"/>
        </w:rPr>
        <w:t>为</w:t>
      </w:r>
      <w:r>
        <w:rPr>
          <w:lang w:val="zh-CN" w:eastAsia="zh-CN"/>
        </w:rPr>
        <w:t>创新以及</w:t>
      </w:r>
      <w:r>
        <w:rPr>
          <w:rFonts w:hint="eastAsia"/>
          <w:lang w:val="zh-CN" w:eastAsia="zh-CN"/>
        </w:rPr>
        <w:t>实现</w:t>
      </w:r>
      <w:r>
        <w:rPr>
          <w:lang w:val="zh-CN" w:eastAsia="zh-CN"/>
        </w:rPr>
        <w:t>包容且可持续的技术发展</w:t>
      </w:r>
      <w:r>
        <w:rPr>
          <w:rFonts w:hint="eastAsia"/>
          <w:lang w:val="zh-CN" w:eastAsia="zh-CN"/>
        </w:rPr>
        <w:t>营造</w:t>
      </w:r>
      <w:r>
        <w:rPr>
          <w:lang w:val="zh-CN" w:eastAsia="zh-CN"/>
        </w:rPr>
        <w:t>有利</w:t>
      </w:r>
      <w:r>
        <w:rPr>
          <w:rFonts w:hint="eastAsia"/>
          <w:lang w:val="zh-CN" w:eastAsia="zh-CN"/>
        </w:rPr>
        <w:t>环境</w:t>
      </w:r>
      <w:r>
        <w:rPr>
          <w:lang w:val="zh-CN" w:eastAsia="zh-CN"/>
        </w:rPr>
        <w:t>。</w:t>
      </w:r>
    </w:p>
    <w:p w14:paraId="28BFB8E8" w14:textId="095569B3" w:rsidR="00AD021A" w:rsidRPr="00130D8A" w:rsidRDefault="00AD021A" w:rsidP="00AD021A">
      <w:pPr>
        <w:ind w:firstLineChars="200" w:firstLine="480"/>
        <w:rPr>
          <w:lang w:eastAsia="zh-CN"/>
        </w:rPr>
      </w:pPr>
      <w:r>
        <w:rPr>
          <w:lang w:val="zh-CN" w:eastAsia="zh-CN"/>
        </w:rPr>
        <w:t>虽然国际电联法律顾问此前已澄清，第</w:t>
      </w:r>
      <w:r>
        <w:rPr>
          <w:lang w:val="zh-CN" w:eastAsia="zh-CN"/>
        </w:rPr>
        <w:t>167</w:t>
      </w:r>
      <w:r>
        <w:rPr>
          <w:lang w:val="zh-CN" w:eastAsia="zh-CN"/>
        </w:rPr>
        <w:t>号决议的一项重要原则是决</w:t>
      </w:r>
      <w:r>
        <w:rPr>
          <w:rFonts w:hint="eastAsia"/>
          <w:lang w:val="zh-CN" w:eastAsia="zh-CN"/>
        </w:rPr>
        <w:t>策</w:t>
      </w:r>
      <w:r>
        <w:rPr>
          <w:lang w:val="zh-CN" w:eastAsia="zh-CN"/>
        </w:rPr>
        <w:t>只能由</w:t>
      </w:r>
      <w:r>
        <w:rPr>
          <w:rFonts w:hint="eastAsia"/>
          <w:lang w:val="zh-CN" w:eastAsia="zh-CN"/>
        </w:rPr>
        <w:t>现场出席的</w:t>
      </w:r>
      <w:r>
        <w:rPr>
          <w:lang w:val="zh-CN" w:eastAsia="zh-CN"/>
        </w:rPr>
        <w:t>代表做出，因此不允许远程与会者参与决策，但</w:t>
      </w:r>
      <w:r>
        <w:rPr>
          <w:rFonts w:hint="eastAsia"/>
          <w:lang w:val="zh-CN" w:eastAsia="zh-CN"/>
        </w:rPr>
        <w:t>我们也</w:t>
      </w:r>
      <w:r>
        <w:rPr>
          <w:lang w:val="zh-CN" w:eastAsia="zh-CN"/>
        </w:rPr>
        <w:t>必须铭记总秘书处在</w:t>
      </w:r>
      <w:hyperlink r:id="rId17" w:history="1">
        <w:r w:rsidRPr="00AD021A">
          <w:rPr>
            <w:rStyle w:val="Hyperlink"/>
            <w:lang w:val="zh-CN" w:eastAsia="zh-CN"/>
          </w:rPr>
          <w:t>C24/61</w:t>
        </w:r>
      </w:hyperlink>
      <w:r>
        <w:rPr>
          <w:lang w:val="zh-CN" w:eastAsia="zh-CN"/>
        </w:rPr>
        <w:t>号文件所做的分析以及第</w:t>
      </w:r>
      <w:r>
        <w:rPr>
          <w:lang w:val="zh-CN" w:eastAsia="zh-CN"/>
        </w:rPr>
        <w:t>167</w:t>
      </w:r>
      <w:r>
        <w:rPr>
          <w:lang w:val="zh-CN" w:eastAsia="zh-CN"/>
        </w:rPr>
        <w:t>号决议附件</w:t>
      </w:r>
      <w:r>
        <w:rPr>
          <w:lang w:val="zh-CN" w:eastAsia="zh-CN"/>
        </w:rPr>
        <w:t>1</w:t>
      </w:r>
      <w:r>
        <w:rPr>
          <w:lang w:val="zh-CN" w:eastAsia="zh-CN"/>
        </w:rPr>
        <w:t>的内容，</w:t>
      </w:r>
      <w:r>
        <w:rPr>
          <w:rFonts w:hint="eastAsia"/>
          <w:lang w:val="zh-CN" w:eastAsia="zh-CN"/>
        </w:rPr>
        <w:t>这些文件</w:t>
      </w:r>
      <w:r>
        <w:rPr>
          <w:lang w:val="zh-CN" w:eastAsia="zh-CN"/>
        </w:rPr>
        <w:t>认识到有必要制定高层导则</w:t>
      </w:r>
      <w:r>
        <w:rPr>
          <w:rFonts w:hint="eastAsia"/>
          <w:lang w:val="zh-CN" w:eastAsia="zh-CN"/>
        </w:rPr>
        <w:t>并在导则</w:t>
      </w:r>
      <w:r>
        <w:rPr>
          <w:lang w:val="zh-CN" w:eastAsia="zh-CN"/>
        </w:rPr>
        <w:t>中</w:t>
      </w:r>
      <w:r>
        <w:rPr>
          <w:rFonts w:hint="eastAsia"/>
          <w:lang w:val="zh-CN" w:eastAsia="zh-CN"/>
        </w:rPr>
        <w:t>纳入</w:t>
      </w:r>
      <w:r>
        <w:rPr>
          <w:lang w:val="zh-CN" w:eastAsia="zh-CN"/>
        </w:rPr>
        <w:t>远程参与不同类型会议成员</w:t>
      </w:r>
      <w:r>
        <w:rPr>
          <w:rFonts w:hint="eastAsia"/>
          <w:lang w:val="zh-CN" w:eastAsia="zh-CN"/>
        </w:rPr>
        <w:t>的</w:t>
      </w:r>
      <w:r>
        <w:rPr>
          <w:lang w:val="zh-CN" w:eastAsia="zh-CN"/>
        </w:rPr>
        <w:t>决策权。</w:t>
      </w:r>
    </w:p>
    <w:p w14:paraId="5E256137" w14:textId="77777777" w:rsidR="00AD021A" w:rsidRPr="00130D8A" w:rsidRDefault="00AD021A" w:rsidP="00AD021A">
      <w:pPr>
        <w:pStyle w:val="Headingb"/>
        <w:rPr>
          <w:lang w:eastAsia="zh-CN"/>
        </w:rPr>
      </w:pPr>
      <w:r>
        <w:rPr>
          <w:lang w:val="zh-CN" w:eastAsia="zh-CN"/>
        </w:rPr>
        <w:lastRenderedPageBreak/>
        <w:t>建议</w:t>
      </w:r>
    </w:p>
    <w:p w14:paraId="5B0F5904" w14:textId="7DEB1F47" w:rsidR="00AD021A" w:rsidRPr="00130D8A" w:rsidRDefault="00AD021A" w:rsidP="00AD021A">
      <w:pPr>
        <w:ind w:firstLineChars="200" w:firstLine="480"/>
        <w:rPr>
          <w:lang w:eastAsia="zh-CN"/>
        </w:rPr>
      </w:pPr>
      <w:r>
        <w:rPr>
          <w:lang w:val="zh-CN" w:eastAsia="zh-CN"/>
        </w:rPr>
        <w:t>墨西哥主管部门感谢总秘书处提供的信息，</w:t>
      </w:r>
      <w:r>
        <w:rPr>
          <w:rFonts w:hint="eastAsia"/>
          <w:lang w:val="zh-CN" w:eastAsia="zh-CN"/>
        </w:rPr>
        <w:t>此</w:t>
      </w:r>
      <w:r>
        <w:rPr>
          <w:lang w:val="zh-CN" w:eastAsia="zh-CN"/>
        </w:rPr>
        <w:t>信息反映了国际电联落实第</w:t>
      </w:r>
      <w:r>
        <w:rPr>
          <w:lang w:val="zh-CN" w:eastAsia="zh-CN"/>
        </w:rPr>
        <w:t>167</w:t>
      </w:r>
      <w:r>
        <w:rPr>
          <w:lang w:val="zh-CN" w:eastAsia="zh-CN"/>
        </w:rPr>
        <w:t>号决议的现状。</w:t>
      </w:r>
      <w:r>
        <w:rPr>
          <w:rFonts w:hint="eastAsia"/>
          <w:lang w:val="zh-CN" w:eastAsia="zh-CN"/>
        </w:rPr>
        <w:t>该主管部门亦对</w:t>
      </w:r>
      <w:r>
        <w:rPr>
          <w:lang w:val="zh-CN" w:eastAsia="zh-CN"/>
        </w:rPr>
        <w:t>秘书处</w:t>
      </w:r>
      <w:r>
        <w:rPr>
          <w:rFonts w:hint="eastAsia"/>
          <w:lang w:val="zh-CN" w:eastAsia="zh-CN"/>
        </w:rPr>
        <w:t>所</w:t>
      </w:r>
      <w:r>
        <w:rPr>
          <w:lang w:val="zh-CN" w:eastAsia="zh-CN"/>
        </w:rPr>
        <w:t>介绍</w:t>
      </w:r>
      <w:r>
        <w:rPr>
          <w:rFonts w:hint="eastAsia"/>
          <w:lang w:val="zh-CN" w:eastAsia="zh-CN"/>
        </w:rPr>
        <w:t>的咨询结</w:t>
      </w:r>
      <w:r>
        <w:rPr>
          <w:lang w:val="zh-CN" w:eastAsia="zh-CN"/>
        </w:rPr>
        <w:t>果（</w:t>
      </w:r>
      <w:hyperlink r:id="rId18" w:history="1">
        <w:r w:rsidRPr="00AD021A">
          <w:rPr>
            <w:rStyle w:val="Hyperlink"/>
            <w:lang w:val="zh-CN" w:eastAsia="zh-CN"/>
          </w:rPr>
          <w:t>C24/INF/7</w:t>
        </w:r>
      </w:hyperlink>
      <w:r>
        <w:rPr>
          <w:lang w:val="zh-CN" w:eastAsia="zh-CN"/>
        </w:rPr>
        <w:t>）</w:t>
      </w:r>
      <w:r>
        <w:rPr>
          <w:rFonts w:hint="eastAsia"/>
          <w:lang w:val="zh-CN" w:eastAsia="zh-CN"/>
        </w:rPr>
        <w:t>表示</w:t>
      </w:r>
      <w:r>
        <w:rPr>
          <w:lang w:val="zh-CN" w:eastAsia="zh-CN"/>
        </w:rPr>
        <w:t>赞赏，</w:t>
      </w:r>
      <w:r>
        <w:rPr>
          <w:rFonts w:hint="eastAsia"/>
          <w:lang w:val="zh-CN" w:eastAsia="zh-CN"/>
        </w:rPr>
        <w:t>这些咨询结果</w:t>
      </w:r>
      <w:r>
        <w:rPr>
          <w:lang w:val="zh-CN" w:eastAsia="zh-CN"/>
        </w:rPr>
        <w:t>指出联合国系统各组织为现场和虚拟</w:t>
      </w:r>
      <w:r>
        <w:rPr>
          <w:rFonts w:hint="eastAsia"/>
          <w:lang w:val="zh-CN" w:eastAsia="zh-CN"/>
        </w:rPr>
        <w:t>会议的</w:t>
      </w:r>
      <w:r>
        <w:rPr>
          <w:lang w:val="zh-CN" w:eastAsia="zh-CN"/>
        </w:rPr>
        <w:t>与会者</w:t>
      </w:r>
      <w:r>
        <w:rPr>
          <w:rFonts w:hint="eastAsia"/>
          <w:lang w:val="zh-CN" w:eastAsia="zh-CN"/>
        </w:rPr>
        <w:t>赋予</w:t>
      </w:r>
      <w:r>
        <w:rPr>
          <w:lang w:val="zh-CN" w:eastAsia="zh-CN"/>
        </w:rPr>
        <w:t>了平等权利，</w:t>
      </w:r>
      <w:r>
        <w:rPr>
          <w:rFonts w:hint="eastAsia"/>
          <w:lang w:val="zh-CN" w:eastAsia="zh-CN"/>
        </w:rPr>
        <w:t>其中</w:t>
      </w:r>
      <w:r>
        <w:rPr>
          <w:lang w:val="zh-CN" w:eastAsia="zh-CN"/>
        </w:rPr>
        <w:t>包括投票、提出程序动议、发言</w:t>
      </w:r>
      <w:r>
        <w:rPr>
          <w:rFonts w:hint="eastAsia"/>
          <w:lang w:val="zh-CN" w:eastAsia="zh-CN"/>
        </w:rPr>
        <w:t>以及</w:t>
      </w:r>
      <w:r>
        <w:rPr>
          <w:lang w:val="zh-CN" w:eastAsia="zh-CN"/>
        </w:rPr>
        <w:t>酌情提交文件的权利。</w:t>
      </w:r>
    </w:p>
    <w:p w14:paraId="76D6C6B7" w14:textId="77777777" w:rsidR="00AD021A" w:rsidRPr="00130D8A" w:rsidRDefault="00AD021A" w:rsidP="00AD021A">
      <w:pPr>
        <w:ind w:firstLineChars="200" w:firstLine="480"/>
        <w:rPr>
          <w:lang w:eastAsia="zh-CN"/>
        </w:rPr>
      </w:pPr>
      <w:r>
        <w:rPr>
          <w:lang w:val="zh-CN" w:eastAsia="zh-CN"/>
        </w:rPr>
        <w:t>但墨西哥主管部门认为，</w:t>
      </w:r>
      <w:r>
        <w:rPr>
          <w:rFonts w:hint="eastAsia"/>
          <w:lang w:val="zh-CN" w:eastAsia="zh-CN"/>
        </w:rPr>
        <w:t>为</w:t>
      </w:r>
      <w:r>
        <w:rPr>
          <w:lang w:val="zh-CN" w:eastAsia="zh-CN"/>
        </w:rPr>
        <w:t>加强并扩大</w:t>
      </w:r>
      <w:r>
        <w:rPr>
          <w:rFonts w:hint="eastAsia"/>
          <w:lang w:val="zh-CN" w:eastAsia="zh-CN"/>
        </w:rPr>
        <w:t>参加</w:t>
      </w:r>
      <w:r>
        <w:rPr>
          <w:lang w:val="zh-CN" w:eastAsia="zh-CN"/>
        </w:rPr>
        <w:t>虚拟</w:t>
      </w:r>
      <w:r>
        <w:rPr>
          <w:rFonts w:hint="eastAsia"/>
          <w:lang w:val="zh-CN" w:eastAsia="zh-CN"/>
        </w:rPr>
        <w:t>会议的代表在</w:t>
      </w:r>
      <w:r>
        <w:rPr>
          <w:lang w:val="zh-CN" w:eastAsia="zh-CN"/>
        </w:rPr>
        <w:t>国际电联决策过程中的权利</w:t>
      </w:r>
      <w:r>
        <w:rPr>
          <w:rFonts w:hint="eastAsia"/>
          <w:lang w:val="zh-CN" w:eastAsia="zh-CN"/>
        </w:rPr>
        <w:t>，有必要继续就</w:t>
      </w:r>
      <w:r>
        <w:rPr>
          <w:lang w:val="zh-CN" w:eastAsia="zh-CN"/>
        </w:rPr>
        <w:t>该问题</w:t>
      </w:r>
      <w:r>
        <w:rPr>
          <w:rFonts w:hint="eastAsia"/>
          <w:lang w:val="zh-CN" w:eastAsia="zh-CN"/>
        </w:rPr>
        <w:t>开展</w:t>
      </w:r>
      <w:r>
        <w:rPr>
          <w:lang w:val="zh-CN" w:eastAsia="zh-CN"/>
        </w:rPr>
        <w:t>研究。</w:t>
      </w:r>
    </w:p>
    <w:p w14:paraId="289259A3" w14:textId="77777777" w:rsidR="00AD021A" w:rsidRPr="00130D8A" w:rsidRDefault="00AD021A" w:rsidP="00AD021A">
      <w:pPr>
        <w:ind w:firstLineChars="200" w:firstLine="480"/>
        <w:rPr>
          <w:lang w:eastAsia="zh-CN"/>
        </w:rPr>
      </w:pPr>
      <w:r>
        <w:rPr>
          <w:lang w:val="zh-CN" w:eastAsia="zh-CN"/>
        </w:rPr>
        <w:t>因此，墨西哥主管部门提</w:t>
      </w:r>
      <w:r>
        <w:rPr>
          <w:rFonts w:hint="eastAsia"/>
          <w:lang w:val="zh-CN" w:eastAsia="zh-CN"/>
        </w:rPr>
        <w:t>出如下建议</w:t>
      </w:r>
      <w:r>
        <w:rPr>
          <w:lang w:val="zh-CN" w:eastAsia="zh-CN"/>
        </w:rPr>
        <w:t>：</w:t>
      </w:r>
    </w:p>
    <w:p w14:paraId="11857F22" w14:textId="77777777" w:rsidR="00AD021A" w:rsidRPr="00130D8A" w:rsidRDefault="00AD021A" w:rsidP="00AD021A">
      <w:pPr>
        <w:pStyle w:val="enumlev1"/>
        <w:rPr>
          <w:lang w:eastAsia="zh-CN"/>
        </w:rPr>
      </w:pPr>
      <w:r>
        <w:rPr>
          <w:lang w:val="zh-CN" w:eastAsia="zh-CN"/>
        </w:rPr>
        <w:t>1)</w:t>
      </w:r>
      <w:r>
        <w:rPr>
          <w:lang w:val="zh-CN" w:eastAsia="zh-CN"/>
        </w:rPr>
        <w:tab/>
      </w:r>
      <w:r>
        <w:rPr>
          <w:lang w:val="zh-CN" w:eastAsia="zh-CN"/>
        </w:rPr>
        <w:t>墨西哥主管部门支持国际电联秘书处的建议，即自</w:t>
      </w:r>
      <w:r>
        <w:rPr>
          <w:lang w:val="zh-CN" w:eastAsia="zh-CN"/>
        </w:rPr>
        <w:t>2025</w:t>
      </w:r>
      <w:r>
        <w:rPr>
          <w:lang w:val="zh-CN" w:eastAsia="zh-CN"/>
        </w:rPr>
        <w:t>年起由国际电联理事会承担确定所有大会、全会和理事会会议形式的责任。</w:t>
      </w:r>
    </w:p>
    <w:p w14:paraId="496B08AD" w14:textId="77777777" w:rsidR="00AD021A" w:rsidRPr="00130D8A" w:rsidRDefault="00AD021A" w:rsidP="00AD021A">
      <w:pPr>
        <w:pStyle w:val="enumlev1"/>
        <w:rPr>
          <w:lang w:eastAsia="zh-CN"/>
        </w:rPr>
      </w:pPr>
      <w:r>
        <w:rPr>
          <w:lang w:val="zh-CN" w:eastAsia="zh-CN"/>
        </w:rPr>
        <w:tab/>
      </w:r>
      <w:r>
        <w:rPr>
          <w:lang w:val="zh-CN" w:eastAsia="zh-CN"/>
        </w:rPr>
        <w:t>在</w:t>
      </w:r>
      <w:r>
        <w:rPr>
          <w:rFonts w:hint="eastAsia"/>
          <w:lang w:val="zh-CN" w:eastAsia="zh-CN"/>
        </w:rPr>
        <w:t>这</w:t>
      </w:r>
      <w:r>
        <w:rPr>
          <w:lang w:val="zh-CN" w:eastAsia="zh-CN"/>
        </w:rPr>
        <w:t>方面，墨西哥主管部门建议成立一个信函通信组，为完全虚拟会议和可远程参与的</w:t>
      </w:r>
      <w:r>
        <w:rPr>
          <w:rFonts w:hint="eastAsia"/>
          <w:lang w:val="zh-CN" w:eastAsia="zh-CN"/>
        </w:rPr>
        <w:t>现场</w:t>
      </w:r>
      <w:r>
        <w:rPr>
          <w:lang w:val="zh-CN" w:eastAsia="zh-CN"/>
        </w:rPr>
        <w:t>会议制定</w:t>
      </w:r>
      <w:r>
        <w:rPr>
          <w:rFonts w:hint="eastAsia"/>
          <w:lang w:val="zh-CN" w:eastAsia="zh-CN"/>
        </w:rPr>
        <w:t>高层</w:t>
      </w:r>
      <w:r>
        <w:rPr>
          <w:lang w:val="zh-CN" w:eastAsia="zh-CN"/>
        </w:rPr>
        <w:t>管理和治理导则，同时考虑到第</w:t>
      </w:r>
      <w:r>
        <w:rPr>
          <w:lang w:val="zh-CN" w:eastAsia="zh-CN"/>
        </w:rPr>
        <w:t>167</w:t>
      </w:r>
      <w:r>
        <w:rPr>
          <w:lang w:val="zh-CN" w:eastAsia="zh-CN"/>
        </w:rPr>
        <w:t>号决议附件</w:t>
      </w:r>
      <w:r>
        <w:rPr>
          <w:lang w:val="zh-CN" w:eastAsia="zh-CN"/>
        </w:rPr>
        <w:t>1</w:t>
      </w:r>
      <w:r>
        <w:rPr>
          <w:rFonts w:hint="eastAsia"/>
          <w:lang w:val="zh-CN" w:eastAsia="zh-CN"/>
        </w:rPr>
        <w:t>的内容，其中</w:t>
      </w:r>
      <w:r>
        <w:rPr>
          <w:lang w:val="zh-CN" w:eastAsia="zh-CN"/>
        </w:rPr>
        <w:t>包括但不限于远程参会</w:t>
      </w:r>
      <w:r>
        <w:rPr>
          <w:rFonts w:hint="eastAsia"/>
          <w:lang w:val="zh-CN" w:eastAsia="zh-CN"/>
        </w:rPr>
        <w:t>代表</w:t>
      </w:r>
      <w:r>
        <w:rPr>
          <w:lang w:val="zh-CN" w:eastAsia="zh-CN"/>
        </w:rPr>
        <w:t>的权利。</w:t>
      </w:r>
    </w:p>
    <w:p w14:paraId="2A38C012" w14:textId="77777777" w:rsidR="00AD021A" w:rsidRPr="00130D8A" w:rsidRDefault="00AD021A" w:rsidP="00AD021A">
      <w:pPr>
        <w:pStyle w:val="enumlev1"/>
        <w:rPr>
          <w:lang w:eastAsia="zh-CN"/>
        </w:rPr>
      </w:pPr>
      <w:r>
        <w:rPr>
          <w:lang w:val="zh-CN" w:eastAsia="zh-CN"/>
        </w:rPr>
        <w:t>2)</w:t>
      </w:r>
      <w:r>
        <w:rPr>
          <w:lang w:val="zh-CN" w:eastAsia="zh-CN"/>
        </w:rPr>
        <w:tab/>
      </w:r>
      <w:r>
        <w:rPr>
          <w:lang w:val="zh-CN" w:eastAsia="zh-CN"/>
        </w:rPr>
        <w:t>墨西哥主管部门认为，应为信函通信组确定职责范围，以</w:t>
      </w:r>
      <w:r>
        <w:rPr>
          <w:rFonts w:hint="eastAsia"/>
          <w:lang w:val="zh-CN" w:eastAsia="zh-CN"/>
        </w:rPr>
        <w:t>便为</w:t>
      </w:r>
      <w:r>
        <w:rPr>
          <w:lang w:val="zh-CN" w:eastAsia="zh-CN"/>
        </w:rPr>
        <w:t>其制定此类导则</w:t>
      </w:r>
      <w:r>
        <w:rPr>
          <w:rFonts w:hint="eastAsia"/>
          <w:lang w:val="zh-CN" w:eastAsia="zh-CN"/>
        </w:rPr>
        <w:t>提供指导</w:t>
      </w:r>
      <w:r>
        <w:rPr>
          <w:lang w:val="zh-CN" w:eastAsia="zh-CN"/>
        </w:rPr>
        <w:t>。为此，</w:t>
      </w:r>
      <w:r>
        <w:rPr>
          <w:rFonts w:hint="eastAsia"/>
          <w:lang w:val="zh-CN" w:eastAsia="zh-CN"/>
        </w:rPr>
        <w:t>该</w:t>
      </w:r>
      <w:r>
        <w:rPr>
          <w:lang w:val="zh-CN" w:eastAsia="zh-CN"/>
        </w:rPr>
        <w:t>主管部门在本文附件中提交了一</w:t>
      </w:r>
      <w:r>
        <w:rPr>
          <w:rFonts w:hint="eastAsia"/>
          <w:lang w:val="zh-CN" w:eastAsia="zh-CN"/>
        </w:rPr>
        <w:t>项建议，请各</w:t>
      </w:r>
      <w:r>
        <w:rPr>
          <w:lang w:val="zh-CN" w:eastAsia="zh-CN"/>
        </w:rPr>
        <w:t>成员考虑。</w:t>
      </w:r>
    </w:p>
    <w:p w14:paraId="5E2D499B" w14:textId="77777777" w:rsidR="00AD021A" w:rsidRPr="00130D8A" w:rsidRDefault="00AD021A" w:rsidP="00AD021A">
      <w:pPr>
        <w:pStyle w:val="enumlev1"/>
        <w:rPr>
          <w:lang w:eastAsia="zh-CN"/>
        </w:rPr>
      </w:pPr>
      <w:r>
        <w:rPr>
          <w:lang w:val="zh-CN" w:eastAsia="zh-CN"/>
        </w:rPr>
        <w:t>3)</w:t>
      </w:r>
      <w:r>
        <w:rPr>
          <w:lang w:val="zh-CN" w:eastAsia="zh-CN"/>
        </w:rPr>
        <w:tab/>
      </w:r>
      <w:r>
        <w:rPr>
          <w:rFonts w:hint="eastAsia"/>
          <w:lang w:val="zh-CN" w:eastAsia="zh-CN"/>
        </w:rPr>
        <w:t>针</w:t>
      </w:r>
      <w:r>
        <w:rPr>
          <w:lang w:val="zh-CN" w:eastAsia="zh-CN"/>
        </w:rPr>
        <w:t>对国际电联三个部门举行的可远程参与的现场会议</w:t>
      </w:r>
      <w:r>
        <w:rPr>
          <w:rFonts w:hint="eastAsia"/>
          <w:lang w:val="zh-CN" w:eastAsia="zh-CN"/>
        </w:rPr>
        <w:t>，</w:t>
      </w:r>
      <w:r>
        <w:rPr>
          <w:lang w:val="zh-CN" w:eastAsia="zh-CN"/>
        </w:rPr>
        <w:t>秘书处应</w:t>
      </w:r>
      <w:r>
        <w:rPr>
          <w:rFonts w:hint="eastAsia"/>
          <w:lang w:val="zh-CN" w:eastAsia="zh-CN"/>
        </w:rPr>
        <w:t>做出</w:t>
      </w:r>
      <w:r>
        <w:rPr>
          <w:lang w:val="zh-CN" w:eastAsia="zh-CN"/>
        </w:rPr>
        <w:t>分析并指出</w:t>
      </w:r>
      <w:r>
        <w:rPr>
          <w:rFonts w:hint="eastAsia"/>
          <w:lang w:val="zh-CN" w:eastAsia="zh-CN"/>
        </w:rPr>
        <w:t>可</w:t>
      </w:r>
      <w:r>
        <w:rPr>
          <w:lang w:val="zh-CN" w:eastAsia="zh-CN"/>
        </w:rPr>
        <w:t>在哪些方面加强远程与会者在决策过程中的权利。</w:t>
      </w:r>
    </w:p>
    <w:p w14:paraId="0A6D9BB3" w14:textId="77777777" w:rsidR="00AD021A" w:rsidRPr="00130D8A" w:rsidRDefault="00AD021A" w:rsidP="00AD021A">
      <w:pPr>
        <w:pStyle w:val="enumlev1"/>
        <w:rPr>
          <w:lang w:eastAsia="zh-CN"/>
        </w:rPr>
      </w:pPr>
      <w:r>
        <w:rPr>
          <w:lang w:val="zh-CN" w:eastAsia="zh-CN"/>
        </w:rPr>
        <w:t>4)</w:t>
      </w:r>
      <w:r>
        <w:rPr>
          <w:lang w:val="zh-CN" w:eastAsia="zh-CN"/>
        </w:rPr>
        <w:tab/>
      </w:r>
      <w:r>
        <w:rPr>
          <w:lang w:val="zh-CN" w:eastAsia="zh-CN"/>
        </w:rPr>
        <w:t>秘书处应进一步研究远程与会对国际电联现有议事规则及其他相关</w:t>
      </w:r>
      <w:r>
        <w:rPr>
          <w:rFonts w:hint="eastAsia"/>
          <w:lang w:val="zh-CN" w:eastAsia="zh-CN"/>
        </w:rPr>
        <w:t>法律文件</w:t>
      </w:r>
      <w:r>
        <w:rPr>
          <w:lang w:val="zh-CN" w:eastAsia="zh-CN"/>
        </w:rPr>
        <w:t>的影响，以</w:t>
      </w:r>
      <w:r>
        <w:rPr>
          <w:rFonts w:hint="eastAsia"/>
          <w:lang w:val="zh-CN" w:eastAsia="zh-CN"/>
        </w:rPr>
        <w:t>完善</w:t>
      </w:r>
      <w:r>
        <w:rPr>
          <w:lang w:val="zh-CN" w:eastAsia="zh-CN"/>
        </w:rPr>
        <w:t>国际电联可远程参与的</w:t>
      </w:r>
      <w:r>
        <w:rPr>
          <w:rFonts w:hint="eastAsia"/>
          <w:lang w:val="zh-CN" w:eastAsia="zh-CN"/>
        </w:rPr>
        <w:t>现场</w:t>
      </w:r>
      <w:r>
        <w:rPr>
          <w:lang w:val="zh-CN" w:eastAsia="zh-CN"/>
        </w:rPr>
        <w:t>会议</w:t>
      </w:r>
      <w:r>
        <w:rPr>
          <w:rFonts w:hint="eastAsia"/>
          <w:lang w:val="zh-CN" w:eastAsia="zh-CN"/>
        </w:rPr>
        <w:t>的决策手段</w:t>
      </w:r>
      <w:r>
        <w:rPr>
          <w:lang w:val="zh-CN" w:eastAsia="zh-CN"/>
        </w:rPr>
        <w:t>。</w:t>
      </w:r>
    </w:p>
    <w:p w14:paraId="1C6B903D" w14:textId="07C1074D" w:rsidR="00AD021A" w:rsidRPr="00130D8A" w:rsidRDefault="00AD021A" w:rsidP="00AD021A">
      <w:pPr>
        <w:spacing w:before="1080"/>
        <w:rPr>
          <w:lang w:eastAsia="zh-CN"/>
        </w:rPr>
      </w:pPr>
      <w:r>
        <w:rPr>
          <w:lang w:val="zh-CN" w:eastAsia="zh-CN"/>
        </w:rPr>
        <w:t>附件：</w:t>
      </w:r>
      <w:r w:rsidRPr="00AD021A">
        <w:rPr>
          <w:b/>
          <w:bCs/>
          <w:lang w:val="zh-CN" w:eastAsia="zh-CN"/>
        </w:rPr>
        <w:t>1</w:t>
      </w:r>
      <w:r w:rsidRPr="00AD021A">
        <w:rPr>
          <w:rFonts w:hint="eastAsia"/>
          <w:b/>
          <w:bCs/>
          <w:lang w:val="zh-CN" w:eastAsia="zh-CN"/>
        </w:rPr>
        <w:t>件</w:t>
      </w:r>
    </w:p>
    <w:p w14:paraId="65893B44" w14:textId="77777777" w:rsidR="00AD021A" w:rsidRPr="00130D8A" w:rsidRDefault="00AD021A" w:rsidP="00AD021A">
      <w:pPr>
        <w:overflowPunct/>
        <w:autoSpaceDE/>
        <w:autoSpaceDN/>
        <w:adjustRightInd/>
        <w:spacing w:before="0"/>
        <w:textAlignment w:val="auto"/>
        <w:rPr>
          <w:lang w:eastAsia="zh-CN"/>
        </w:rPr>
      </w:pPr>
      <w:r w:rsidRPr="00130D8A">
        <w:rPr>
          <w:lang w:eastAsia="zh-CN"/>
        </w:rPr>
        <w:br w:type="page"/>
      </w:r>
    </w:p>
    <w:p w14:paraId="5CB38800" w14:textId="77777777" w:rsidR="00AD021A" w:rsidRPr="00130D8A" w:rsidRDefault="00AD021A" w:rsidP="00AD021A">
      <w:pPr>
        <w:pStyle w:val="AnnexNo"/>
        <w:rPr>
          <w:lang w:eastAsia="zh-CN"/>
        </w:rPr>
      </w:pPr>
      <w:r>
        <w:rPr>
          <w:lang w:val="zh-CN" w:eastAsia="zh-CN"/>
        </w:rPr>
        <w:lastRenderedPageBreak/>
        <w:t>附件</w:t>
      </w:r>
    </w:p>
    <w:p w14:paraId="6E756235" w14:textId="77777777" w:rsidR="00AD021A" w:rsidRPr="00130D8A" w:rsidRDefault="00AD021A" w:rsidP="00AD021A">
      <w:pPr>
        <w:pStyle w:val="Annextitle"/>
        <w:rPr>
          <w:lang w:eastAsia="zh-CN"/>
        </w:rPr>
      </w:pPr>
      <w:r>
        <w:rPr>
          <w:lang w:val="zh-CN" w:eastAsia="zh-CN"/>
        </w:rPr>
        <w:t>国际电联会议管理和治理信函通信组的拟议职责范围</w:t>
      </w:r>
      <w:bookmarkEnd w:id="7"/>
    </w:p>
    <w:p w14:paraId="28456EE9" w14:textId="77777777" w:rsidR="00AD021A" w:rsidRPr="00130D8A" w:rsidRDefault="00AD021A" w:rsidP="00AD021A">
      <w:pPr>
        <w:pStyle w:val="enumlev1"/>
        <w:rPr>
          <w:lang w:eastAsia="zh-CN"/>
        </w:rPr>
      </w:pPr>
      <w:r>
        <w:rPr>
          <w:lang w:val="zh-CN" w:eastAsia="zh-CN"/>
        </w:rPr>
        <w:t>1)</w:t>
      </w:r>
      <w:r>
        <w:rPr>
          <w:lang w:val="zh-CN" w:eastAsia="zh-CN"/>
        </w:rPr>
        <w:tab/>
      </w:r>
      <w:r w:rsidRPr="00673288">
        <w:rPr>
          <w:rFonts w:hint="eastAsia"/>
          <w:lang w:val="zh-CN" w:eastAsia="zh-CN"/>
        </w:rPr>
        <w:t>依据</w:t>
      </w:r>
      <w:r w:rsidRPr="00673288">
        <w:rPr>
          <w:lang w:val="zh-CN" w:eastAsia="zh-CN"/>
        </w:rPr>
        <w:t>全权代表大会第</w:t>
      </w:r>
      <w:r w:rsidRPr="00673288">
        <w:rPr>
          <w:lang w:val="zh-CN" w:eastAsia="zh-CN"/>
        </w:rPr>
        <w:t>167</w:t>
      </w:r>
      <w:r w:rsidRPr="00673288">
        <w:rPr>
          <w:lang w:val="zh-CN" w:eastAsia="zh-CN"/>
        </w:rPr>
        <w:t>号决议（</w:t>
      </w:r>
      <w:r w:rsidRPr="00673288">
        <w:rPr>
          <w:lang w:val="zh-CN" w:eastAsia="zh-CN"/>
        </w:rPr>
        <w:t>2022</w:t>
      </w:r>
      <w:r w:rsidRPr="00673288">
        <w:rPr>
          <w:lang w:val="zh-CN" w:eastAsia="zh-CN"/>
        </w:rPr>
        <w:t>年，布加勒斯特，修订版）</w:t>
      </w:r>
      <w:r w:rsidRPr="00673288">
        <w:rPr>
          <w:rFonts w:ascii="STKaiti" w:eastAsia="STKaiti" w:hAnsi="STKaiti"/>
          <w:lang w:val="zh-CN" w:eastAsia="zh-CN"/>
        </w:rPr>
        <w:t>做出决议</w:t>
      </w:r>
      <w:r w:rsidRPr="00673288">
        <w:rPr>
          <w:lang w:val="zh-CN" w:eastAsia="zh-CN"/>
        </w:rPr>
        <w:t>2</w:t>
      </w:r>
      <w:r w:rsidRPr="00673288">
        <w:rPr>
          <w:lang w:val="zh-CN" w:eastAsia="zh-CN"/>
        </w:rPr>
        <w:t>以及国际电联理事会的职责，</w:t>
      </w:r>
      <w:r w:rsidRPr="00673288">
        <w:rPr>
          <w:rFonts w:hint="eastAsia"/>
          <w:lang w:val="zh-CN" w:eastAsia="zh-CN"/>
        </w:rPr>
        <w:t>理事们</w:t>
      </w:r>
      <w:r w:rsidRPr="00673288">
        <w:rPr>
          <w:lang w:val="zh-CN" w:eastAsia="zh-CN"/>
        </w:rPr>
        <w:t>同意成立一个信函通信组，</w:t>
      </w:r>
      <w:r w:rsidRPr="00673288">
        <w:rPr>
          <w:rFonts w:hint="eastAsia"/>
          <w:lang w:val="zh-CN" w:eastAsia="zh-CN"/>
        </w:rPr>
        <w:t>组</w:t>
      </w:r>
      <w:r w:rsidRPr="00673288">
        <w:rPr>
          <w:lang w:val="zh-CN" w:eastAsia="zh-CN"/>
        </w:rPr>
        <w:t>员包括有兴趣参与制定以下会议管理和治理高层导则的成员国：</w:t>
      </w:r>
    </w:p>
    <w:p w14:paraId="0ABCAA9A" w14:textId="77777777" w:rsidR="00AD021A" w:rsidRPr="00130D8A" w:rsidRDefault="00AD021A" w:rsidP="00AD021A">
      <w:pPr>
        <w:pStyle w:val="enumlev2"/>
        <w:rPr>
          <w:lang w:eastAsia="zh-CN"/>
        </w:rPr>
      </w:pPr>
      <w:r>
        <w:rPr>
          <w:lang w:val="zh-CN" w:eastAsia="zh-CN"/>
        </w:rPr>
        <w:t>–</w:t>
      </w:r>
      <w:r>
        <w:rPr>
          <w:lang w:val="zh-CN" w:eastAsia="zh-CN"/>
        </w:rPr>
        <w:tab/>
      </w:r>
      <w:r>
        <w:rPr>
          <w:lang w:val="zh-CN" w:eastAsia="zh-CN"/>
        </w:rPr>
        <w:t>完全虚拟的会议；和</w:t>
      </w:r>
    </w:p>
    <w:p w14:paraId="02E99424" w14:textId="77777777" w:rsidR="00AD021A" w:rsidRPr="00130D8A" w:rsidRDefault="00AD021A" w:rsidP="00AD021A">
      <w:pPr>
        <w:pStyle w:val="enumlev2"/>
        <w:rPr>
          <w:lang w:eastAsia="zh-CN"/>
        </w:rPr>
      </w:pPr>
      <w:r>
        <w:rPr>
          <w:lang w:val="zh-CN" w:eastAsia="zh-CN"/>
        </w:rPr>
        <w:t>–</w:t>
      </w:r>
      <w:r>
        <w:rPr>
          <w:lang w:val="zh-CN" w:eastAsia="zh-CN"/>
        </w:rPr>
        <w:tab/>
      </w:r>
      <w:r>
        <w:rPr>
          <w:lang w:val="zh-CN" w:eastAsia="zh-CN"/>
        </w:rPr>
        <w:t>可远程参与的</w:t>
      </w:r>
      <w:r>
        <w:rPr>
          <w:rFonts w:hint="eastAsia"/>
          <w:lang w:val="zh-CN" w:eastAsia="zh-CN"/>
        </w:rPr>
        <w:t>现场</w:t>
      </w:r>
      <w:r>
        <w:rPr>
          <w:lang w:val="zh-CN" w:eastAsia="zh-CN"/>
        </w:rPr>
        <w:t>会议。</w:t>
      </w:r>
    </w:p>
    <w:p w14:paraId="55E4D369" w14:textId="77777777" w:rsidR="00AD021A" w:rsidRPr="00130D8A" w:rsidRDefault="00AD021A" w:rsidP="00AD021A">
      <w:pPr>
        <w:pStyle w:val="enumlev1"/>
        <w:rPr>
          <w:lang w:eastAsia="zh-CN"/>
        </w:rPr>
      </w:pPr>
      <w:r>
        <w:rPr>
          <w:lang w:val="zh-CN" w:eastAsia="zh-CN"/>
        </w:rPr>
        <w:t>2)</w:t>
      </w:r>
      <w:r>
        <w:rPr>
          <w:lang w:val="zh-CN" w:eastAsia="zh-CN"/>
        </w:rPr>
        <w:tab/>
      </w:r>
      <w:r>
        <w:rPr>
          <w:lang w:val="zh-CN" w:eastAsia="zh-CN"/>
        </w:rPr>
        <w:t>根据第</w:t>
      </w:r>
      <w:r>
        <w:rPr>
          <w:lang w:val="zh-CN" w:eastAsia="zh-CN"/>
        </w:rPr>
        <w:t>167</w:t>
      </w:r>
      <w:r>
        <w:rPr>
          <w:lang w:val="zh-CN" w:eastAsia="zh-CN"/>
        </w:rPr>
        <w:t>号决议附件</w:t>
      </w:r>
      <w:r>
        <w:rPr>
          <w:lang w:val="zh-CN" w:eastAsia="zh-CN"/>
        </w:rPr>
        <w:t>1</w:t>
      </w:r>
      <w:r>
        <w:rPr>
          <w:lang w:val="zh-CN" w:eastAsia="zh-CN"/>
        </w:rPr>
        <w:t>，高层导则应包括以下内容：</w:t>
      </w:r>
    </w:p>
    <w:p w14:paraId="468F550A" w14:textId="77777777" w:rsidR="00AD021A" w:rsidRPr="00130D8A" w:rsidRDefault="00AD021A" w:rsidP="00AD021A">
      <w:pPr>
        <w:pStyle w:val="enumlev2"/>
        <w:rPr>
          <w:lang w:eastAsia="zh-CN"/>
        </w:rPr>
      </w:pPr>
      <w:r>
        <w:rPr>
          <w:lang w:val="zh-CN" w:eastAsia="zh-CN"/>
        </w:rPr>
        <w:t>1)</w:t>
      </w:r>
      <w:r>
        <w:rPr>
          <w:lang w:val="zh-CN" w:eastAsia="zh-CN"/>
        </w:rPr>
        <w:tab/>
      </w:r>
      <w:r w:rsidRPr="00673288">
        <w:rPr>
          <w:u w:val="single"/>
          <w:lang w:val="zh-CN" w:eastAsia="zh-CN"/>
        </w:rPr>
        <w:t>远程参与不同类型国际电联会议</w:t>
      </w:r>
      <w:r w:rsidRPr="00673288">
        <w:rPr>
          <w:rFonts w:hint="eastAsia"/>
          <w:u w:val="single"/>
          <w:lang w:val="zh-CN" w:eastAsia="zh-CN"/>
        </w:rPr>
        <w:t>的</w:t>
      </w:r>
      <w:r w:rsidRPr="00673288">
        <w:rPr>
          <w:u w:val="single"/>
          <w:lang w:val="zh-CN" w:eastAsia="zh-CN"/>
        </w:rPr>
        <w:t>成员</w:t>
      </w:r>
      <w:r w:rsidRPr="00673288">
        <w:rPr>
          <w:rFonts w:hint="eastAsia"/>
          <w:u w:val="single"/>
          <w:lang w:val="zh-CN" w:eastAsia="zh-CN"/>
        </w:rPr>
        <w:t>在</w:t>
      </w:r>
      <w:r w:rsidRPr="00673288">
        <w:rPr>
          <w:u w:val="single"/>
          <w:lang w:val="zh-CN" w:eastAsia="zh-CN"/>
        </w:rPr>
        <w:t>决策</w:t>
      </w:r>
      <w:r w:rsidRPr="00673288">
        <w:rPr>
          <w:rFonts w:hint="eastAsia"/>
          <w:u w:val="single"/>
          <w:lang w:val="zh-CN" w:eastAsia="zh-CN"/>
        </w:rPr>
        <w:t>方面</w:t>
      </w:r>
      <w:r w:rsidRPr="00673288">
        <w:rPr>
          <w:u w:val="single"/>
          <w:lang w:val="zh-CN" w:eastAsia="zh-CN"/>
        </w:rPr>
        <w:t>的权利</w:t>
      </w:r>
      <w:r>
        <w:rPr>
          <w:lang w:val="zh-CN" w:eastAsia="zh-CN"/>
        </w:rPr>
        <w:t>：确定远程与会者在</w:t>
      </w:r>
      <w:r>
        <w:rPr>
          <w:rFonts w:hint="eastAsia"/>
          <w:lang w:val="zh-CN" w:eastAsia="zh-CN"/>
        </w:rPr>
        <w:t>参与</w:t>
      </w:r>
      <w:r>
        <w:rPr>
          <w:lang w:val="zh-CN" w:eastAsia="zh-CN"/>
        </w:rPr>
        <w:t>国际电联混合会议决策方面的权利（表决权、参与</w:t>
      </w:r>
      <w:r>
        <w:rPr>
          <w:rFonts w:hint="eastAsia"/>
          <w:lang w:val="zh-CN" w:eastAsia="zh-CN"/>
        </w:rPr>
        <w:t>权</w:t>
      </w:r>
      <w:r>
        <w:rPr>
          <w:lang w:val="zh-CN" w:eastAsia="zh-CN"/>
        </w:rPr>
        <w:t>、</w:t>
      </w:r>
      <w:r>
        <w:rPr>
          <w:rFonts w:hint="eastAsia"/>
          <w:lang w:val="zh-CN" w:eastAsia="zh-CN"/>
        </w:rPr>
        <w:t>提出</w:t>
      </w:r>
      <w:r>
        <w:rPr>
          <w:lang w:val="zh-CN" w:eastAsia="zh-CN"/>
        </w:rPr>
        <w:t>程序动议</w:t>
      </w:r>
      <w:r>
        <w:rPr>
          <w:rFonts w:hint="eastAsia"/>
          <w:lang w:val="zh-CN" w:eastAsia="zh-CN"/>
        </w:rPr>
        <w:t>的权利</w:t>
      </w:r>
      <w:r>
        <w:rPr>
          <w:lang w:val="zh-CN" w:eastAsia="zh-CN"/>
        </w:rPr>
        <w:t>等）。</w:t>
      </w:r>
    </w:p>
    <w:p w14:paraId="03BE2EB6" w14:textId="77777777" w:rsidR="00AD021A" w:rsidRPr="00130D8A" w:rsidRDefault="00AD021A" w:rsidP="00AD021A">
      <w:pPr>
        <w:pStyle w:val="enumlev2"/>
        <w:rPr>
          <w:lang w:eastAsia="zh-CN"/>
        </w:rPr>
      </w:pPr>
      <w:r>
        <w:rPr>
          <w:lang w:val="zh-CN" w:eastAsia="zh-CN"/>
        </w:rPr>
        <w:t>2)</w:t>
      </w:r>
      <w:r>
        <w:rPr>
          <w:lang w:val="zh-CN" w:eastAsia="zh-CN"/>
        </w:rPr>
        <w:tab/>
      </w:r>
      <w:r w:rsidRPr="00673288">
        <w:rPr>
          <w:u w:val="single"/>
          <w:lang w:val="zh-CN" w:eastAsia="zh-CN"/>
        </w:rPr>
        <w:t>口译服务</w:t>
      </w:r>
      <w:r>
        <w:rPr>
          <w:lang w:val="zh-CN" w:eastAsia="zh-CN"/>
        </w:rPr>
        <w:t>：确定需要提供国际电联六种正式语文口译的活动，同时</w:t>
      </w:r>
      <w:r>
        <w:rPr>
          <w:rFonts w:hint="eastAsia"/>
          <w:lang w:val="zh-CN" w:eastAsia="zh-CN"/>
        </w:rPr>
        <w:t>要</w:t>
      </w:r>
      <w:r>
        <w:rPr>
          <w:lang w:val="zh-CN" w:eastAsia="zh-CN"/>
        </w:rPr>
        <w:t>考虑到各活动</w:t>
      </w:r>
      <w:r>
        <w:rPr>
          <w:lang w:val="zh-CN" w:eastAsia="zh-CN"/>
        </w:rPr>
        <w:t>/</w:t>
      </w:r>
      <w:r>
        <w:rPr>
          <w:lang w:val="zh-CN" w:eastAsia="zh-CN"/>
        </w:rPr>
        <w:t>会议的具体需求并考虑</w:t>
      </w:r>
      <w:r>
        <w:rPr>
          <w:rFonts w:hint="eastAsia"/>
          <w:lang w:val="zh-CN" w:eastAsia="zh-CN"/>
        </w:rPr>
        <w:t>到</w:t>
      </w:r>
      <w:r>
        <w:rPr>
          <w:lang w:val="zh-CN" w:eastAsia="zh-CN"/>
        </w:rPr>
        <w:t>国际电联的预算。</w:t>
      </w:r>
    </w:p>
    <w:p w14:paraId="3212B9EF" w14:textId="77777777" w:rsidR="00AD021A" w:rsidRPr="00130D8A" w:rsidRDefault="00AD021A" w:rsidP="00AD021A">
      <w:pPr>
        <w:pStyle w:val="enumlev2"/>
        <w:rPr>
          <w:lang w:eastAsia="zh-CN"/>
        </w:rPr>
      </w:pPr>
      <w:r>
        <w:rPr>
          <w:lang w:val="zh-CN" w:eastAsia="zh-CN"/>
        </w:rPr>
        <w:t>3)</w:t>
      </w:r>
      <w:r>
        <w:rPr>
          <w:lang w:val="zh-CN" w:eastAsia="zh-CN"/>
        </w:rPr>
        <w:tab/>
      </w:r>
      <w:r w:rsidRPr="00673288">
        <w:rPr>
          <w:u w:val="single"/>
          <w:lang w:val="zh-CN" w:eastAsia="zh-CN"/>
        </w:rPr>
        <w:t>技术中立性</w:t>
      </w:r>
      <w:r>
        <w:rPr>
          <w:lang w:val="zh-CN" w:eastAsia="zh-CN"/>
        </w:rPr>
        <w:t>：确定召开国际电联会议使用的平台，以实现预定会议目标，确保会议</w:t>
      </w:r>
      <w:r>
        <w:rPr>
          <w:rFonts w:hint="eastAsia"/>
          <w:lang w:val="zh-CN" w:eastAsia="zh-CN"/>
        </w:rPr>
        <w:t>的</w:t>
      </w:r>
      <w:r>
        <w:rPr>
          <w:lang w:val="zh-CN" w:eastAsia="zh-CN"/>
        </w:rPr>
        <w:t>安全性和成本效益。</w:t>
      </w:r>
    </w:p>
    <w:p w14:paraId="1373DA0C" w14:textId="77777777" w:rsidR="00AD021A" w:rsidRPr="00130D8A" w:rsidRDefault="00AD021A" w:rsidP="00AD021A">
      <w:pPr>
        <w:pStyle w:val="enumlev2"/>
        <w:rPr>
          <w:lang w:eastAsia="zh-CN"/>
        </w:rPr>
      </w:pPr>
      <w:r>
        <w:rPr>
          <w:lang w:val="zh-CN" w:eastAsia="zh-CN"/>
        </w:rPr>
        <w:t>4)</w:t>
      </w:r>
      <w:r>
        <w:rPr>
          <w:lang w:val="zh-CN" w:eastAsia="zh-CN"/>
        </w:rPr>
        <w:tab/>
      </w:r>
      <w:r w:rsidRPr="00673288">
        <w:rPr>
          <w:u w:val="single"/>
          <w:lang w:val="zh-CN" w:eastAsia="zh-CN"/>
        </w:rPr>
        <w:t>通</w:t>
      </w:r>
      <w:r>
        <w:rPr>
          <w:rFonts w:hint="eastAsia"/>
          <w:u w:val="single"/>
          <w:lang w:val="zh-CN" w:eastAsia="zh-CN"/>
        </w:rPr>
        <w:t>报</w:t>
      </w:r>
      <w:r w:rsidRPr="00673288">
        <w:rPr>
          <w:u w:val="single"/>
          <w:lang w:val="zh-CN" w:eastAsia="zh-CN"/>
        </w:rPr>
        <w:t>国际电联不同会议的参</w:t>
      </w:r>
      <w:r>
        <w:rPr>
          <w:rFonts w:hint="eastAsia"/>
          <w:u w:val="single"/>
          <w:lang w:val="zh-CN" w:eastAsia="zh-CN"/>
        </w:rPr>
        <w:t>会</w:t>
      </w:r>
      <w:r w:rsidRPr="00673288">
        <w:rPr>
          <w:u w:val="single"/>
          <w:lang w:val="zh-CN" w:eastAsia="zh-CN"/>
        </w:rPr>
        <w:t>方式</w:t>
      </w:r>
      <w:r>
        <w:rPr>
          <w:lang w:val="zh-CN" w:eastAsia="zh-CN"/>
        </w:rPr>
        <w:t>：确定</w:t>
      </w:r>
      <w:r>
        <w:rPr>
          <w:rFonts w:hint="eastAsia"/>
          <w:lang w:val="zh-CN" w:eastAsia="zh-CN"/>
        </w:rPr>
        <w:t>旨在</w:t>
      </w:r>
      <w:r>
        <w:rPr>
          <w:lang w:val="zh-CN" w:eastAsia="zh-CN"/>
        </w:rPr>
        <w:t>改进国际电联不同类型会议通知的行动，以便向成员提供必要信息，使其能够就其参</w:t>
      </w:r>
      <w:r>
        <w:rPr>
          <w:rFonts w:hint="eastAsia"/>
          <w:lang w:val="zh-CN" w:eastAsia="zh-CN"/>
        </w:rPr>
        <w:t>会问题</w:t>
      </w:r>
      <w:r>
        <w:rPr>
          <w:lang w:val="zh-CN" w:eastAsia="zh-CN"/>
        </w:rPr>
        <w:t>做出知情决定。</w:t>
      </w:r>
    </w:p>
    <w:p w14:paraId="5E80B821" w14:textId="77777777" w:rsidR="00AD021A" w:rsidRPr="00130D8A" w:rsidRDefault="00AD021A" w:rsidP="00AD021A">
      <w:pPr>
        <w:pStyle w:val="enumlev2"/>
        <w:rPr>
          <w:lang w:eastAsia="zh-CN"/>
        </w:rPr>
      </w:pPr>
      <w:r>
        <w:rPr>
          <w:lang w:val="zh-CN" w:eastAsia="zh-CN"/>
        </w:rPr>
        <w:t>5)</w:t>
      </w:r>
      <w:r>
        <w:rPr>
          <w:lang w:val="zh-CN" w:eastAsia="zh-CN"/>
        </w:rPr>
        <w:tab/>
      </w:r>
      <w:r w:rsidRPr="00673288">
        <w:rPr>
          <w:u w:val="single"/>
          <w:lang w:val="zh-CN" w:eastAsia="zh-CN"/>
        </w:rPr>
        <w:t>参与线下讨论的机会</w:t>
      </w:r>
      <w:r>
        <w:rPr>
          <w:lang w:val="zh-CN" w:eastAsia="zh-CN"/>
        </w:rPr>
        <w:t>：确定虚拟</w:t>
      </w:r>
      <w:r>
        <w:rPr>
          <w:rFonts w:hint="eastAsia"/>
          <w:lang w:val="zh-CN" w:eastAsia="zh-CN"/>
        </w:rPr>
        <w:t>会议</w:t>
      </w:r>
      <w:r>
        <w:rPr>
          <w:lang w:val="zh-CN" w:eastAsia="zh-CN"/>
        </w:rPr>
        <w:t>与会者可参与线下讨论的会议</w:t>
      </w:r>
      <w:r>
        <w:rPr>
          <w:rFonts w:hint="eastAsia"/>
          <w:lang w:val="zh-CN" w:eastAsia="zh-CN"/>
        </w:rPr>
        <w:t>并</w:t>
      </w:r>
      <w:r>
        <w:rPr>
          <w:lang w:val="zh-CN" w:eastAsia="zh-CN"/>
        </w:rPr>
        <w:t>确定</w:t>
      </w:r>
      <w:r>
        <w:rPr>
          <w:rFonts w:hint="eastAsia"/>
          <w:lang w:val="zh-CN" w:eastAsia="zh-CN"/>
        </w:rPr>
        <w:t>决定采用</w:t>
      </w:r>
      <w:r>
        <w:rPr>
          <w:lang w:val="zh-CN" w:eastAsia="zh-CN"/>
        </w:rPr>
        <w:t>这种</w:t>
      </w:r>
      <w:r>
        <w:rPr>
          <w:rFonts w:hint="eastAsia"/>
          <w:lang w:val="zh-CN" w:eastAsia="zh-CN"/>
        </w:rPr>
        <w:t>方式</w:t>
      </w:r>
      <w:r>
        <w:rPr>
          <w:lang w:val="zh-CN" w:eastAsia="zh-CN"/>
        </w:rPr>
        <w:t>的</w:t>
      </w:r>
      <w:r>
        <w:rPr>
          <w:rFonts w:hint="eastAsia"/>
          <w:lang w:val="zh-CN" w:eastAsia="zh-CN"/>
        </w:rPr>
        <w:t>各项</w:t>
      </w:r>
      <w:r>
        <w:rPr>
          <w:lang w:val="zh-CN" w:eastAsia="zh-CN"/>
        </w:rPr>
        <w:t>要素，例如东道国的能力（酌情</w:t>
      </w:r>
      <w:r>
        <w:rPr>
          <w:rFonts w:hint="eastAsia"/>
          <w:lang w:val="zh-CN" w:eastAsia="zh-CN"/>
        </w:rPr>
        <w:t>考虑</w:t>
      </w:r>
      <w:r>
        <w:rPr>
          <w:lang w:val="zh-CN" w:eastAsia="zh-CN"/>
        </w:rPr>
        <w:t>）、人力</w:t>
      </w:r>
      <w:r>
        <w:rPr>
          <w:lang w:val="zh-CN" w:eastAsia="zh-CN"/>
        </w:rPr>
        <w:t>/</w:t>
      </w:r>
      <w:r>
        <w:rPr>
          <w:lang w:val="zh-CN" w:eastAsia="zh-CN"/>
        </w:rPr>
        <w:t>财务资源的可用性、</w:t>
      </w:r>
      <w:r>
        <w:rPr>
          <w:rFonts w:hint="eastAsia"/>
          <w:lang w:val="zh-CN" w:eastAsia="zh-CN"/>
        </w:rPr>
        <w:t>将</w:t>
      </w:r>
      <w:r>
        <w:rPr>
          <w:lang w:val="zh-CN" w:eastAsia="zh-CN"/>
        </w:rPr>
        <w:t>要讨论的主题等。</w:t>
      </w:r>
    </w:p>
    <w:p w14:paraId="0B24A58E" w14:textId="77777777" w:rsidR="00AD021A" w:rsidRPr="00130D8A" w:rsidRDefault="00AD021A" w:rsidP="00AD021A">
      <w:pPr>
        <w:pStyle w:val="enumlev2"/>
        <w:rPr>
          <w:lang w:eastAsia="zh-CN"/>
        </w:rPr>
      </w:pPr>
      <w:r>
        <w:rPr>
          <w:lang w:val="zh-CN" w:eastAsia="zh-CN"/>
        </w:rPr>
        <w:t>6)</w:t>
      </w:r>
      <w:r>
        <w:rPr>
          <w:lang w:val="zh-CN" w:eastAsia="zh-CN"/>
        </w:rPr>
        <w:tab/>
      </w:r>
      <w:r w:rsidRPr="000F2335">
        <w:rPr>
          <w:u w:val="single"/>
          <w:lang w:val="zh-CN" w:eastAsia="zh-CN"/>
        </w:rPr>
        <w:t>残疾人和有具体需求人士的参与</w:t>
      </w:r>
      <w:r>
        <w:rPr>
          <w:lang w:val="zh-CN" w:eastAsia="zh-CN"/>
        </w:rPr>
        <w:t>：有关</w:t>
      </w:r>
      <w:r w:rsidRPr="000F2335">
        <w:rPr>
          <w:rFonts w:hint="eastAsia"/>
          <w:lang w:val="zh-CN" w:eastAsia="zh-CN"/>
        </w:rPr>
        <w:t>残疾人和有具体需求人士无障碍地获取电信</w:t>
      </w:r>
      <w:r w:rsidRPr="000F2335">
        <w:rPr>
          <w:rFonts w:hint="eastAsia"/>
          <w:lang w:val="zh-CN" w:eastAsia="zh-CN"/>
        </w:rPr>
        <w:t>/</w:t>
      </w:r>
      <w:r w:rsidRPr="000F2335">
        <w:rPr>
          <w:rFonts w:hint="eastAsia"/>
          <w:lang w:val="zh-CN" w:eastAsia="zh-CN"/>
        </w:rPr>
        <w:t>信息通信技术（</w:t>
      </w:r>
      <w:r w:rsidRPr="000F2335">
        <w:rPr>
          <w:rFonts w:hint="eastAsia"/>
          <w:lang w:val="zh-CN" w:eastAsia="zh-CN"/>
        </w:rPr>
        <w:t>ICT</w:t>
      </w:r>
      <w:r w:rsidRPr="000F2335">
        <w:rPr>
          <w:rFonts w:hint="eastAsia"/>
          <w:lang w:val="zh-CN" w:eastAsia="zh-CN"/>
        </w:rPr>
        <w:t>）</w:t>
      </w:r>
      <w:r>
        <w:rPr>
          <w:lang w:val="zh-CN" w:eastAsia="zh-CN"/>
        </w:rPr>
        <w:t>的全权代表大会第</w:t>
      </w:r>
      <w:r>
        <w:rPr>
          <w:lang w:val="zh-CN" w:eastAsia="zh-CN"/>
        </w:rPr>
        <w:t>175</w:t>
      </w:r>
      <w:r>
        <w:rPr>
          <w:lang w:val="zh-CN" w:eastAsia="zh-CN"/>
        </w:rPr>
        <w:t>号决议（</w:t>
      </w:r>
      <w:r>
        <w:rPr>
          <w:lang w:val="zh-CN" w:eastAsia="zh-CN"/>
        </w:rPr>
        <w:t>2022</w:t>
      </w:r>
      <w:r>
        <w:rPr>
          <w:lang w:val="zh-CN" w:eastAsia="zh-CN"/>
        </w:rPr>
        <w:t>年，布加勒斯特，修订版）做出决议，</w:t>
      </w:r>
      <w:r>
        <w:rPr>
          <w:rFonts w:hint="eastAsia"/>
          <w:lang w:val="zh-CN" w:eastAsia="zh-CN"/>
        </w:rPr>
        <w:t>请</w:t>
      </w:r>
      <w:r>
        <w:rPr>
          <w:lang w:val="zh-CN" w:eastAsia="zh-CN"/>
        </w:rPr>
        <w:t>残疾人和有具体需求人士参与国际电联的工作。</w:t>
      </w:r>
      <w:r>
        <w:rPr>
          <w:rFonts w:hint="eastAsia"/>
          <w:lang w:val="zh-CN" w:eastAsia="zh-CN"/>
        </w:rPr>
        <w:t>为</w:t>
      </w:r>
      <w:r>
        <w:rPr>
          <w:lang w:val="zh-CN" w:eastAsia="zh-CN"/>
        </w:rPr>
        <w:t>确保残疾人和有具体需求人士</w:t>
      </w:r>
      <w:r>
        <w:rPr>
          <w:rFonts w:hint="eastAsia"/>
          <w:lang w:val="zh-CN" w:eastAsia="zh-CN"/>
        </w:rPr>
        <w:t>参与</w:t>
      </w:r>
      <w:r>
        <w:rPr>
          <w:lang w:val="zh-CN" w:eastAsia="zh-CN"/>
        </w:rPr>
        <w:t>国际电联不同活动</w:t>
      </w:r>
      <w:r>
        <w:rPr>
          <w:lang w:val="zh-CN" w:eastAsia="zh-CN"/>
        </w:rPr>
        <w:t>/</w:t>
      </w:r>
      <w:r>
        <w:rPr>
          <w:lang w:val="zh-CN" w:eastAsia="zh-CN"/>
        </w:rPr>
        <w:t>会议</w:t>
      </w:r>
      <w:r>
        <w:rPr>
          <w:rFonts w:hint="eastAsia"/>
          <w:lang w:val="zh-CN" w:eastAsia="zh-CN"/>
        </w:rPr>
        <w:t>确定相应</w:t>
      </w:r>
      <w:r>
        <w:rPr>
          <w:lang w:val="zh-CN" w:eastAsia="zh-CN"/>
        </w:rPr>
        <w:t>机制非常重要。</w:t>
      </w:r>
    </w:p>
    <w:p w14:paraId="17EFEAB7" w14:textId="77777777" w:rsidR="00AD021A" w:rsidRPr="00130D8A" w:rsidRDefault="00AD021A" w:rsidP="00AD021A">
      <w:pPr>
        <w:pStyle w:val="enumlev2"/>
        <w:rPr>
          <w:lang w:eastAsia="zh-CN"/>
        </w:rPr>
      </w:pPr>
      <w:r>
        <w:rPr>
          <w:lang w:val="zh-CN" w:eastAsia="zh-CN"/>
        </w:rPr>
        <w:t>7)</w:t>
      </w:r>
      <w:r>
        <w:rPr>
          <w:lang w:val="zh-CN" w:eastAsia="zh-CN"/>
        </w:rPr>
        <w:tab/>
      </w:r>
      <w:r w:rsidRPr="000F2335">
        <w:rPr>
          <w:u w:val="single"/>
          <w:lang w:val="zh-CN" w:eastAsia="zh-CN"/>
        </w:rPr>
        <w:t>会议</w:t>
      </w:r>
      <w:r>
        <w:rPr>
          <w:rFonts w:hint="eastAsia"/>
          <w:u w:val="single"/>
          <w:lang w:val="zh-CN" w:eastAsia="zh-CN"/>
        </w:rPr>
        <w:t>的</w:t>
      </w:r>
      <w:r w:rsidRPr="000F2335">
        <w:rPr>
          <w:u w:val="single"/>
          <w:lang w:val="zh-CN" w:eastAsia="zh-CN"/>
        </w:rPr>
        <w:t>会期和时间</w:t>
      </w:r>
      <w:r>
        <w:rPr>
          <w:lang w:val="zh-CN" w:eastAsia="zh-CN"/>
        </w:rPr>
        <w:t>：考虑</w:t>
      </w:r>
      <w:r>
        <w:rPr>
          <w:rFonts w:hint="eastAsia"/>
          <w:lang w:val="zh-CN" w:eastAsia="zh-CN"/>
        </w:rPr>
        <w:t>举办会议的</w:t>
      </w:r>
      <w:r>
        <w:rPr>
          <w:lang w:val="zh-CN" w:eastAsia="zh-CN"/>
        </w:rPr>
        <w:t>费用（如会议口译服务</w:t>
      </w:r>
      <w:r>
        <w:rPr>
          <w:rFonts w:hint="eastAsia"/>
          <w:lang w:val="zh-CN" w:eastAsia="zh-CN"/>
        </w:rPr>
        <w:t>费</w:t>
      </w:r>
      <w:r>
        <w:rPr>
          <w:lang w:val="zh-CN" w:eastAsia="zh-CN"/>
        </w:rPr>
        <w:t>）十分重要。在</w:t>
      </w:r>
      <w:r>
        <w:rPr>
          <w:rFonts w:hint="eastAsia"/>
          <w:lang w:val="zh-CN" w:eastAsia="zh-CN"/>
        </w:rPr>
        <w:t>这</w:t>
      </w:r>
      <w:r>
        <w:rPr>
          <w:lang w:val="zh-CN" w:eastAsia="zh-CN"/>
        </w:rPr>
        <w:t>方面，</w:t>
      </w:r>
      <w:r>
        <w:rPr>
          <w:rFonts w:hint="eastAsia"/>
          <w:lang w:val="zh-CN" w:eastAsia="zh-CN"/>
        </w:rPr>
        <w:t>为</w:t>
      </w:r>
      <w:r>
        <w:rPr>
          <w:lang w:val="zh-CN" w:eastAsia="zh-CN"/>
        </w:rPr>
        <w:t>优化国际电联的资源并考虑</w:t>
      </w:r>
      <w:r>
        <w:rPr>
          <w:rFonts w:hint="eastAsia"/>
          <w:lang w:val="zh-CN" w:eastAsia="zh-CN"/>
        </w:rPr>
        <w:t>到</w:t>
      </w:r>
      <w:r>
        <w:rPr>
          <w:lang w:val="zh-CN" w:eastAsia="zh-CN"/>
        </w:rPr>
        <w:t>时区差异</w:t>
      </w:r>
      <w:r>
        <w:rPr>
          <w:rFonts w:hint="eastAsia"/>
          <w:lang w:val="zh-CN" w:eastAsia="zh-CN"/>
        </w:rPr>
        <w:t>，</w:t>
      </w:r>
      <w:r>
        <w:rPr>
          <w:lang w:val="zh-CN" w:eastAsia="zh-CN"/>
        </w:rPr>
        <w:t>重要的是确定会议的长度。</w:t>
      </w:r>
    </w:p>
    <w:p w14:paraId="6A0C35CF" w14:textId="77777777" w:rsidR="00AD021A" w:rsidRPr="00130D8A" w:rsidRDefault="00AD021A" w:rsidP="00AD021A">
      <w:pPr>
        <w:pStyle w:val="enumlev2"/>
        <w:rPr>
          <w:lang w:eastAsia="zh-CN"/>
        </w:rPr>
      </w:pPr>
      <w:r>
        <w:rPr>
          <w:lang w:val="zh-CN" w:eastAsia="zh-CN"/>
        </w:rPr>
        <w:t>8)</w:t>
      </w:r>
      <w:r>
        <w:rPr>
          <w:lang w:val="zh-CN" w:eastAsia="zh-CN"/>
        </w:rPr>
        <w:tab/>
      </w:r>
      <w:r w:rsidRPr="000F2335">
        <w:rPr>
          <w:u w:val="single"/>
          <w:lang w:val="zh-CN" w:eastAsia="zh-CN"/>
        </w:rPr>
        <w:t>国际电联会议组织方和区域代表处职员（包括身处领导岗位的员工）的培训</w:t>
      </w:r>
      <w:r>
        <w:rPr>
          <w:lang w:val="zh-CN" w:eastAsia="zh-CN"/>
        </w:rPr>
        <w:t>：确定</w:t>
      </w:r>
      <w:r>
        <w:rPr>
          <w:rFonts w:hint="eastAsia"/>
          <w:lang w:val="zh-CN" w:eastAsia="zh-CN"/>
        </w:rPr>
        <w:t>如何使用</w:t>
      </w:r>
      <w:r>
        <w:rPr>
          <w:lang w:val="zh-CN" w:eastAsia="zh-CN"/>
        </w:rPr>
        <w:t>技术工具和</w:t>
      </w:r>
      <w:r>
        <w:rPr>
          <w:rFonts w:hint="eastAsia"/>
          <w:lang w:val="zh-CN" w:eastAsia="zh-CN"/>
        </w:rPr>
        <w:t>手段</w:t>
      </w:r>
      <w:r>
        <w:rPr>
          <w:lang w:val="zh-CN" w:eastAsia="zh-CN"/>
        </w:rPr>
        <w:t>的培训频率，</w:t>
      </w:r>
      <w:r>
        <w:rPr>
          <w:rFonts w:hint="eastAsia"/>
          <w:lang w:val="zh-CN" w:eastAsia="zh-CN"/>
        </w:rPr>
        <w:t>确定判别</w:t>
      </w:r>
      <w:r>
        <w:rPr>
          <w:lang w:val="zh-CN" w:eastAsia="zh-CN"/>
        </w:rPr>
        <w:t>培训需求的方法</w:t>
      </w:r>
      <w:r>
        <w:rPr>
          <w:rFonts w:hint="eastAsia"/>
          <w:lang w:val="zh-CN" w:eastAsia="zh-CN"/>
        </w:rPr>
        <w:t>，并确定</w:t>
      </w:r>
      <w:r>
        <w:rPr>
          <w:lang w:val="zh-CN" w:eastAsia="zh-CN"/>
        </w:rPr>
        <w:t>国际电联</w:t>
      </w:r>
      <w:r>
        <w:rPr>
          <w:rFonts w:hint="eastAsia"/>
          <w:lang w:val="zh-CN" w:eastAsia="zh-CN"/>
        </w:rPr>
        <w:t>管理人员</w:t>
      </w:r>
      <w:r>
        <w:rPr>
          <w:lang w:val="zh-CN" w:eastAsia="zh-CN"/>
        </w:rPr>
        <w:t>的培训频率。</w:t>
      </w:r>
    </w:p>
    <w:p w14:paraId="71794367" w14:textId="77777777" w:rsidR="00AD021A" w:rsidRPr="00130D8A" w:rsidRDefault="00AD021A" w:rsidP="00AD021A">
      <w:pPr>
        <w:pStyle w:val="enumlev2"/>
        <w:rPr>
          <w:lang w:eastAsia="zh-CN"/>
        </w:rPr>
      </w:pPr>
      <w:r>
        <w:rPr>
          <w:lang w:val="zh-CN" w:eastAsia="zh-CN"/>
        </w:rPr>
        <w:t>9)</w:t>
      </w:r>
      <w:r>
        <w:rPr>
          <w:lang w:val="zh-CN" w:eastAsia="zh-CN"/>
        </w:rPr>
        <w:tab/>
      </w:r>
      <w:r w:rsidRPr="00C91C02">
        <w:rPr>
          <w:u w:val="single"/>
          <w:lang w:val="zh-CN" w:eastAsia="zh-CN"/>
        </w:rPr>
        <w:t>收集三个部门远程与会趋势的统计数据</w:t>
      </w:r>
      <w:r>
        <w:rPr>
          <w:lang w:val="zh-CN" w:eastAsia="zh-CN"/>
        </w:rPr>
        <w:t>：确定总秘书处提交这些数据的频率，以便根据成员的不同需求评估更新高层指导原则的必要性。</w:t>
      </w:r>
    </w:p>
    <w:p w14:paraId="541BB443" w14:textId="77777777" w:rsidR="00AD021A" w:rsidRPr="00130D8A" w:rsidRDefault="00AD021A" w:rsidP="00AD021A">
      <w:pPr>
        <w:pStyle w:val="enumlev1"/>
        <w:rPr>
          <w:lang w:eastAsia="zh-CN"/>
        </w:rPr>
      </w:pPr>
      <w:r>
        <w:rPr>
          <w:lang w:val="zh-CN" w:eastAsia="zh-CN"/>
        </w:rPr>
        <w:t>3)</w:t>
      </w:r>
      <w:r>
        <w:rPr>
          <w:lang w:val="zh-CN" w:eastAsia="zh-CN"/>
        </w:rPr>
        <w:tab/>
      </w:r>
      <w:r>
        <w:rPr>
          <w:lang w:val="zh-CN" w:eastAsia="zh-CN"/>
        </w:rPr>
        <w:t>信函通信组应向理事会</w:t>
      </w:r>
      <w:r>
        <w:rPr>
          <w:lang w:val="zh-CN" w:eastAsia="zh-CN"/>
        </w:rPr>
        <w:t>2025</w:t>
      </w:r>
      <w:r>
        <w:rPr>
          <w:lang w:val="zh-CN" w:eastAsia="zh-CN"/>
        </w:rPr>
        <w:t>年会议提交高</w:t>
      </w:r>
      <w:r>
        <w:rPr>
          <w:rFonts w:hint="eastAsia"/>
          <w:lang w:val="zh-CN" w:eastAsia="zh-CN"/>
        </w:rPr>
        <w:t>级别</w:t>
      </w:r>
      <w:r>
        <w:rPr>
          <w:lang w:val="zh-CN" w:eastAsia="zh-CN"/>
        </w:rPr>
        <w:t>导则草案，</w:t>
      </w:r>
      <w:r>
        <w:rPr>
          <w:rFonts w:hint="eastAsia"/>
          <w:lang w:val="zh-CN" w:eastAsia="zh-CN"/>
        </w:rPr>
        <w:t>请</w:t>
      </w:r>
      <w:r>
        <w:rPr>
          <w:lang w:val="zh-CN" w:eastAsia="zh-CN"/>
        </w:rPr>
        <w:t>成员讨论</w:t>
      </w:r>
      <w:r>
        <w:rPr>
          <w:rFonts w:hint="eastAsia"/>
          <w:lang w:val="zh-CN" w:eastAsia="zh-CN"/>
        </w:rPr>
        <w:t>并</w:t>
      </w:r>
      <w:r>
        <w:rPr>
          <w:lang w:val="zh-CN" w:eastAsia="zh-CN"/>
        </w:rPr>
        <w:t>酌情批准。</w:t>
      </w:r>
    </w:p>
    <w:p w14:paraId="0B7566D0" w14:textId="77777777" w:rsidR="00AD021A" w:rsidRPr="009469CC" w:rsidRDefault="00AD021A" w:rsidP="00AD021A">
      <w:pPr>
        <w:jc w:val="center"/>
        <w:rPr>
          <w:lang w:val="en-US"/>
        </w:rPr>
      </w:pPr>
      <w:r>
        <w:rPr>
          <w:lang w:val="zh-CN"/>
        </w:rPr>
        <w:t>______________</w:t>
      </w:r>
    </w:p>
    <w:sectPr w:rsidR="00AD021A" w:rsidRPr="009469CC" w:rsidSect="00E24D59">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46B18" w14:textId="77777777" w:rsidR="00E0474D" w:rsidRDefault="00E0474D">
      <w:r>
        <w:separator/>
      </w:r>
    </w:p>
  </w:endnote>
  <w:endnote w:type="continuationSeparator" w:id="0">
    <w:p w14:paraId="1CFC556F" w14:textId="77777777" w:rsidR="00E0474D" w:rsidRDefault="00E0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5652288" w14:textId="77777777" w:rsidTr="00E31DCE">
      <w:trPr>
        <w:jc w:val="center"/>
      </w:trPr>
      <w:tc>
        <w:tcPr>
          <w:tcW w:w="1803" w:type="dxa"/>
          <w:vAlign w:val="center"/>
        </w:tcPr>
        <w:p w14:paraId="2E33C152" w14:textId="4961812A" w:rsidR="00E24D59" w:rsidRDefault="00E24D59" w:rsidP="00E24D59">
          <w:pPr>
            <w:pStyle w:val="Header"/>
            <w:jc w:val="left"/>
            <w:rPr>
              <w:noProof/>
            </w:rPr>
          </w:pPr>
        </w:p>
      </w:tc>
      <w:tc>
        <w:tcPr>
          <w:tcW w:w="8261" w:type="dxa"/>
        </w:tcPr>
        <w:p w14:paraId="128C249C" w14:textId="3303D24E"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894AE4">
            <w:rPr>
              <w:rFonts w:eastAsiaTheme="minorEastAsia"/>
              <w:bCs/>
              <w:lang w:eastAsia="zh-CN"/>
            </w:rPr>
            <w:t>9</w:t>
          </w:r>
          <w:r w:rsidR="00AD021A">
            <w:rPr>
              <w:rFonts w:eastAsiaTheme="minorEastAsia"/>
              <w:bCs/>
              <w:lang w:eastAsia="zh-CN"/>
            </w:rPr>
            <w:t>7</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3EA752D"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EA587E7" w14:textId="77777777" w:rsidTr="00E31DCE">
      <w:trPr>
        <w:jc w:val="center"/>
      </w:trPr>
      <w:tc>
        <w:tcPr>
          <w:tcW w:w="1803" w:type="dxa"/>
          <w:vAlign w:val="center"/>
        </w:tcPr>
        <w:p w14:paraId="77D90C33" w14:textId="0977243F" w:rsidR="00E24D59" w:rsidRDefault="00E24D59" w:rsidP="00E24D59">
          <w:pPr>
            <w:pStyle w:val="Header"/>
            <w:jc w:val="left"/>
            <w:rPr>
              <w:noProof/>
            </w:rPr>
          </w:pPr>
          <w:r w:rsidRPr="00B93453">
            <w:rPr>
              <w:color w:val="0563C1"/>
              <w:szCs w:val="14"/>
            </w:rPr>
            <w:t>www.itu.int/council</w:t>
          </w:r>
        </w:p>
      </w:tc>
      <w:tc>
        <w:tcPr>
          <w:tcW w:w="8261" w:type="dxa"/>
        </w:tcPr>
        <w:p w14:paraId="5CB609DF" w14:textId="7D8A0805"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894AE4">
            <w:rPr>
              <w:bCs/>
            </w:rPr>
            <w:t>9</w:t>
          </w:r>
          <w:r w:rsidR="00AD021A">
            <w:rPr>
              <w:bCs/>
            </w:rPr>
            <w:t>7</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F5B853B"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0F165" w14:textId="77777777" w:rsidR="00E0474D" w:rsidRDefault="00E0474D">
      <w:r>
        <w:t>____________________</w:t>
      </w:r>
    </w:p>
  </w:footnote>
  <w:footnote w:type="continuationSeparator" w:id="0">
    <w:p w14:paraId="0A523408" w14:textId="77777777" w:rsidR="00E0474D" w:rsidRDefault="00E0474D">
      <w:r>
        <w:continuationSeparator/>
      </w:r>
    </w:p>
  </w:footnote>
  <w:footnote w:id="1">
    <w:p w14:paraId="31F5F282" w14:textId="77777777" w:rsidR="00AD021A" w:rsidRPr="00751AE8" w:rsidRDefault="00AD021A" w:rsidP="00AD021A">
      <w:pPr>
        <w:pStyle w:val="FootnoteText"/>
        <w:rPr>
          <w:lang w:eastAsia="zh-CN"/>
        </w:rPr>
      </w:pPr>
      <w:r>
        <w:rPr>
          <w:rStyle w:val="FootnoteReference"/>
          <w:lang w:val="zh-CN"/>
        </w:rPr>
        <w:footnoteRef/>
      </w:r>
      <w:r>
        <w:rPr>
          <w:lang w:val="zh-CN" w:eastAsia="zh-CN"/>
        </w:rPr>
        <w:t xml:space="preserve"> </w:t>
      </w:r>
      <w:r>
        <w:rPr>
          <w:lang w:val="zh-CN" w:eastAsia="zh-CN"/>
        </w:rPr>
        <w:tab/>
      </w:r>
      <w:r>
        <w:rPr>
          <w:lang w:val="zh-CN" w:eastAsia="zh-CN"/>
        </w:rPr>
        <w:t>根据全权代表大会</w:t>
      </w:r>
      <w:r>
        <w:rPr>
          <w:rFonts w:hint="eastAsia"/>
          <w:lang w:val="zh-CN" w:eastAsia="zh-CN"/>
        </w:rPr>
        <w:t>的规定</w:t>
      </w:r>
      <w:r>
        <w:rPr>
          <w:lang w:val="zh-CN" w:eastAsia="zh-CN"/>
        </w:rPr>
        <w:t>，该术语</w:t>
      </w:r>
      <w:r>
        <w:rPr>
          <w:rFonts w:hint="eastAsia"/>
          <w:lang w:val="zh-CN" w:eastAsia="zh-CN"/>
        </w:rPr>
        <w:t>中的国家</w:t>
      </w:r>
      <w:r>
        <w:rPr>
          <w:lang w:val="zh-CN" w:eastAsia="zh-CN"/>
        </w:rPr>
        <w:t>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FC1C57A" w14:textId="77777777" w:rsidTr="00E31DCE">
      <w:trPr>
        <w:trHeight w:val="1104"/>
        <w:jc w:val="center"/>
      </w:trPr>
      <w:tc>
        <w:tcPr>
          <w:tcW w:w="4390" w:type="dxa"/>
          <w:vAlign w:val="center"/>
        </w:tcPr>
        <w:p w14:paraId="007B3524" w14:textId="4B888FB1" w:rsidR="00E24D59" w:rsidRPr="009621F8" w:rsidRDefault="00B93453" w:rsidP="00E24D59">
          <w:pPr>
            <w:pStyle w:val="Header"/>
            <w:jc w:val="left"/>
            <w:rPr>
              <w:rFonts w:ascii="Arial" w:hAnsi="Arial" w:cs="Arial"/>
              <w:b/>
              <w:bCs/>
              <w:color w:val="009CD6"/>
              <w:sz w:val="36"/>
              <w:szCs w:val="36"/>
            </w:rPr>
          </w:pPr>
          <w:bookmarkStart w:id="9" w:name="_Hlk133422111"/>
          <w:r>
            <w:rPr>
              <w:noProof/>
            </w:rPr>
            <w:drawing>
              <wp:inline distT="0" distB="0" distL="0" distR="0" wp14:anchorId="7D00D696" wp14:editId="7A28FD21">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11B2470D" w14:textId="77777777" w:rsidR="00E24D59" w:rsidRDefault="00E24D59" w:rsidP="00E24D59">
          <w:pPr>
            <w:pStyle w:val="Header"/>
            <w:jc w:val="right"/>
            <w:rPr>
              <w:rFonts w:ascii="Arial" w:hAnsi="Arial" w:cs="Arial"/>
              <w:b/>
              <w:bCs/>
              <w:color w:val="009CD6"/>
              <w:szCs w:val="18"/>
            </w:rPr>
          </w:pPr>
        </w:p>
        <w:p w14:paraId="7F5C6E33" w14:textId="77777777" w:rsidR="00E24D59" w:rsidRDefault="00E24D59" w:rsidP="00E24D59">
          <w:pPr>
            <w:pStyle w:val="Header"/>
            <w:jc w:val="right"/>
            <w:rPr>
              <w:rFonts w:ascii="Arial" w:hAnsi="Arial" w:cs="Arial"/>
              <w:b/>
              <w:bCs/>
              <w:color w:val="009CD6"/>
              <w:szCs w:val="18"/>
            </w:rPr>
          </w:pPr>
        </w:p>
        <w:p w14:paraId="17FC93E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57C1AFA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251A85" wp14:editId="1A77325E">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2492B04"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BBF117C"/>
    <w:multiLevelType w:val="hybridMultilevel"/>
    <w:tmpl w:val="B0B466D8"/>
    <w:lvl w:ilvl="0" w:tplc="5720ECA8">
      <w:start w:val="1"/>
      <w:numFmt w:val="decimal"/>
      <w:lvlText w:val="%1)"/>
      <w:lvlJc w:val="left"/>
      <w:pPr>
        <w:ind w:left="785" w:hanging="360"/>
      </w:pPr>
      <w:rPr>
        <w:rFonts w:hint="default"/>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5" w15:restartNumberingAfterBreak="0">
    <w:nsid w:val="577602E3"/>
    <w:multiLevelType w:val="hybridMultilevel"/>
    <w:tmpl w:val="BD841FEE"/>
    <w:lvl w:ilvl="0" w:tplc="8300127E">
      <w:numFmt w:val="bullet"/>
      <w:lvlText w:val=""/>
      <w:lvlJc w:val="left"/>
      <w:pPr>
        <w:ind w:left="720" w:hanging="360"/>
      </w:pPr>
      <w:rPr>
        <w:rFonts w:ascii="Symbol" w:eastAsiaTheme="minorEastAsia"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59B413C"/>
    <w:multiLevelType w:val="hybridMultilevel"/>
    <w:tmpl w:val="AC6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DA56826"/>
    <w:multiLevelType w:val="hybridMultilevel"/>
    <w:tmpl w:val="A6827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449368">
    <w:abstractNumId w:val="0"/>
  </w:num>
  <w:num w:numId="2" w16cid:durableId="501241818">
    <w:abstractNumId w:val="2"/>
  </w:num>
  <w:num w:numId="3" w16cid:durableId="371539808">
    <w:abstractNumId w:val="3"/>
  </w:num>
  <w:num w:numId="4" w16cid:durableId="1525828948">
    <w:abstractNumId w:val="7"/>
  </w:num>
  <w:num w:numId="5" w16cid:durableId="2033219779">
    <w:abstractNumId w:val="9"/>
  </w:num>
  <w:num w:numId="6" w16cid:durableId="349645790">
    <w:abstractNumId w:val="8"/>
  </w:num>
  <w:num w:numId="7" w16cid:durableId="1451586466">
    <w:abstractNumId w:val="1"/>
  </w:num>
  <w:num w:numId="8" w16cid:durableId="711198340">
    <w:abstractNumId w:val="4"/>
  </w:num>
  <w:num w:numId="9" w16cid:durableId="929505924">
    <w:abstractNumId w:val="6"/>
  </w:num>
  <w:num w:numId="10" w16cid:durableId="549611046">
    <w:abstractNumId w:val="10"/>
  </w:num>
  <w:num w:numId="11" w16cid:durableId="1893691478">
    <w:abstractNumId w:val="5"/>
    <w:lvlOverride w:ilvl="0">
      <w:lvl w:ilvl="0" w:tplc="8300127E">
        <w:numFmt w:val="bullet"/>
        <w:lvlText w:val=""/>
        <w:lvlJc w:val="left"/>
        <w:pPr>
          <w:ind w:left="720" w:hanging="360"/>
        </w:pPr>
        <w:rPr>
          <w:rFonts w:ascii="Symbol" w:eastAsiaTheme="minorEastAsia" w:hAnsi="Symbol" w:cstheme="minorHAnsi"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853C0"/>
    <w:rsid w:val="0008675D"/>
    <w:rsid w:val="0009409E"/>
    <w:rsid w:val="000A1C21"/>
    <w:rsid w:val="000C0BC5"/>
    <w:rsid w:val="000C5383"/>
    <w:rsid w:val="000D15EA"/>
    <w:rsid w:val="000D382B"/>
    <w:rsid w:val="00100D84"/>
    <w:rsid w:val="00106F17"/>
    <w:rsid w:val="00124C9D"/>
    <w:rsid w:val="00133923"/>
    <w:rsid w:val="00157773"/>
    <w:rsid w:val="00165CAF"/>
    <w:rsid w:val="0018251A"/>
    <w:rsid w:val="00190272"/>
    <w:rsid w:val="001920C5"/>
    <w:rsid w:val="00193244"/>
    <w:rsid w:val="00195C6C"/>
    <w:rsid w:val="00195FED"/>
    <w:rsid w:val="001A4BD6"/>
    <w:rsid w:val="001D1D49"/>
    <w:rsid w:val="001D5A18"/>
    <w:rsid w:val="001E38FD"/>
    <w:rsid w:val="001E4737"/>
    <w:rsid w:val="001F4214"/>
    <w:rsid w:val="00224449"/>
    <w:rsid w:val="00280EB8"/>
    <w:rsid w:val="00296E46"/>
    <w:rsid w:val="002A6670"/>
    <w:rsid w:val="002D7749"/>
    <w:rsid w:val="002E2547"/>
    <w:rsid w:val="002E2D34"/>
    <w:rsid w:val="002F1A0F"/>
    <w:rsid w:val="00303502"/>
    <w:rsid w:val="00325C25"/>
    <w:rsid w:val="00372C8F"/>
    <w:rsid w:val="00380ECE"/>
    <w:rsid w:val="00393DDF"/>
    <w:rsid w:val="00397F55"/>
    <w:rsid w:val="003B4454"/>
    <w:rsid w:val="003C2E37"/>
    <w:rsid w:val="003F1415"/>
    <w:rsid w:val="003F2AC6"/>
    <w:rsid w:val="0040144C"/>
    <w:rsid w:val="00403EB7"/>
    <w:rsid w:val="00430BF0"/>
    <w:rsid w:val="00452737"/>
    <w:rsid w:val="004672E6"/>
    <w:rsid w:val="00474ED1"/>
    <w:rsid w:val="00485B5F"/>
    <w:rsid w:val="00491D9A"/>
    <w:rsid w:val="00493085"/>
    <w:rsid w:val="004A36EC"/>
    <w:rsid w:val="004D163F"/>
    <w:rsid w:val="004E4BFF"/>
    <w:rsid w:val="004F2598"/>
    <w:rsid w:val="005403F7"/>
    <w:rsid w:val="00540632"/>
    <w:rsid w:val="00541CF4"/>
    <w:rsid w:val="005451E8"/>
    <w:rsid w:val="005507F2"/>
    <w:rsid w:val="00550ACE"/>
    <w:rsid w:val="005759CC"/>
    <w:rsid w:val="005A72E1"/>
    <w:rsid w:val="005B5EB9"/>
    <w:rsid w:val="005C6632"/>
    <w:rsid w:val="005D1C9E"/>
    <w:rsid w:val="00630DD5"/>
    <w:rsid w:val="00654257"/>
    <w:rsid w:val="0065435A"/>
    <w:rsid w:val="006A20C0"/>
    <w:rsid w:val="006A2DD3"/>
    <w:rsid w:val="006A5AF8"/>
    <w:rsid w:val="006C36CD"/>
    <w:rsid w:val="00700D1F"/>
    <w:rsid w:val="007205CB"/>
    <w:rsid w:val="00726073"/>
    <w:rsid w:val="00734FE8"/>
    <w:rsid w:val="007360CE"/>
    <w:rsid w:val="00743429"/>
    <w:rsid w:val="00745E2F"/>
    <w:rsid w:val="00772315"/>
    <w:rsid w:val="00775157"/>
    <w:rsid w:val="007813AE"/>
    <w:rsid w:val="00785138"/>
    <w:rsid w:val="007A37DB"/>
    <w:rsid w:val="007B2553"/>
    <w:rsid w:val="007D5566"/>
    <w:rsid w:val="007E189D"/>
    <w:rsid w:val="007F0210"/>
    <w:rsid w:val="008030C3"/>
    <w:rsid w:val="00806E3F"/>
    <w:rsid w:val="00811259"/>
    <w:rsid w:val="00813AA2"/>
    <w:rsid w:val="008173A3"/>
    <w:rsid w:val="008418F5"/>
    <w:rsid w:val="0086059C"/>
    <w:rsid w:val="00864589"/>
    <w:rsid w:val="00874C82"/>
    <w:rsid w:val="00890AFB"/>
    <w:rsid w:val="00890FC4"/>
    <w:rsid w:val="00894AE4"/>
    <w:rsid w:val="00895905"/>
    <w:rsid w:val="008F64AD"/>
    <w:rsid w:val="00911867"/>
    <w:rsid w:val="009164A9"/>
    <w:rsid w:val="00922239"/>
    <w:rsid w:val="009258CB"/>
    <w:rsid w:val="0093362E"/>
    <w:rsid w:val="00944563"/>
    <w:rsid w:val="009469CC"/>
    <w:rsid w:val="00953160"/>
    <w:rsid w:val="009625D8"/>
    <w:rsid w:val="0098459B"/>
    <w:rsid w:val="00997185"/>
    <w:rsid w:val="009B584B"/>
    <w:rsid w:val="009C2458"/>
    <w:rsid w:val="009C4A7B"/>
    <w:rsid w:val="009C6123"/>
    <w:rsid w:val="009F1E3E"/>
    <w:rsid w:val="00A1213C"/>
    <w:rsid w:val="00A272FF"/>
    <w:rsid w:val="00A27C09"/>
    <w:rsid w:val="00A47779"/>
    <w:rsid w:val="00A5354B"/>
    <w:rsid w:val="00A66E62"/>
    <w:rsid w:val="00A71B57"/>
    <w:rsid w:val="00A92CDE"/>
    <w:rsid w:val="00AB3579"/>
    <w:rsid w:val="00AB42C1"/>
    <w:rsid w:val="00AB58EA"/>
    <w:rsid w:val="00AC516F"/>
    <w:rsid w:val="00AD021A"/>
    <w:rsid w:val="00AD7AEF"/>
    <w:rsid w:val="00AE195F"/>
    <w:rsid w:val="00AE2926"/>
    <w:rsid w:val="00AF1D7D"/>
    <w:rsid w:val="00B0184B"/>
    <w:rsid w:val="00B035CD"/>
    <w:rsid w:val="00B0769D"/>
    <w:rsid w:val="00B217F8"/>
    <w:rsid w:val="00B332EA"/>
    <w:rsid w:val="00B40A53"/>
    <w:rsid w:val="00B45365"/>
    <w:rsid w:val="00B46A65"/>
    <w:rsid w:val="00B47AD0"/>
    <w:rsid w:val="00B56DB9"/>
    <w:rsid w:val="00B60184"/>
    <w:rsid w:val="00B62D20"/>
    <w:rsid w:val="00B64595"/>
    <w:rsid w:val="00B81E75"/>
    <w:rsid w:val="00B93453"/>
    <w:rsid w:val="00BD0954"/>
    <w:rsid w:val="00BD1A5A"/>
    <w:rsid w:val="00BD7A9B"/>
    <w:rsid w:val="00BD7BE1"/>
    <w:rsid w:val="00BE7AD7"/>
    <w:rsid w:val="00BF416B"/>
    <w:rsid w:val="00C45EB2"/>
    <w:rsid w:val="00C617CE"/>
    <w:rsid w:val="00C64E4E"/>
    <w:rsid w:val="00C66E64"/>
    <w:rsid w:val="00C761A0"/>
    <w:rsid w:val="00C85F7E"/>
    <w:rsid w:val="00C90D53"/>
    <w:rsid w:val="00C927A1"/>
    <w:rsid w:val="00CA0B2E"/>
    <w:rsid w:val="00CA6EF7"/>
    <w:rsid w:val="00CD47F0"/>
    <w:rsid w:val="00CD5566"/>
    <w:rsid w:val="00CD64D7"/>
    <w:rsid w:val="00CE6F22"/>
    <w:rsid w:val="00CF41F6"/>
    <w:rsid w:val="00CF7D3E"/>
    <w:rsid w:val="00D02B4E"/>
    <w:rsid w:val="00D21F11"/>
    <w:rsid w:val="00D32C7F"/>
    <w:rsid w:val="00D36817"/>
    <w:rsid w:val="00D453EE"/>
    <w:rsid w:val="00D5666C"/>
    <w:rsid w:val="00D666BC"/>
    <w:rsid w:val="00D7619A"/>
    <w:rsid w:val="00D83542"/>
    <w:rsid w:val="00D92F45"/>
    <w:rsid w:val="00D94637"/>
    <w:rsid w:val="00D9725C"/>
    <w:rsid w:val="00DA7006"/>
    <w:rsid w:val="00DB3621"/>
    <w:rsid w:val="00DB7933"/>
    <w:rsid w:val="00DC6427"/>
    <w:rsid w:val="00DD0C62"/>
    <w:rsid w:val="00DD62F5"/>
    <w:rsid w:val="00DD66A1"/>
    <w:rsid w:val="00DE196D"/>
    <w:rsid w:val="00DF0167"/>
    <w:rsid w:val="00DF6B49"/>
    <w:rsid w:val="00E0474D"/>
    <w:rsid w:val="00E067C5"/>
    <w:rsid w:val="00E24D59"/>
    <w:rsid w:val="00E265BF"/>
    <w:rsid w:val="00E378D8"/>
    <w:rsid w:val="00E43A12"/>
    <w:rsid w:val="00E67C67"/>
    <w:rsid w:val="00E77476"/>
    <w:rsid w:val="00E8228B"/>
    <w:rsid w:val="00EE5706"/>
    <w:rsid w:val="00EF373D"/>
    <w:rsid w:val="00F07D44"/>
    <w:rsid w:val="00F11595"/>
    <w:rsid w:val="00F13BC9"/>
    <w:rsid w:val="00F33790"/>
    <w:rsid w:val="00F357B2"/>
    <w:rsid w:val="00F36556"/>
    <w:rsid w:val="00F705DF"/>
    <w:rsid w:val="00F70622"/>
    <w:rsid w:val="00F85624"/>
    <w:rsid w:val="00F87C05"/>
    <w:rsid w:val="00F93191"/>
    <w:rsid w:val="00F93A17"/>
    <w:rsid w:val="00FA2AF6"/>
    <w:rsid w:val="00FB073D"/>
    <w:rsid w:val="00FB771F"/>
    <w:rsid w:val="00FC5386"/>
    <w:rsid w:val="00FC66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DB9A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UnresolvedMention">
    <w:name w:val="Unresolved Mention"/>
    <w:basedOn w:val="DefaultParagraphFont"/>
    <w:uiPriority w:val="99"/>
    <w:semiHidden/>
    <w:unhideWhenUsed/>
    <w:rsid w:val="002E2547"/>
    <w:rPr>
      <w:color w:val="605E5C"/>
      <w:shd w:val="clear" w:color="auto" w:fill="E1DFDD"/>
    </w:rPr>
  </w:style>
  <w:style w:type="paragraph" w:styleId="NormalWeb">
    <w:name w:val="Normal (Web)"/>
    <w:basedOn w:val="Normal"/>
    <w:uiPriority w:val="99"/>
    <w:unhideWhenUsed/>
    <w:rsid w:val="00894AE4"/>
    <w:pPr>
      <w:tabs>
        <w:tab w:val="clear" w:pos="794"/>
        <w:tab w:val="clear" w:pos="1191"/>
        <w:tab w:val="clear" w:pos="1588"/>
        <w:tab w:val="clear" w:pos="1985"/>
      </w:tabs>
      <w:overflowPunct/>
      <w:autoSpaceDE/>
      <w:autoSpaceDN/>
      <w:adjustRightInd/>
      <w:spacing w:before="100" w:beforeAutospacing="1" w:after="100" w:afterAutospacing="1" w:line="280" w:lineRule="exact"/>
      <w:jc w:val="both"/>
      <w:textAlignment w:val="auto"/>
    </w:pPr>
    <w:rPr>
      <w:rFonts w:ascii="Times New Roman" w:eastAsiaTheme="minorEastAsia" w:hAnsi="Times New Roman"/>
      <w:sz w:val="21"/>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PP-C-0064" TargetMode="External"/><Relationship Id="rId13" Type="http://schemas.openxmlformats.org/officeDocument/2006/relationships/hyperlink" Target="https://www.itu.int/md/S24-CL-INF-0007/en" TargetMode="External"/><Relationship Id="rId18" Type="http://schemas.openxmlformats.org/officeDocument/2006/relationships/hyperlink" Target="https://www.itu.int/md/S24-CL-INF-0007/e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S24-CL-C-0061/en" TargetMode="External"/><Relationship Id="rId17" Type="http://schemas.openxmlformats.org/officeDocument/2006/relationships/hyperlink" Target="https://www.itu.int/md/S24-CL-C-0061/en" TargetMode="External"/><Relationship Id="rId2" Type="http://schemas.openxmlformats.org/officeDocument/2006/relationships/numbering" Target="numbering.xml"/><Relationship Id="rId16" Type="http://schemas.openxmlformats.org/officeDocument/2006/relationships/hyperlink" Target="https://www.itu.int/md/S22-PP-C-0064/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WGFHR17-C-0024/en" TargetMode="External"/><Relationship Id="rId5" Type="http://schemas.openxmlformats.org/officeDocument/2006/relationships/webSettings" Target="webSettings.xml"/><Relationship Id="rId15" Type="http://schemas.openxmlformats.org/officeDocument/2006/relationships/hyperlink" Target="https://www.itu.int/md/S24-CWGFHR17-C-0024/en" TargetMode="External"/><Relationship Id="rId23" Type="http://schemas.openxmlformats.org/officeDocument/2006/relationships/theme" Target="theme/theme1.xml"/><Relationship Id="rId10" Type="http://schemas.openxmlformats.org/officeDocument/2006/relationships/hyperlink" Target="https://www.itu.int/md/S23-CWGFHR16-C-0026/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en/council/Documents/basic-texts-2023/RES-167-C.pdf" TargetMode="External"/><Relationship Id="rId14" Type="http://schemas.openxmlformats.org/officeDocument/2006/relationships/hyperlink" Target="https://www.itu.int/md/S23-CWGFHR16-C-0026/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y\AppData\Local\Microsoft\Windows\INetCache\Content.Outlook\ISBZTKHC\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1</TotalTime>
  <Pages>4</Pages>
  <Words>2647</Words>
  <Characters>991</Characters>
  <Application>Microsoft Office Word</Application>
  <DocSecurity>0</DocSecurity>
  <Lines>8</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3631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Xue, Kun</dc:creator>
  <cp:keywords>C2024, C24 Council-24</cp:keywords>
  <dc:description/>
  <cp:lastModifiedBy>Hui, Litao</cp:lastModifiedBy>
  <cp:revision>3</cp:revision>
  <cp:lastPrinted>2015-02-24T13:23:00Z</cp:lastPrinted>
  <dcterms:created xsi:type="dcterms:W3CDTF">2024-06-11T15:38:00Z</dcterms:created>
  <dcterms:modified xsi:type="dcterms:W3CDTF">2024-06-11T15:40:00Z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