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919C9" w14:paraId="16C8DD02" w14:textId="77777777" w:rsidTr="00C538FC">
        <w:trPr>
          <w:cantSplit/>
          <w:trHeight w:val="23"/>
        </w:trPr>
        <w:tc>
          <w:tcPr>
            <w:tcW w:w="3969" w:type="dxa"/>
            <w:vMerge w:val="restart"/>
            <w:tcMar>
              <w:left w:w="0" w:type="dxa"/>
            </w:tcMar>
          </w:tcPr>
          <w:p w14:paraId="380780FF" w14:textId="7F5971BA" w:rsidR="00FE57F6" w:rsidRPr="006919C9" w:rsidRDefault="00D43B85" w:rsidP="00D43B85">
            <w:pPr>
              <w:tabs>
                <w:tab w:val="left" w:pos="851"/>
              </w:tabs>
              <w:spacing w:before="0" w:line="240" w:lineRule="atLeast"/>
              <w:rPr>
                <w:b/>
              </w:rPr>
            </w:pPr>
            <w:bookmarkStart w:id="0" w:name="_Hlk133421839"/>
            <w:r w:rsidRPr="006919C9">
              <w:rPr>
                <w:b/>
              </w:rPr>
              <w:t xml:space="preserve">Punto del orden del día: </w:t>
            </w:r>
            <w:r w:rsidR="00E86FB8" w:rsidRPr="006919C9">
              <w:rPr>
                <w:b/>
              </w:rPr>
              <w:t>PL 2</w:t>
            </w:r>
          </w:p>
        </w:tc>
        <w:tc>
          <w:tcPr>
            <w:tcW w:w="5245" w:type="dxa"/>
          </w:tcPr>
          <w:p w14:paraId="12EC8577" w14:textId="5C6C7A8D" w:rsidR="00FE57F6" w:rsidRPr="006919C9" w:rsidRDefault="00FE57F6" w:rsidP="00C538FC">
            <w:pPr>
              <w:tabs>
                <w:tab w:val="left" w:pos="851"/>
              </w:tabs>
              <w:spacing w:before="0" w:line="240" w:lineRule="atLeast"/>
              <w:jc w:val="right"/>
              <w:rPr>
                <w:b/>
              </w:rPr>
            </w:pPr>
            <w:r w:rsidRPr="006919C9">
              <w:rPr>
                <w:b/>
              </w:rPr>
              <w:t>Document</w:t>
            </w:r>
            <w:r w:rsidR="00F24B71" w:rsidRPr="006919C9">
              <w:rPr>
                <w:b/>
              </w:rPr>
              <w:t>o</w:t>
            </w:r>
            <w:r w:rsidRPr="006919C9">
              <w:rPr>
                <w:b/>
              </w:rPr>
              <w:t xml:space="preserve"> </w:t>
            </w:r>
            <w:proofErr w:type="spellStart"/>
            <w:r w:rsidRPr="006919C9">
              <w:rPr>
                <w:b/>
              </w:rPr>
              <w:t>C2</w:t>
            </w:r>
            <w:r w:rsidR="0064481D" w:rsidRPr="006919C9">
              <w:rPr>
                <w:b/>
              </w:rPr>
              <w:t>4</w:t>
            </w:r>
            <w:proofErr w:type="spellEnd"/>
            <w:r w:rsidRPr="006919C9">
              <w:rPr>
                <w:b/>
              </w:rPr>
              <w:t>/</w:t>
            </w:r>
            <w:r w:rsidR="00E86FB8" w:rsidRPr="006919C9">
              <w:rPr>
                <w:b/>
              </w:rPr>
              <w:t>95</w:t>
            </w:r>
            <w:r w:rsidRPr="006919C9">
              <w:rPr>
                <w:b/>
              </w:rPr>
              <w:t>-</w:t>
            </w:r>
            <w:r w:rsidR="00F24B71" w:rsidRPr="006919C9">
              <w:rPr>
                <w:b/>
              </w:rPr>
              <w:t>S</w:t>
            </w:r>
          </w:p>
        </w:tc>
      </w:tr>
      <w:tr w:rsidR="00FE57F6" w:rsidRPr="006919C9" w14:paraId="2F7BAD0F" w14:textId="77777777" w:rsidTr="00C538FC">
        <w:trPr>
          <w:cantSplit/>
        </w:trPr>
        <w:tc>
          <w:tcPr>
            <w:tcW w:w="3969" w:type="dxa"/>
            <w:vMerge/>
          </w:tcPr>
          <w:p w14:paraId="32D340BD" w14:textId="77777777" w:rsidR="00FE57F6" w:rsidRPr="006919C9" w:rsidRDefault="00FE57F6" w:rsidP="00C538FC">
            <w:pPr>
              <w:tabs>
                <w:tab w:val="left" w:pos="851"/>
              </w:tabs>
              <w:spacing w:line="240" w:lineRule="atLeast"/>
              <w:rPr>
                <w:b/>
              </w:rPr>
            </w:pPr>
          </w:p>
        </w:tc>
        <w:tc>
          <w:tcPr>
            <w:tcW w:w="5245" w:type="dxa"/>
          </w:tcPr>
          <w:p w14:paraId="6D67502D" w14:textId="5533DA5B" w:rsidR="00FE57F6" w:rsidRPr="006919C9" w:rsidRDefault="00E86FB8" w:rsidP="00C538FC">
            <w:pPr>
              <w:tabs>
                <w:tab w:val="left" w:pos="851"/>
              </w:tabs>
              <w:spacing w:before="0"/>
              <w:jc w:val="right"/>
              <w:rPr>
                <w:b/>
              </w:rPr>
            </w:pPr>
            <w:r w:rsidRPr="006919C9">
              <w:rPr>
                <w:b/>
              </w:rPr>
              <w:t>21 de mayo de</w:t>
            </w:r>
            <w:r w:rsidR="00FE57F6" w:rsidRPr="006919C9">
              <w:rPr>
                <w:b/>
              </w:rPr>
              <w:t xml:space="preserve"> 202</w:t>
            </w:r>
            <w:r w:rsidR="0064481D" w:rsidRPr="006919C9">
              <w:rPr>
                <w:b/>
              </w:rPr>
              <w:t>4</w:t>
            </w:r>
          </w:p>
        </w:tc>
      </w:tr>
      <w:tr w:rsidR="00FE57F6" w:rsidRPr="006919C9" w14:paraId="14ED61B8" w14:textId="77777777" w:rsidTr="00C538FC">
        <w:trPr>
          <w:cantSplit/>
          <w:trHeight w:val="23"/>
        </w:trPr>
        <w:tc>
          <w:tcPr>
            <w:tcW w:w="3969" w:type="dxa"/>
            <w:vMerge/>
          </w:tcPr>
          <w:p w14:paraId="36AAE2B4" w14:textId="77777777" w:rsidR="00FE57F6" w:rsidRPr="006919C9" w:rsidRDefault="00FE57F6" w:rsidP="00C538FC">
            <w:pPr>
              <w:tabs>
                <w:tab w:val="left" w:pos="851"/>
              </w:tabs>
              <w:spacing w:line="240" w:lineRule="atLeast"/>
              <w:rPr>
                <w:b/>
              </w:rPr>
            </w:pPr>
          </w:p>
        </w:tc>
        <w:tc>
          <w:tcPr>
            <w:tcW w:w="5245" w:type="dxa"/>
          </w:tcPr>
          <w:p w14:paraId="54C7ED74" w14:textId="77777777" w:rsidR="00FE57F6" w:rsidRPr="006919C9" w:rsidRDefault="00F24B71" w:rsidP="00C538FC">
            <w:pPr>
              <w:tabs>
                <w:tab w:val="left" w:pos="851"/>
              </w:tabs>
              <w:spacing w:before="0" w:line="240" w:lineRule="atLeast"/>
              <w:jc w:val="right"/>
              <w:rPr>
                <w:b/>
                <w:bCs/>
              </w:rPr>
            </w:pPr>
            <w:r w:rsidRPr="006919C9">
              <w:rPr>
                <w:rFonts w:cstheme="minorHAnsi"/>
                <w:b/>
                <w:bCs/>
              </w:rPr>
              <w:t>Original: inglés</w:t>
            </w:r>
          </w:p>
        </w:tc>
      </w:tr>
      <w:tr w:rsidR="00FE57F6" w:rsidRPr="006919C9" w14:paraId="28C23F0D" w14:textId="77777777" w:rsidTr="00C538FC">
        <w:trPr>
          <w:cantSplit/>
          <w:trHeight w:val="23"/>
        </w:trPr>
        <w:tc>
          <w:tcPr>
            <w:tcW w:w="3969" w:type="dxa"/>
          </w:tcPr>
          <w:p w14:paraId="71CA9CDE" w14:textId="77777777" w:rsidR="00FE57F6" w:rsidRPr="006919C9" w:rsidRDefault="00FE57F6" w:rsidP="00C538FC">
            <w:pPr>
              <w:tabs>
                <w:tab w:val="left" w:pos="851"/>
              </w:tabs>
              <w:spacing w:line="240" w:lineRule="atLeast"/>
              <w:rPr>
                <w:b/>
              </w:rPr>
            </w:pPr>
          </w:p>
        </w:tc>
        <w:tc>
          <w:tcPr>
            <w:tcW w:w="5245" w:type="dxa"/>
          </w:tcPr>
          <w:p w14:paraId="04F0E65D" w14:textId="77777777" w:rsidR="00FE57F6" w:rsidRPr="006919C9" w:rsidRDefault="00FE57F6" w:rsidP="00C538FC">
            <w:pPr>
              <w:tabs>
                <w:tab w:val="left" w:pos="851"/>
              </w:tabs>
              <w:spacing w:before="0" w:line="240" w:lineRule="atLeast"/>
              <w:jc w:val="right"/>
              <w:rPr>
                <w:b/>
              </w:rPr>
            </w:pPr>
          </w:p>
        </w:tc>
      </w:tr>
      <w:tr w:rsidR="00E86FB8" w:rsidRPr="006919C9" w14:paraId="0744CD5D" w14:textId="77777777" w:rsidTr="00C538FC">
        <w:trPr>
          <w:cantSplit/>
        </w:trPr>
        <w:tc>
          <w:tcPr>
            <w:tcW w:w="9214" w:type="dxa"/>
            <w:gridSpan w:val="2"/>
            <w:tcMar>
              <w:left w:w="0" w:type="dxa"/>
            </w:tcMar>
          </w:tcPr>
          <w:p w14:paraId="3EF99137" w14:textId="695BE16F" w:rsidR="00E86FB8" w:rsidRPr="006919C9" w:rsidRDefault="00E86FB8" w:rsidP="00E86FB8">
            <w:pPr>
              <w:pStyle w:val="Source"/>
              <w:jc w:val="left"/>
              <w:rPr>
                <w:sz w:val="34"/>
                <w:szCs w:val="34"/>
              </w:rPr>
            </w:pPr>
            <w:r w:rsidRPr="006919C9">
              <w:rPr>
                <w:bCs/>
              </w:rPr>
              <w:t xml:space="preserve">Contribución de Arabia Saudita (Reino de), Argelia (República Argelina Democrática y Popular), </w:t>
            </w:r>
            <w:proofErr w:type="spellStart"/>
            <w:r w:rsidRPr="006919C9">
              <w:rPr>
                <w:bCs/>
              </w:rPr>
              <w:t>Bahrein</w:t>
            </w:r>
            <w:proofErr w:type="spellEnd"/>
            <w:r w:rsidRPr="006919C9">
              <w:rPr>
                <w:bCs/>
              </w:rPr>
              <w:t xml:space="preserve"> (Reino de), Cuba, Egipto (República Árabe de), Emiratos Árabes Unidos, Kuwait (Estado de), </w:t>
            </w:r>
            <w:r w:rsidR="00A02DA8" w:rsidRPr="00A02DA8">
              <w:rPr>
                <w:bCs/>
              </w:rPr>
              <w:t>Federación de Rusia</w:t>
            </w:r>
            <w:r w:rsidR="008D462D">
              <w:rPr>
                <w:bCs/>
              </w:rPr>
              <w:t xml:space="preserve">, </w:t>
            </w:r>
            <w:r w:rsidRPr="006919C9">
              <w:rPr>
                <w:bCs/>
              </w:rPr>
              <w:t xml:space="preserve">Marruecos (Reino de), </w:t>
            </w:r>
            <w:proofErr w:type="gramStart"/>
            <w:r w:rsidRPr="006919C9">
              <w:rPr>
                <w:bCs/>
              </w:rPr>
              <w:t>Sudafricana</w:t>
            </w:r>
            <w:proofErr w:type="gramEnd"/>
            <w:r w:rsidRPr="006919C9">
              <w:rPr>
                <w:bCs/>
              </w:rPr>
              <w:t xml:space="preserve"> (República) y Túnez</w:t>
            </w:r>
          </w:p>
        </w:tc>
      </w:tr>
      <w:tr w:rsidR="00E86FB8" w:rsidRPr="006919C9" w14:paraId="5E2B474A" w14:textId="77777777" w:rsidTr="00C538FC">
        <w:trPr>
          <w:cantSplit/>
        </w:trPr>
        <w:tc>
          <w:tcPr>
            <w:tcW w:w="9214" w:type="dxa"/>
            <w:gridSpan w:val="2"/>
            <w:tcMar>
              <w:left w:w="0" w:type="dxa"/>
            </w:tcMar>
          </w:tcPr>
          <w:p w14:paraId="75872F37" w14:textId="15693D27" w:rsidR="00E86FB8" w:rsidRPr="006919C9" w:rsidRDefault="00E86FB8" w:rsidP="00E86FB8">
            <w:pPr>
              <w:pStyle w:val="Subtitle"/>
              <w:framePr w:hSpace="0" w:wrap="auto" w:hAnchor="text" w:xAlign="left" w:yAlign="inline"/>
              <w:rPr>
                <w:lang w:val="es-ES_tradnl"/>
              </w:rPr>
            </w:pPr>
            <w:bookmarkStart w:id="1" w:name="_Hlk167309939"/>
            <w:r w:rsidRPr="006919C9">
              <w:rPr>
                <w:lang w:val="es-ES_tradnl"/>
              </w:rPr>
              <w:t>TEMA PROPUESTO PARA EL FORO MUNDIAL DE POLÍTICA DE LAS TELECOMUNICACIONES/TIC DE 2026 (</w:t>
            </w:r>
            <w:proofErr w:type="spellStart"/>
            <w:r w:rsidRPr="006919C9">
              <w:rPr>
                <w:lang w:val="es-ES_tradnl"/>
              </w:rPr>
              <w:t>FMPT</w:t>
            </w:r>
            <w:proofErr w:type="spellEnd"/>
            <w:r w:rsidRPr="006919C9">
              <w:rPr>
                <w:lang w:val="es-ES_tradnl"/>
              </w:rPr>
              <w:t>)</w:t>
            </w:r>
            <w:bookmarkEnd w:id="1"/>
          </w:p>
        </w:tc>
      </w:tr>
      <w:tr w:rsidR="00E86FB8" w:rsidRPr="006919C9" w14:paraId="4DC483B4" w14:textId="77777777" w:rsidTr="00C538FC">
        <w:trPr>
          <w:cantSplit/>
        </w:trPr>
        <w:tc>
          <w:tcPr>
            <w:tcW w:w="9214" w:type="dxa"/>
            <w:gridSpan w:val="2"/>
            <w:tcBorders>
              <w:top w:val="single" w:sz="4" w:space="0" w:color="auto"/>
              <w:bottom w:val="single" w:sz="4" w:space="0" w:color="auto"/>
            </w:tcBorders>
            <w:tcMar>
              <w:left w:w="0" w:type="dxa"/>
            </w:tcMar>
          </w:tcPr>
          <w:p w14:paraId="06C5EE24" w14:textId="77777777" w:rsidR="00E86FB8" w:rsidRPr="006919C9" w:rsidRDefault="00E86FB8" w:rsidP="00E86FB8">
            <w:pPr>
              <w:spacing w:before="160"/>
              <w:rPr>
                <w:b/>
                <w:bCs/>
                <w:sz w:val="26"/>
                <w:szCs w:val="26"/>
              </w:rPr>
            </w:pPr>
            <w:r w:rsidRPr="006919C9">
              <w:rPr>
                <w:b/>
                <w:bCs/>
              </w:rPr>
              <w:t>Propósito</w:t>
            </w:r>
          </w:p>
          <w:p w14:paraId="724DA0D5" w14:textId="77777777" w:rsidR="00E86FB8" w:rsidRPr="006919C9" w:rsidRDefault="00E86FB8" w:rsidP="00E86FB8">
            <w:r w:rsidRPr="006919C9">
              <w:t>Tema propuesto para el Foro Mundial de Política de las Telecomunicaciones/TIC (</w:t>
            </w:r>
            <w:proofErr w:type="spellStart"/>
            <w:r w:rsidRPr="006919C9">
              <w:t>FMPT</w:t>
            </w:r>
            <w:proofErr w:type="spellEnd"/>
            <w:r w:rsidRPr="006919C9">
              <w:t>) de 2026</w:t>
            </w:r>
          </w:p>
          <w:p w14:paraId="27200FB4" w14:textId="77777777" w:rsidR="00E86FB8" w:rsidRPr="006919C9" w:rsidRDefault="00E86FB8" w:rsidP="00E86FB8">
            <w:pPr>
              <w:spacing w:before="160"/>
              <w:rPr>
                <w:b/>
                <w:bCs/>
                <w:sz w:val="26"/>
                <w:szCs w:val="26"/>
              </w:rPr>
            </w:pPr>
            <w:r w:rsidRPr="006919C9">
              <w:rPr>
                <w:b/>
                <w:bCs/>
              </w:rPr>
              <w:t>Acción solicitada al Consejo</w:t>
            </w:r>
          </w:p>
          <w:p w14:paraId="14073DD7" w14:textId="77777777" w:rsidR="00E86FB8" w:rsidRPr="006919C9" w:rsidRDefault="00E86FB8" w:rsidP="00E86FB8">
            <w:pPr>
              <w:rPr>
                <w:rFonts w:asciiTheme="minorHAnsi" w:hAnsiTheme="minorHAnsi" w:cstheme="minorHAnsi"/>
              </w:rPr>
            </w:pPr>
            <w:r w:rsidRPr="006919C9">
              <w:t xml:space="preserve">Se invita al Consejo a </w:t>
            </w:r>
            <w:r w:rsidRPr="006919C9">
              <w:rPr>
                <w:b/>
                <w:bCs/>
              </w:rPr>
              <w:t>examinar</w:t>
            </w:r>
            <w:r w:rsidRPr="006919C9">
              <w:t xml:space="preserve"> y </w:t>
            </w:r>
            <w:r w:rsidRPr="006919C9">
              <w:rPr>
                <w:b/>
                <w:bCs/>
              </w:rPr>
              <w:t>aprobar</w:t>
            </w:r>
            <w:r w:rsidRPr="006919C9">
              <w:t xml:space="preserve"> el tema propuesto en esta contribución al </w:t>
            </w:r>
            <w:proofErr w:type="spellStart"/>
            <w:r w:rsidRPr="006919C9">
              <w:t>FMPT</w:t>
            </w:r>
            <w:proofErr w:type="spellEnd"/>
            <w:r w:rsidRPr="006919C9">
              <w:t>-26.</w:t>
            </w:r>
          </w:p>
          <w:p w14:paraId="74DC2596" w14:textId="77777777" w:rsidR="00E86FB8" w:rsidRPr="006919C9" w:rsidRDefault="00E86FB8" w:rsidP="00E86FB8">
            <w:pPr>
              <w:spacing w:before="160"/>
              <w:rPr>
                <w:caps/>
                <w:sz w:val="22"/>
              </w:rPr>
            </w:pPr>
            <w:r w:rsidRPr="006919C9">
              <w:t>__________________</w:t>
            </w:r>
          </w:p>
          <w:p w14:paraId="3C9AEC72" w14:textId="77777777" w:rsidR="00E86FB8" w:rsidRPr="006919C9" w:rsidRDefault="00E86FB8" w:rsidP="00E86FB8">
            <w:pPr>
              <w:spacing w:before="160"/>
              <w:rPr>
                <w:b/>
                <w:bCs/>
                <w:sz w:val="26"/>
                <w:szCs w:val="26"/>
              </w:rPr>
            </w:pPr>
            <w:r w:rsidRPr="006919C9">
              <w:rPr>
                <w:b/>
                <w:bCs/>
              </w:rPr>
              <w:t>Referencias</w:t>
            </w:r>
          </w:p>
          <w:p w14:paraId="1E6D9C1F" w14:textId="77777777" w:rsidR="00E86FB8" w:rsidRPr="006919C9" w:rsidRDefault="00E86FB8" w:rsidP="00E86FB8">
            <w:pPr>
              <w:spacing w:before="160"/>
              <w:rPr>
                <w:i/>
                <w:iCs/>
                <w:color w:val="0563C1"/>
                <w:sz w:val="22"/>
                <w:szCs w:val="22"/>
                <w:u w:val="single"/>
              </w:rPr>
            </w:pPr>
            <w:r w:rsidRPr="006919C9">
              <w:rPr>
                <w:i/>
                <w:iCs/>
              </w:rPr>
              <w:t xml:space="preserve">Documento </w:t>
            </w:r>
            <w:hyperlink r:id="rId6" w:history="1">
              <w:proofErr w:type="spellStart"/>
              <w:r w:rsidRPr="006919C9">
                <w:rPr>
                  <w:rStyle w:val="Hyperlink"/>
                  <w:i/>
                  <w:iCs/>
                </w:rPr>
                <w:t>C24</w:t>
              </w:r>
              <w:proofErr w:type="spellEnd"/>
              <w:r w:rsidRPr="006919C9">
                <w:rPr>
                  <w:rStyle w:val="Hyperlink"/>
                  <w:i/>
                  <w:iCs/>
                </w:rPr>
                <w:t>/36</w:t>
              </w:r>
            </w:hyperlink>
            <w:r w:rsidRPr="006919C9">
              <w:rPr>
                <w:i/>
                <w:iCs/>
              </w:rPr>
              <w:t xml:space="preserve"> del Consejo;</w:t>
            </w:r>
            <w:r w:rsidRPr="006919C9">
              <w:t xml:space="preserve"> </w:t>
            </w:r>
            <w:hyperlink r:id="rId7" w:history="1">
              <w:r w:rsidRPr="006919C9">
                <w:rPr>
                  <w:rStyle w:val="Hyperlink"/>
                  <w:i/>
                  <w:iCs/>
                </w:rPr>
                <w:t>Resolución 2 (Rev. Bucarest, 2022)</w:t>
              </w:r>
            </w:hyperlink>
            <w:r w:rsidRPr="006919C9">
              <w:rPr>
                <w:i/>
                <w:iCs/>
              </w:rPr>
              <w:t xml:space="preserve"> y </w:t>
            </w:r>
            <w:hyperlink r:id="rId8" w:history="1">
              <w:r w:rsidRPr="006919C9">
                <w:rPr>
                  <w:rStyle w:val="Hyperlink"/>
                  <w:i/>
                  <w:iCs/>
                </w:rPr>
                <w:t>Resolución 218 (Bucarest, 2022)</w:t>
              </w:r>
            </w:hyperlink>
            <w:r w:rsidRPr="006919C9">
              <w:rPr>
                <w:i/>
                <w:iCs/>
              </w:rPr>
              <w:t xml:space="preserve"> de la Conferencia de Plenipotenciarios</w:t>
            </w:r>
          </w:p>
          <w:p w14:paraId="58339413" w14:textId="77777777" w:rsidR="00E86FB8" w:rsidRPr="006919C9" w:rsidRDefault="00E86FB8" w:rsidP="00E86FB8">
            <w:pPr>
              <w:spacing w:after="160"/>
            </w:pPr>
          </w:p>
        </w:tc>
      </w:tr>
      <w:bookmarkEnd w:id="0"/>
    </w:tbl>
    <w:p w14:paraId="06FD7253" w14:textId="77777777" w:rsidR="00093EEB" w:rsidRPr="006919C9" w:rsidRDefault="00093EEB"/>
    <w:p w14:paraId="44179D23" w14:textId="77777777" w:rsidR="001559F5" w:rsidRPr="006919C9" w:rsidRDefault="001559F5">
      <w:pPr>
        <w:tabs>
          <w:tab w:val="clear" w:pos="567"/>
          <w:tab w:val="clear" w:pos="1134"/>
          <w:tab w:val="clear" w:pos="1701"/>
          <w:tab w:val="clear" w:pos="2268"/>
          <w:tab w:val="clear" w:pos="2835"/>
        </w:tabs>
        <w:overflowPunct/>
        <w:autoSpaceDE/>
        <w:autoSpaceDN/>
        <w:adjustRightInd/>
        <w:spacing w:before="0"/>
        <w:textAlignment w:val="auto"/>
      </w:pPr>
      <w:r w:rsidRPr="006919C9">
        <w:br w:type="page"/>
      </w:r>
    </w:p>
    <w:p w14:paraId="6ED34C6F" w14:textId="77777777" w:rsidR="00E86FB8" w:rsidRPr="006919C9" w:rsidRDefault="00E86FB8" w:rsidP="00E86FB8">
      <w:pPr>
        <w:pStyle w:val="Headingb"/>
      </w:pPr>
      <w:r w:rsidRPr="006919C9">
        <w:lastRenderedPageBreak/>
        <w:t>Introducción</w:t>
      </w:r>
    </w:p>
    <w:p w14:paraId="3B2839E2" w14:textId="77777777" w:rsidR="00E86FB8" w:rsidRPr="006919C9" w:rsidRDefault="00E86FB8" w:rsidP="00E86FB8">
      <w:pPr>
        <w:rPr>
          <w:rFonts w:asciiTheme="minorHAnsi" w:hAnsiTheme="minorHAnsi" w:cstheme="minorHAnsi"/>
          <w:szCs w:val="24"/>
        </w:rPr>
      </w:pPr>
      <w:r w:rsidRPr="006919C9">
        <w:t>De conformidad con la Resolución 2 (Rev. Bucarest, 2022), el Foro Mundial de Política de las Telecomunicaciones/TIC (</w:t>
      </w:r>
      <w:proofErr w:type="spellStart"/>
      <w:r w:rsidRPr="006919C9">
        <w:t>FMPT</w:t>
      </w:r>
      <w:proofErr w:type="spellEnd"/>
      <w:r w:rsidRPr="006919C9">
        <w:t>) seguirá examinando e intercambiando opiniones e información sobre los servicios nuevos y emergentes, así como tecnologías de telecomunicaciones/TIC con repercusiones políticas y reglamentarias, especialmente en lo que respecta a cuestiones mundiales e intersectoriales.</w:t>
      </w:r>
    </w:p>
    <w:p w14:paraId="11415AD0" w14:textId="07366F05" w:rsidR="00E86FB8" w:rsidRPr="006919C9" w:rsidRDefault="00E86FB8" w:rsidP="00E86FB8">
      <w:pPr>
        <w:rPr>
          <w:rFonts w:asciiTheme="minorHAnsi" w:hAnsiTheme="minorHAnsi" w:cstheme="minorHAnsi"/>
          <w:szCs w:val="24"/>
        </w:rPr>
      </w:pPr>
      <w:r w:rsidRPr="006919C9">
        <w:t xml:space="preserve">De conformidad con la Resolución 218 (Bucarest, 2022), relativa a la función de la UIT en la aplicación de la Agenda </w:t>
      </w:r>
      <w:r w:rsidR="007C543A">
        <w:t>"</w:t>
      </w:r>
      <w:proofErr w:type="spellStart"/>
      <w:r w:rsidRPr="006919C9">
        <w:t>Espacio2030</w:t>
      </w:r>
      <w:proofErr w:type="spellEnd"/>
      <w:r w:rsidR="007C543A">
        <w:t>"</w:t>
      </w:r>
      <w:r w:rsidRPr="006919C9">
        <w:t>, la Conferencia de Plenipotenciarios de la UIT de 2022 pidió a la UIT que estudiara cómo podemos aprovechar el espacio y las aplicaciones espaciales en beneficio colectivo de la humanidad y avanzar hacia los ODS de las Naciones Unidas.</w:t>
      </w:r>
    </w:p>
    <w:p w14:paraId="13458A86" w14:textId="486745BD" w:rsidR="00E86FB8" w:rsidRPr="006919C9" w:rsidRDefault="00E86FB8" w:rsidP="00E86FB8">
      <w:pPr>
        <w:rPr>
          <w:rFonts w:asciiTheme="minorHAnsi" w:hAnsiTheme="minorHAnsi" w:cstheme="minorHAnsi"/>
          <w:szCs w:val="24"/>
        </w:rPr>
      </w:pPr>
      <w:r w:rsidRPr="006919C9">
        <w:t xml:space="preserve">El </w:t>
      </w:r>
      <w:proofErr w:type="spellStart"/>
      <w:r w:rsidRPr="006919C9">
        <w:t>FMPT</w:t>
      </w:r>
      <w:proofErr w:type="spellEnd"/>
      <w:r w:rsidRPr="006919C9">
        <w:t xml:space="preserve">-26 tiene como objetivo profundizar en las oportunidades y los esfuerzos de colaboración necesarios para impulsar esta nueva era en las comunicaciones espaciales y actividades relacionadas. En consonancia con el marco de la Agenda </w:t>
      </w:r>
      <w:r w:rsidR="007C543A">
        <w:t>"</w:t>
      </w:r>
      <w:proofErr w:type="spellStart"/>
      <w:r w:rsidRPr="006919C9">
        <w:t>Espacio2030</w:t>
      </w:r>
      <w:proofErr w:type="spellEnd"/>
      <w:r w:rsidR="007C543A">
        <w:t>"</w:t>
      </w:r>
      <w:r w:rsidRPr="006919C9">
        <w:t xml:space="preserve">, el </w:t>
      </w:r>
      <w:proofErr w:type="spellStart"/>
      <w:r w:rsidRPr="006919C9">
        <w:t>FMPT</w:t>
      </w:r>
      <w:proofErr w:type="spellEnd"/>
      <w:r w:rsidRPr="006919C9">
        <w:t>-2026 podría considerarse una plataforma para debatir la maximización de los beneficios del espacio y sus aplicaciones para el mejoramiento de la humanidad.</w:t>
      </w:r>
    </w:p>
    <w:p w14:paraId="6DDFE98E" w14:textId="2DAF74BF" w:rsidR="00E86FB8" w:rsidRPr="006919C9" w:rsidRDefault="00E86FB8" w:rsidP="00E86FB8">
      <w:pPr>
        <w:pStyle w:val="Headingb"/>
      </w:pPr>
      <w:r w:rsidRPr="006919C9">
        <w:t>Debate</w:t>
      </w:r>
    </w:p>
    <w:p w14:paraId="420FD33D" w14:textId="77777777" w:rsidR="00E86FB8" w:rsidRPr="006919C9" w:rsidRDefault="00E86FB8" w:rsidP="00E86FB8">
      <w:pPr>
        <w:rPr>
          <w:rFonts w:asciiTheme="minorHAnsi" w:hAnsiTheme="minorHAnsi" w:cstheme="minorHAnsi"/>
          <w:szCs w:val="24"/>
        </w:rPr>
      </w:pPr>
      <w:r w:rsidRPr="006919C9">
        <w:t>En la búsqueda de mejorar el desarrollo socioeconómico mundial y fomentar el progreso sostenible, es imperativo aprovechar el potencial de la tecnología espacial y la exploración. Esto implica aprovechar los servicios espaciales en diversos sectores para avanzar en los ODS; por ejemplo, expandiendo la conectividad de banda ancha a comunidades remotas o insuficientemente atendidas y facilitar la acción climática. Además, mejorar el acceso al espacio para todos y promover la cooperación internacional, las asociaciones y la colaboración son esenciales para aprovechar los beneficios socioeconómicos derivados de las aplicaciones de la ciencia y la tecnología espaciales. Este enfoque garantiza la utilización pacífica y responsable de la conectividad espacial. Al mismo tiempo, fomenta un ecosistema sostenible propicio para el desarrollo y despliegue de tecnologías e iniciativas espaciales de próxima generación.</w:t>
      </w:r>
    </w:p>
    <w:p w14:paraId="74279F4D" w14:textId="6223D242" w:rsidR="00E86FB8" w:rsidRPr="006919C9" w:rsidRDefault="00E86FB8" w:rsidP="00E86FB8">
      <w:pPr>
        <w:rPr>
          <w:rFonts w:asciiTheme="minorHAnsi" w:hAnsiTheme="minorHAnsi" w:cstheme="minorHAnsi"/>
          <w:szCs w:val="24"/>
        </w:rPr>
      </w:pPr>
      <w:r w:rsidRPr="006919C9">
        <w:t xml:space="preserve">Además, de conformidad con el Informe de la </w:t>
      </w:r>
      <w:proofErr w:type="gramStart"/>
      <w:r w:rsidRPr="006919C9">
        <w:t>Secretaria General</w:t>
      </w:r>
      <w:proofErr w:type="gramEnd"/>
      <w:r w:rsidRPr="006919C9">
        <w:t xml:space="preserve"> (Documento </w:t>
      </w:r>
      <w:hyperlink r:id="rId9" w:history="1">
        <w:proofErr w:type="spellStart"/>
        <w:r w:rsidRPr="006919C9">
          <w:rPr>
            <w:rStyle w:val="Hyperlink"/>
          </w:rPr>
          <w:t>C24</w:t>
        </w:r>
        <w:proofErr w:type="spellEnd"/>
        <w:r w:rsidRPr="006919C9">
          <w:rPr>
            <w:rStyle w:val="Hyperlink"/>
          </w:rPr>
          <w:t>/36</w:t>
        </w:r>
      </w:hyperlink>
      <w:r w:rsidRPr="006919C9">
        <w:t xml:space="preserve">), la Asamblea General de las Naciones Unidas adoptó la Agenda </w:t>
      </w:r>
      <w:r w:rsidR="007C543A">
        <w:t>"</w:t>
      </w:r>
      <w:proofErr w:type="spellStart"/>
      <w:r w:rsidRPr="006919C9">
        <w:t>Espacio2030</w:t>
      </w:r>
      <w:proofErr w:type="spellEnd"/>
      <w:r w:rsidR="007C543A">
        <w:t>"</w:t>
      </w:r>
      <w:r w:rsidRPr="006919C9">
        <w:t xml:space="preserve"> en su septuagésimo sexto </w:t>
      </w:r>
      <w:r w:rsidR="007C543A">
        <w:t>periodo</w:t>
      </w:r>
      <w:r w:rsidRPr="006919C9">
        <w:t xml:space="preserve"> de sesiones, celebrado en octubre de 2021. Esta Agenda describe cuatro objetivos generales: impulsar la economía espacial para el desarrollo sostenible, la seguridad utilizando el espacio para abordar los desafíos diarios y mejorar la innovación, garantizar el acceso equitativo a los beneficios del espacio para todos y fomentar las asociaciones internacionales para la gobernanza pacífica del espacio.</w:t>
      </w:r>
    </w:p>
    <w:p w14:paraId="4DB8C5E1" w14:textId="7A29A209" w:rsidR="00E86FB8" w:rsidRPr="006919C9" w:rsidRDefault="00E86FB8" w:rsidP="00E86FB8">
      <w:r w:rsidRPr="006919C9">
        <w:t xml:space="preserve">Por último, de conformidad con la Resolución 218 (Bucarest, 2022), la Conferencia de Plenipotenciarios de la UIT encargó al Consejo de la UIT que examinara la labor de la UIT relativa a la aplicación de la Agenda </w:t>
      </w:r>
      <w:r w:rsidR="007C543A">
        <w:t>"</w:t>
      </w:r>
      <w:proofErr w:type="spellStart"/>
      <w:r w:rsidRPr="006919C9">
        <w:t>Espacio2030</w:t>
      </w:r>
      <w:proofErr w:type="spellEnd"/>
      <w:r w:rsidR="007C543A">
        <w:t>"</w:t>
      </w:r>
      <w:r w:rsidRPr="006919C9">
        <w:t xml:space="preserve"> y actividades conexas, e invitó a los Estados Miembros y Miembros de Sector a participar activamente en apoyo de la consecución de los ODS mediante la aplicación de la Agenda </w:t>
      </w:r>
      <w:r w:rsidR="007C543A">
        <w:t>"</w:t>
      </w:r>
      <w:proofErr w:type="spellStart"/>
      <w:r w:rsidRPr="006919C9">
        <w:t>Espacio2030</w:t>
      </w:r>
      <w:proofErr w:type="spellEnd"/>
      <w:r w:rsidR="007C543A">
        <w:t>"</w:t>
      </w:r>
      <w:r w:rsidRPr="006919C9">
        <w:t>.</w:t>
      </w:r>
    </w:p>
    <w:p w14:paraId="6CE1E76F" w14:textId="7BFD4556" w:rsidR="00E86FB8" w:rsidRPr="006919C9" w:rsidRDefault="00E86FB8" w:rsidP="00E86FB8">
      <w:pPr>
        <w:pStyle w:val="Headingb"/>
        <w:rPr>
          <w:rFonts w:asciiTheme="minorHAnsi" w:hAnsiTheme="minorHAnsi" w:cstheme="minorHAnsi"/>
          <w:szCs w:val="24"/>
        </w:rPr>
      </w:pPr>
      <w:r w:rsidRPr="006919C9">
        <w:t>Propuestas</w:t>
      </w:r>
    </w:p>
    <w:p w14:paraId="31787986" w14:textId="3EFE285E" w:rsidR="00E86FB8" w:rsidRPr="006919C9" w:rsidRDefault="00E86FB8" w:rsidP="00E86FB8">
      <w:pPr>
        <w:rPr>
          <w:rFonts w:asciiTheme="minorHAnsi" w:hAnsiTheme="minorHAnsi" w:cstheme="minorHAnsi"/>
          <w:szCs w:val="24"/>
          <w:rtl/>
        </w:rPr>
      </w:pPr>
      <w:r w:rsidRPr="006919C9">
        <w:t xml:space="preserve">Proponemos que el tema del </w:t>
      </w:r>
      <w:proofErr w:type="spellStart"/>
      <w:r w:rsidRPr="006919C9">
        <w:t>FMPT</w:t>
      </w:r>
      <w:proofErr w:type="spellEnd"/>
      <w:r w:rsidRPr="006919C9">
        <w:t xml:space="preserve">-26 sea </w:t>
      </w:r>
      <w:r w:rsidR="007C543A">
        <w:t>"</w:t>
      </w:r>
      <w:r w:rsidRPr="006919C9">
        <w:t>Espacio para la conectividad y el desarrollo sostenible</w:t>
      </w:r>
      <w:r w:rsidR="007C543A">
        <w:t>"</w:t>
      </w:r>
      <w:r w:rsidRPr="006919C9">
        <w:t xml:space="preserve">. Entre los posibles subtemas de debate en el </w:t>
      </w:r>
      <w:proofErr w:type="spellStart"/>
      <w:r w:rsidRPr="006919C9">
        <w:t>FMPT</w:t>
      </w:r>
      <w:proofErr w:type="spellEnd"/>
      <w:r w:rsidRPr="006919C9">
        <w:t>-26 figuran:</w:t>
      </w:r>
    </w:p>
    <w:p w14:paraId="75DAC83E" w14:textId="4162FA61" w:rsidR="00E86FB8" w:rsidRPr="006919C9" w:rsidRDefault="00E86FB8" w:rsidP="00312779">
      <w:pPr>
        <w:pStyle w:val="enumlev1"/>
        <w:rPr>
          <w:rFonts w:asciiTheme="minorHAnsi" w:hAnsiTheme="minorHAnsi" w:cstheme="minorHAnsi"/>
          <w:szCs w:val="24"/>
        </w:rPr>
      </w:pPr>
      <w:r w:rsidRPr="006919C9">
        <w:lastRenderedPageBreak/>
        <w:t>1)</w:t>
      </w:r>
      <w:r w:rsidRPr="006919C9">
        <w:tab/>
        <w:t>Aprovechar los servicios espaciales en diversos sectores para avanzar en los ODS; por ejemplo, expandiendo la conectividad de banda ancha a comunidades remotas o desatendidas y facilitar la acción climática.</w:t>
      </w:r>
    </w:p>
    <w:p w14:paraId="6540E610" w14:textId="0D2C2D4A" w:rsidR="00E86FB8" w:rsidRPr="006919C9" w:rsidRDefault="00E86FB8" w:rsidP="00312779">
      <w:pPr>
        <w:pStyle w:val="enumlev1"/>
        <w:rPr>
          <w:rFonts w:asciiTheme="minorHAnsi" w:hAnsiTheme="minorHAnsi" w:cstheme="minorHAnsi"/>
          <w:szCs w:val="24"/>
        </w:rPr>
      </w:pPr>
      <w:r w:rsidRPr="006919C9">
        <w:t>2)</w:t>
      </w:r>
      <w:r w:rsidRPr="006919C9">
        <w:tab/>
        <w:t>Identificar y abogar por herramientas y medidas que puedan acelerar las actividades basadas en el espacio, impulsando así la prosperidad económica mundial.</w:t>
      </w:r>
    </w:p>
    <w:p w14:paraId="05C6D141" w14:textId="72D21F62" w:rsidR="00E86FB8" w:rsidRPr="006919C9" w:rsidRDefault="00E86FB8" w:rsidP="00312779">
      <w:pPr>
        <w:pStyle w:val="enumlev1"/>
        <w:rPr>
          <w:rFonts w:asciiTheme="minorHAnsi" w:hAnsiTheme="minorHAnsi" w:cstheme="minorHAnsi"/>
          <w:szCs w:val="24"/>
        </w:rPr>
      </w:pPr>
      <w:r w:rsidRPr="006919C9">
        <w:t>3)</w:t>
      </w:r>
      <w:r w:rsidRPr="006919C9">
        <w:tab/>
        <w:t>Cultivar un ecosistema sostenible propicio para el desarrollo y despliegue de tecnologías e iniciativas espaciales de la próxima generación.</w:t>
      </w:r>
    </w:p>
    <w:p w14:paraId="37564B22" w14:textId="020AF8F4" w:rsidR="00E86FB8" w:rsidRPr="006919C9" w:rsidRDefault="00E86FB8" w:rsidP="00312779">
      <w:pPr>
        <w:pStyle w:val="enumlev1"/>
        <w:rPr>
          <w:rFonts w:asciiTheme="minorHAnsi" w:hAnsiTheme="minorHAnsi" w:cstheme="minorHAnsi"/>
          <w:szCs w:val="24"/>
        </w:rPr>
      </w:pPr>
      <w:r w:rsidRPr="006919C9">
        <w:t>4)</w:t>
      </w:r>
      <w:r w:rsidRPr="006919C9">
        <w:tab/>
        <w:t>Explorar rutas de transferencia de tecnología y conocimientos, junto con la cooperación internacional, para apoyar las ambiciones espaciales de los países y garantizar un acceso equitativo a las oportunidades que ofrece la conectividad espacial, sobre la base del respeto y la plena observancia de las leyes nacionales.</w:t>
      </w:r>
    </w:p>
    <w:p w14:paraId="048D2AC0" w14:textId="79FD4FFA" w:rsidR="00E86FB8" w:rsidRPr="006919C9" w:rsidRDefault="00E86FB8" w:rsidP="00312779">
      <w:pPr>
        <w:pStyle w:val="enumlev1"/>
        <w:rPr>
          <w:rFonts w:asciiTheme="minorHAnsi" w:hAnsiTheme="minorHAnsi" w:cstheme="minorHAnsi"/>
          <w:szCs w:val="24"/>
        </w:rPr>
      </w:pPr>
      <w:r w:rsidRPr="006919C9">
        <w:t>5)</w:t>
      </w:r>
      <w:r w:rsidRPr="006919C9">
        <w:tab/>
        <w:t>Fortalecer los instrumentos y plataformas para la cooperación internacional, la gobernanza de las actividades relativas al espacio ultraterrestre, la elaboración de reglamentos internacionales sobre la exploración y utilización del espacio ultraterrestre con fines pacíficos, de conformidad con el derecho internacional.</w:t>
      </w:r>
    </w:p>
    <w:p w14:paraId="36ADC198" w14:textId="05F21187" w:rsidR="00E86FB8" w:rsidRPr="006919C9" w:rsidRDefault="00E86FB8" w:rsidP="00312779">
      <w:pPr>
        <w:pStyle w:val="enumlev1"/>
        <w:rPr>
          <w:rFonts w:asciiTheme="minorHAnsi" w:hAnsiTheme="minorHAnsi" w:cstheme="minorHAnsi"/>
          <w:szCs w:val="24"/>
        </w:rPr>
      </w:pPr>
      <w:r w:rsidRPr="006919C9">
        <w:t>6)</w:t>
      </w:r>
      <w:r w:rsidRPr="006919C9">
        <w:tab/>
        <w:t>Examinar enfoques y tecnologías innovadores para retirar activamente los desechos espaciales de la órbita terrestre.</w:t>
      </w:r>
    </w:p>
    <w:p w14:paraId="42E8C6C0" w14:textId="32971B38" w:rsidR="00E86FB8" w:rsidRPr="006919C9" w:rsidRDefault="00E86FB8" w:rsidP="00312779">
      <w:pPr>
        <w:pStyle w:val="enumlev1"/>
        <w:rPr>
          <w:rFonts w:asciiTheme="minorHAnsi" w:hAnsiTheme="minorHAnsi" w:cstheme="minorHAnsi"/>
          <w:szCs w:val="24"/>
        </w:rPr>
      </w:pPr>
      <w:r w:rsidRPr="006919C9">
        <w:t>7)</w:t>
      </w:r>
      <w:r w:rsidRPr="006919C9">
        <w:tab/>
        <w:t>Explorar las oportunidades y desafíos que enfrentan los gobiernos para regular, promover y aprovechar las tecnologías espaciales para el desarrollo sostenible.</w:t>
      </w:r>
    </w:p>
    <w:p w14:paraId="18C62DA2" w14:textId="77777777" w:rsidR="0096413E" w:rsidRPr="006919C9" w:rsidRDefault="0096413E" w:rsidP="00411C49">
      <w:pPr>
        <w:pStyle w:val="Reasons"/>
      </w:pPr>
    </w:p>
    <w:p w14:paraId="05D16C95" w14:textId="77777777" w:rsidR="0096413E" w:rsidRPr="006919C9" w:rsidRDefault="0096413E">
      <w:pPr>
        <w:jc w:val="center"/>
      </w:pPr>
      <w:r w:rsidRPr="006919C9">
        <w:t>______________</w:t>
      </w:r>
    </w:p>
    <w:sectPr w:rsidR="0096413E" w:rsidRPr="006919C9"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423A93EC" w:rsidR="003273A4" w:rsidRDefault="003273A4" w:rsidP="003273A4">
          <w:pPr>
            <w:pStyle w:val="Header"/>
            <w:jc w:val="left"/>
            <w:rPr>
              <w:noProof/>
            </w:rPr>
          </w:pPr>
        </w:p>
      </w:tc>
      <w:tc>
        <w:tcPr>
          <w:tcW w:w="8261" w:type="dxa"/>
        </w:tcPr>
        <w:p w14:paraId="31328314" w14:textId="72F04E7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E86FB8">
            <w:rPr>
              <w:bCs/>
            </w:rPr>
            <w:t>95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proofErr w:type="spellStart"/>
          <w:r w:rsidRPr="0064481D">
            <w:rPr>
              <w:color w:val="0563C1"/>
              <w:szCs w:val="14"/>
            </w:rPr>
            <w:t>www.itu.int</w:t>
          </w:r>
          <w:proofErr w:type="spellEnd"/>
          <w:r w:rsidRPr="0064481D">
            <w:rPr>
              <w:color w:val="0563C1"/>
              <w:szCs w:val="14"/>
            </w:rPr>
            <w:t>/</w:t>
          </w:r>
          <w:proofErr w:type="spellStart"/>
          <w:r w:rsidRPr="0064481D">
            <w:rPr>
              <w:color w:val="0563C1"/>
              <w:szCs w:val="14"/>
            </w:rPr>
            <w:t>council</w:t>
          </w:r>
          <w:proofErr w:type="spellEnd"/>
        </w:p>
      </w:tc>
      <w:tc>
        <w:tcPr>
          <w:tcW w:w="8261" w:type="dxa"/>
        </w:tcPr>
        <w:p w14:paraId="20F74E99" w14:textId="7DEB901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4481D">
            <w:rPr>
              <w:bCs/>
            </w:rPr>
            <w:t>4</w:t>
          </w:r>
          <w:proofErr w:type="spellEnd"/>
          <w:r w:rsidRPr="00623AE3">
            <w:rPr>
              <w:bCs/>
            </w:rPr>
            <w:t>/</w:t>
          </w:r>
          <w:r w:rsidR="00E86FB8">
            <w:rPr>
              <w:bCs/>
            </w:rPr>
            <w:t>95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2"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12779"/>
    <w:rsid w:val="003273A4"/>
    <w:rsid w:val="00473962"/>
    <w:rsid w:val="004B5D49"/>
    <w:rsid w:val="00513630"/>
    <w:rsid w:val="005534BB"/>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919C9"/>
    <w:rsid w:val="006C1B56"/>
    <w:rsid w:val="006D4761"/>
    <w:rsid w:val="00726872"/>
    <w:rsid w:val="00760F1C"/>
    <w:rsid w:val="007657F0"/>
    <w:rsid w:val="0077252D"/>
    <w:rsid w:val="007955DA"/>
    <w:rsid w:val="007C543A"/>
    <w:rsid w:val="007E5DD3"/>
    <w:rsid w:val="007F350B"/>
    <w:rsid w:val="00820BE4"/>
    <w:rsid w:val="008451E8"/>
    <w:rsid w:val="008D462D"/>
    <w:rsid w:val="00913B9C"/>
    <w:rsid w:val="00927F93"/>
    <w:rsid w:val="00956E77"/>
    <w:rsid w:val="0096413E"/>
    <w:rsid w:val="009F4811"/>
    <w:rsid w:val="00A02DA8"/>
    <w:rsid w:val="00AA390C"/>
    <w:rsid w:val="00B0200A"/>
    <w:rsid w:val="00B574DB"/>
    <w:rsid w:val="00B826C2"/>
    <w:rsid w:val="00B8298E"/>
    <w:rsid w:val="00BD0723"/>
    <w:rsid w:val="00BD2518"/>
    <w:rsid w:val="00BF1D1C"/>
    <w:rsid w:val="00C16990"/>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86FB8"/>
    <w:rsid w:val="00E92DE8"/>
    <w:rsid w:val="00E932B4"/>
    <w:rsid w:val="00E93A8D"/>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8-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RES-002-S.pd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4-CL-C-0036/e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4-CL-C-0036/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5090</Characters>
  <Application>Microsoft Office Word</Application>
  <DocSecurity>0</DocSecurity>
  <Lines>42</Lines>
  <Paragraphs>11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5885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LRT</cp:lastModifiedBy>
  <cp:revision>2</cp:revision>
  <cp:lastPrinted>2006-03-24T09:51:00Z</cp:lastPrinted>
  <dcterms:created xsi:type="dcterms:W3CDTF">2024-06-04T14:14:00Z</dcterms:created>
  <dcterms:modified xsi:type="dcterms:W3CDTF">2024-06-04T14:14:00Z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