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10C71" w14:paraId="2592CC74" w14:textId="77777777" w:rsidTr="00D72F49">
        <w:trPr>
          <w:cantSplit/>
          <w:trHeight w:val="23"/>
        </w:trPr>
        <w:tc>
          <w:tcPr>
            <w:tcW w:w="3969" w:type="dxa"/>
            <w:vMerge w:val="restart"/>
            <w:tcMar>
              <w:left w:w="0" w:type="dxa"/>
            </w:tcMar>
          </w:tcPr>
          <w:p w14:paraId="27E56DEB" w14:textId="7EAE702C" w:rsidR="00D72F49" w:rsidRPr="00110C71" w:rsidRDefault="00D72F49" w:rsidP="00D72F49">
            <w:pPr>
              <w:tabs>
                <w:tab w:val="left" w:pos="851"/>
              </w:tabs>
              <w:spacing w:before="0" w:line="240" w:lineRule="atLeast"/>
              <w:rPr>
                <w:b/>
              </w:rPr>
            </w:pPr>
            <w:r w:rsidRPr="00110C71">
              <w:rPr>
                <w:b/>
              </w:rPr>
              <w:t>Point de l'ordre du jour:</w:t>
            </w:r>
            <w:r w:rsidR="00110C71" w:rsidRPr="00110C71">
              <w:rPr>
                <w:b/>
              </w:rPr>
              <w:t xml:space="preserve"> ADM 1</w:t>
            </w:r>
          </w:p>
        </w:tc>
        <w:tc>
          <w:tcPr>
            <w:tcW w:w="5245" w:type="dxa"/>
          </w:tcPr>
          <w:p w14:paraId="27B6A98A" w14:textId="26CDF9B0" w:rsidR="00D72F49" w:rsidRPr="00110C71" w:rsidRDefault="00D72F49" w:rsidP="00D72F49">
            <w:pPr>
              <w:tabs>
                <w:tab w:val="left" w:pos="851"/>
              </w:tabs>
              <w:spacing w:before="0" w:line="240" w:lineRule="atLeast"/>
              <w:jc w:val="right"/>
              <w:rPr>
                <w:b/>
              </w:rPr>
            </w:pPr>
            <w:r w:rsidRPr="00110C71">
              <w:rPr>
                <w:b/>
              </w:rPr>
              <w:t>Document C2</w:t>
            </w:r>
            <w:r w:rsidR="0073275D" w:rsidRPr="00110C71">
              <w:rPr>
                <w:b/>
              </w:rPr>
              <w:t>4</w:t>
            </w:r>
            <w:r w:rsidRPr="00110C71">
              <w:rPr>
                <w:b/>
              </w:rPr>
              <w:t>/</w:t>
            </w:r>
            <w:r w:rsidR="00612487" w:rsidRPr="00110C71">
              <w:rPr>
                <w:b/>
              </w:rPr>
              <w:t>92</w:t>
            </w:r>
            <w:r w:rsidRPr="00110C71">
              <w:rPr>
                <w:b/>
              </w:rPr>
              <w:t>-F</w:t>
            </w:r>
          </w:p>
        </w:tc>
      </w:tr>
      <w:tr w:rsidR="00D72F49" w:rsidRPr="00110C71" w14:paraId="41096C77" w14:textId="77777777" w:rsidTr="00D72F49">
        <w:trPr>
          <w:cantSplit/>
        </w:trPr>
        <w:tc>
          <w:tcPr>
            <w:tcW w:w="3969" w:type="dxa"/>
            <w:vMerge/>
          </w:tcPr>
          <w:p w14:paraId="0BBA5643" w14:textId="77777777" w:rsidR="00D72F49" w:rsidRPr="00110C71" w:rsidRDefault="00D72F49" w:rsidP="00D72F49">
            <w:pPr>
              <w:tabs>
                <w:tab w:val="left" w:pos="851"/>
              </w:tabs>
              <w:spacing w:line="240" w:lineRule="atLeast"/>
              <w:rPr>
                <w:b/>
              </w:rPr>
            </w:pPr>
          </w:p>
        </w:tc>
        <w:tc>
          <w:tcPr>
            <w:tcW w:w="5245" w:type="dxa"/>
          </w:tcPr>
          <w:p w14:paraId="068BECD5" w14:textId="289CE152" w:rsidR="00D72F49" w:rsidRPr="00110C71" w:rsidRDefault="00612487" w:rsidP="00D72F49">
            <w:pPr>
              <w:tabs>
                <w:tab w:val="left" w:pos="851"/>
              </w:tabs>
              <w:spacing w:before="0"/>
              <w:jc w:val="right"/>
              <w:rPr>
                <w:b/>
              </w:rPr>
            </w:pPr>
            <w:r w:rsidRPr="00110C71">
              <w:rPr>
                <w:b/>
              </w:rPr>
              <w:t>21 mai</w:t>
            </w:r>
            <w:r w:rsidR="00D72F49" w:rsidRPr="00110C71">
              <w:rPr>
                <w:b/>
              </w:rPr>
              <w:t xml:space="preserve"> 202</w:t>
            </w:r>
            <w:r w:rsidR="0073275D" w:rsidRPr="00110C71">
              <w:rPr>
                <w:b/>
              </w:rPr>
              <w:t>4</w:t>
            </w:r>
          </w:p>
        </w:tc>
      </w:tr>
      <w:tr w:rsidR="00D72F49" w:rsidRPr="00110C71" w14:paraId="17E5B988" w14:textId="77777777" w:rsidTr="00D72F49">
        <w:trPr>
          <w:cantSplit/>
          <w:trHeight w:val="23"/>
        </w:trPr>
        <w:tc>
          <w:tcPr>
            <w:tcW w:w="3969" w:type="dxa"/>
            <w:vMerge/>
          </w:tcPr>
          <w:p w14:paraId="2192D6D7" w14:textId="77777777" w:rsidR="00D72F49" w:rsidRPr="00110C71" w:rsidRDefault="00D72F49" w:rsidP="00D72F49">
            <w:pPr>
              <w:tabs>
                <w:tab w:val="left" w:pos="851"/>
              </w:tabs>
              <w:spacing w:line="240" w:lineRule="atLeast"/>
              <w:rPr>
                <w:b/>
              </w:rPr>
            </w:pPr>
          </w:p>
        </w:tc>
        <w:tc>
          <w:tcPr>
            <w:tcW w:w="5245" w:type="dxa"/>
          </w:tcPr>
          <w:p w14:paraId="1948C622" w14:textId="77777777" w:rsidR="00D72F49" w:rsidRPr="00110C71" w:rsidRDefault="00D72F49" w:rsidP="00D72F49">
            <w:pPr>
              <w:tabs>
                <w:tab w:val="left" w:pos="851"/>
              </w:tabs>
              <w:spacing w:before="0" w:line="240" w:lineRule="atLeast"/>
              <w:jc w:val="right"/>
              <w:rPr>
                <w:b/>
              </w:rPr>
            </w:pPr>
            <w:r w:rsidRPr="00110C71">
              <w:rPr>
                <w:b/>
              </w:rPr>
              <w:t>Original: anglais</w:t>
            </w:r>
          </w:p>
        </w:tc>
      </w:tr>
      <w:tr w:rsidR="00D72F49" w:rsidRPr="00110C71" w14:paraId="53623BEE" w14:textId="77777777" w:rsidTr="00D72F49">
        <w:trPr>
          <w:cantSplit/>
          <w:trHeight w:val="23"/>
        </w:trPr>
        <w:tc>
          <w:tcPr>
            <w:tcW w:w="3969" w:type="dxa"/>
          </w:tcPr>
          <w:p w14:paraId="630B4C34" w14:textId="77777777" w:rsidR="00D72F49" w:rsidRPr="00110C71" w:rsidRDefault="00D72F49" w:rsidP="00D72F49">
            <w:pPr>
              <w:tabs>
                <w:tab w:val="left" w:pos="851"/>
              </w:tabs>
              <w:spacing w:line="240" w:lineRule="atLeast"/>
              <w:rPr>
                <w:b/>
              </w:rPr>
            </w:pPr>
          </w:p>
        </w:tc>
        <w:tc>
          <w:tcPr>
            <w:tcW w:w="5245" w:type="dxa"/>
          </w:tcPr>
          <w:p w14:paraId="437750C4" w14:textId="77777777" w:rsidR="00D72F49" w:rsidRPr="00110C71" w:rsidRDefault="00D72F49" w:rsidP="00D72F49">
            <w:pPr>
              <w:tabs>
                <w:tab w:val="left" w:pos="851"/>
              </w:tabs>
              <w:spacing w:before="0" w:line="240" w:lineRule="atLeast"/>
              <w:jc w:val="right"/>
              <w:rPr>
                <w:b/>
              </w:rPr>
            </w:pPr>
          </w:p>
        </w:tc>
      </w:tr>
      <w:tr w:rsidR="00D72F49" w:rsidRPr="00110C71" w14:paraId="31FFA2A5" w14:textId="77777777" w:rsidTr="00D72F49">
        <w:trPr>
          <w:cantSplit/>
        </w:trPr>
        <w:tc>
          <w:tcPr>
            <w:tcW w:w="9214" w:type="dxa"/>
            <w:gridSpan w:val="2"/>
            <w:tcMar>
              <w:left w:w="0" w:type="dxa"/>
            </w:tcMar>
          </w:tcPr>
          <w:p w14:paraId="7AA1F34C" w14:textId="44ADC166" w:rsidR="00D72F49" w:rsidRPr="00110C71" w:rsidRDefault="00612487" w:rsidP="00D72F49">
            <w:pPr>
              <w:pStyle w:val="Source"/>
              <w:jc w:val="left"/>
              <w:rPr>
                <w:sz w:val="34"/>
                <w:szCs w:val="34"/>
              </w:rPr>
            </w:pPr>
            <w:r w:rsidRPr="00110C71">
              <w:rPr>
                <w:rFonts w:cstheme="minorHAnsi"/>
                <w:color w:val="000000"/>
                <w:sz w:val="34"/>
                <w:szCs w:val="34"/>
              </w:rPr>
              <w:t xml:space="preserve">Contribution de l'Australie, du Canada et des </w:t>
            </w:r>
            <w:r w:rsidRPr="00110C71">
              <w:rPr>
                <w:rFonts w:cstheme="minorHAnsi"/>
                <w:color w:val="000000"/>
                <w:sz w:val="34"/>
                <w:szCs w:val="34"/>
              </w:rPr>
              <w:t>É</w:t>
            </w:r>
            <w:r w:rsidRPr="00110C71">
              <w:rPr>
                <w:rFonts w:cstheme="minorHAnsi"/>
                <w:color w:val="000000"/>
                <w:sz w:val="34"/>
                <w:szCs w:val="34"/>
              </w:rPr>
              <w:t>tats-Unis d'Amérique</w:t>
            </w:r>
          </w:p>
        </w:tc>
      </w:tr>
      <w:tr w:rsidR="00D72F49" w:rsidRPr="00110C71" w14:paraId="65E7E3D8" w14:textId="77777777" w:rsidTr="00D72F49">
        <w:trPr>
          <w:cantSplit/>
        </w:trPr>
        <w:tc>
          <w:tcPr>
            <w:tcW w:w="9214" w:type="dxa"/>
            <w:gridSpan w:val="2"/>
            <w:tcMar>
              <w:left w:w="0" w:type="dxa"/>
            </w:tcMar>
          </w:tcPr>
          <w:p w14:paraId="370F6D7B" w14:textId="2342AC57" w:rsidR="00D72F49" w:rsidRPr="00110C71" w:rsidRDefault="00612487" w:rsidP="00D72F49">
            <w:pPr>
              <w:pStyle w:val="Subtitle"/>
              <w:framePr w:hSpace="0" w:wrap="auto" w:hAnchor="text" w:xAlign="left" w:yAlign="inline"/>
              <w:rPr>
                <w:lang w:val="fr-FR"/>
              </w:rPr>
            </w:pPr>
            <w:r w:rsidRPr="00110C71">
              <w:rPr>
                <w:rFonts w:cstheme="minorHAnsi"/>
                <w:lang w:val="fr-FR"/>
              </w:rPr>
              <w:t>PROPOSITION DE MÉCANISME VISANT À GARANTIR LE RESPECT DE L'ARTICLE 34 DE LA CONVENTION DE L'UIT SUR LES RESPONSABILITÉS FINANCIÈRES DES CONFÉRENCES</w:t>
            </w:r>
          </w:p>
        </w:tc>
      </w:tr>
      <w:tr w:rsidR="00D72F49" w:rsidRPr="00110C71"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110C71" w:rsidRDefault="00F37FE5" w:rsidP="00D72F49">
            <w:pPr>
              <w:spacing w:before="160"/>
              <w:rPr>
                <w:b/>
                <w:bCs/>
                <w:sz w:val="26"/>
                <w:szCs w:val="26"/>
              </w:rPr>
            </w:pPr>
            <w:r w:rsidRPr="00110C71">
              <w:rPr>
                <w:b/>
                <w:bCs/>
                <w:sz w:val="26"/>
                <w:szCs w:val="26"/>
              </w:rPr>
              <w:t>Objet</w:t>
            </w:r>
          </w:p>
          <w:p w14:paraId="45E55FB2" w14:textId="365347C2" w:rsidR="00D72F49" w:rsidRPr="00110C71" w:rsidRDefault="00612487" w:rsidP="00D72F49">
            <w:r w:rsidRPr="00110C71">
              <w:t>La présente contribution propose un gabarit destiné à aider les Membres à évaluer les incidences financières de leurs propositions avant approbation finale par une conférence de l'UIT, conformément à l'article 34 de la Convention de l'UIT.</w:t>
            </w:r>
          </w:p>
          <w:p w14:paraId="0B950982" w14:textId="77777777" w:rsidR="00D72F49" w:rsidRPr="00110C71" w:rsidRDefault="00D72F49" w:rsidP="00D72F49">
            <w:pPr>
              <w:spacing w:before="160"/>
              <w:rPr>
                <w:b/>
                <w:bCs/>
                <w:sz w:val="26"/>
                <w:szCs w:val="26"/>
              </w:rPr>
            </w:pPr>
            <w:r w:rsidRPr="00110C71">
              <w:rPr>
                <w:b/>
                <w:bCs/>
                <w:sz w:val="26"/>
                <w:szCs w:val="26"/>
              </w:rPr>
              <w:t>Suite à donner par le Conseil</w:t>
            </w:r>
          </w:p>
          <w:p w14:paraId="1476D7E3" w14:textId="2DBFAB56" w:rsidR="00D72F49" w:rsidRPr="00110C71" w:rsidRDefault="00612487" w:rsidP="00612487">
            <w:pPr>
              <w:rPr>
                <w:sz w:val="26"/>
                <w:szCs w:val="26"/>
              </w:rPr>
            </w:pPr>
            <w:r w:rsidRPr="00110C71">
              <w:t xml:space="preserve">Le Conseil est invité à examiner la présente contribution et à </w:t>
            </w:r>
            <w:r w:rsidRPr="00110C71">
              <w:rPr>
                <w:b/>
                <w:bCs/>
              </w:rPr>
              <w:t>prendre les mesures appropriées</w:t>
            </w:r>
            <w:r w:rsidRPr="00110C71">
              <w:t>.</w:t>
            </w:r>
          </w:p>
          <w:p w14:paraId="2E44E753" w14:textId="77777777" w:rsidR="00D72F49" w:rsidRPr="00110C71" w:rsidRDefault="00D72F49" w:rsidP="00D72F49">
            <w:pPr>
              <w:spacing w:before="160"/>
              <w:rPr>
                <w:caps/>
                <w:sz w:val="22"/>
              </w:rPr>
            </w:pPr>
            <w:r w:rsidRPr="00110C71">
              <w:rPr>
                <w:sz w:val="22"/>
              </w:rPr>
              <w:t>__________________</w:t>
            </w:r>
          </w:p>
          <w:p w14:paraId="246B160C" w14:textId="77777777" w:rsidR="00D72F49" w:rsidRPr="00110C71" w:rsidRDefault="00D72F49" w:rsidP="00D72F49">
            <w:pPr>
              <w:spacing w:before="160"/>
              <w:rPr>
                <w:b/>
                <w:bCs/>
                <w:sz w:val="26"/>
                <w:szCs w:val="26"/>
              </w:rPr>
            </w:pPr>
            <w:r w:rsidRPr="00110C71">
              <w:rPr>
                <w:b/>
                <w:bCs/>
                <w:sz w:val="26"/>
                <w:szCs w:val="26"/>
              </w:rPr>
              <w:t>Références</w:t>
            </w:r>
          </w:p>
          <w:p w14:paraId="683920FE" w14:textId="79C41B60" w:rsidR="00612487" w:rsidRPr="00110C71" w:rsidRDefault="00612487" w:rsidP="00612487">
            <w:hyperlink r:id="rId6" w:history="1">
              <w:r w:rsidRPr="00110C71">
                <w:rPr>
                  <w:rStyle w:val="Hyperlink"/>
                </w:rPr>
                <w:t>Convention de l'UIT (article 34)</w:t>
              </w:r>
            </w:hyperlink>
          </w:p>
          <w:p w14:paraId="3B399B5C" w14:textId="7C882EB6" w:rsidR="00D72F49" w:rsidRPr="00110C71" w:rsidRDefault="00612487" w:rsidP="00612487">
            <w:pPr>
              <w:spacing w:before="0" w:after="160"/>
            </w:pPr>
            <w:hyperlink r:id="rId7" w:history="1">
              <w:r w:rsidRPr="00110C71">
                <w:rPr>
                  <w:rStyle w:val="Hyperlink"/>
                </w:rPr>
                <w:t>Décision 5 (Rév. Bucarest, 2022) de la Conférence de plénipotentiaires</w:t>
              </w:r>
            </w:hyperlink>
          </w:p>
        </w:tc>
      </w:tr>
    </w:tbl>
    <w:p w14:paraId="3B7150AC" w14:textId="77777777" w:rsidR="00A51849" w:rsidRPr="00110C71" w:rsidRDefault="00A51849">
      <w:pPr>
        <w:tabs>
          <w:tab w:val="clear" w:pos="567"/>
          <w:tab w:val="clear" w:pos="1134"/>
          <w:tab w:val="clear" w:pos="1701"/>
          <w:tab w:val="clear" w:pos="2268"/>
          <w:tab w:val="clear" w:pos="2835"/>
        </w:tabs>
        <w:overflowPunct/>
        <w:autoSpaceDE/>
        <w:autoSpaceDN/>
        <w:adjustRightInd/>
        <w:spacing w:before="0"/>
        <w:textAlignment w:val="auto"/>
      </w:pPr>
      <w:r w:rsidRPr="00110C71">
        <w:br w:type="page"/>
      </w:r>
    </w:p>
    <w:p w14:paraId="57E50F73" w14:textId="77777777" w:rsidR="00612487" w:rsidRPr="00110C71" w:rsidRDefault="00612487" w:rsidP="00612487">
      <w:pPr>
        <w:pStyle w:val="Headingb"/>
      </w:pPr>
      <w:r w:rsidRPr="00110C71">
        <w:lastRenderedPageBreak/>
        <w:t>Considérations générales</w:t>
      </w:r>
    </w:p>
    <w:p w14:paraId="3AE5750A" w14:textId="77777777" w:rsidR="00612487" w:rsidRPr="00110C71" w:rsidRDefault="00612487" w:rsidP="00612487">
      <w:r w:rsidRPr="00110C71">
        <w:t>L'article 34 de la Convention de l'UIT établit l'obligation statutaire d'évaluer les incidences financières des propositions avant leur approbation finale par une conférence de l'UIT.</w:t>
      </w:r>
    </w:p>
    <w:p w14:paraId="7EB980C9" w14:textId="4EB38973" w:rsidR="00612487" w:rsidRPr="00110C71" w:rsidRDefault="00612487" w:rsidP="00612487">
      <w:r w:rsidRPr="00110C71">
        <w:t>À cette fin, le § 26 de l'Annexe 2 de la Décision 5 (Rév. Bucarest, 2022) de la Conférence de plénipotentiaires dispose ce qui suit: "Demander aux États Membres d'</w:t>
      </w:r>
      <w:r w:rsidRPr="00110C71">
        <w:rPr>
          <w:i/>
          <w:iCs/>
        </w:rPr>
        <w:t>insérer, dans la mesure du possible et avec l'appui du secrétariat, dans leurs propositions aux conférences de l'UIT, une annexe contenant des informations pertinentes</w:t>
      </w:r>
      <w:r w:rsidRPr="00110C71">
        <w:t>, afin que le Secrétaire général/les Directeurs des Bureaux puissent déterminer les incidences financières probables de ces propositions, afin de respecter les dispositions de l'article 34 de la Convention de l'UIT sur les responsabilités financières des conférences" (mise en forme ajoutée)</w:t>
      </w:r>
      <w:r w:rsidRPr="00110C71">
        <w:t>.</w:t>
      </w:r>
    </w:p>
    <w:p w14:paraId="50E43D75" w14:textId="77777777" w:rsidR="00612487" w:rsidRPr="00110C71" w:rsidRDefault="00612487" w:rsidP="00612487">
      <w:pPr>
        <w:pStyle w:val="Headingb"/>
      </w:pPr>
      <w:r w:rsidRPr="00110C71">
        <w:t>Proposition</w:t>
      </w:r>
    </w:p>
    <w:p w14:paraId="7F739A8F" w14:textId="77777777" w:rsidR="00612487" w:rsidRPr="00110C71" w:rsidRDefault="00612487" w:rsidP="00612487">
      <w:r w:rsidRPr="00110C71">
        <w:t>Pour mettre en œuvre la Décision 5 (Rév. Bucarest, 2022) de la PP, nous recommandons que le Secrétariat élabore un gabarit pour l'annexe susmentionnée et l'inclue dans le gabarit à utiliser pour les contributions soumises aux conférences de l'UIT. On trouvera dans la présente contribution un modèle théorique d'évaluation des coûts (ci-joint) pour cette annexe, avec des notes explicatives.</w:t>
      </w:r>
    </w:p>
    <w:p w14:paraId="63056DD9" w14:textId="77777777" w:rsidR="00612487" w:rsidRPr="00110C71" w:rsidRDefault="00612487" w:rsidP="00612487">
      <w:r w:rsidRPr="00110C71">
        <w:t>Nous proposons que le Conseil approuve l'élaboration de cette annexe. Nous proposons en outre que le Conseil charge le Secrétariat de poursuivre l'élaboration de cette annexe et de la soumettre au Groupe de travail du Conseil sur les ressources financières et les ressources humaines (GTC-FHR) pour examen en octobre 2024 et février 2025; ensuite, le GTC-FHR devrait soumettre la version définitive du projet au Conseil pour approbation en juillet 2025.</w:t>
      </w:r>
    </w:p>
    <w:p w14:paraId="4C25DE13" w14:textId="17832DBA" w:rsidR="00612487" w:rsidRPr="00110C71" w:rsidRDefault="00612487" w:rsidP="00612487">
      <w:r w:rsidRPr="00110C71">
        <w:t>La procédure et le calendrier proposés permettraient au Secrétariat d'inclure l'annexe dans le gabarit à utiliser pour les contributions soumises à la Conférence mondiale de développement des télécommunications de 2025 (CMDT-25). Sur la base de cette mise en</w:t>
      </w:r>
      <w:r w:rsidRPr="00110C71">
        <w:t> </w:t>
      </w:r>
      <w:r w:rsidRPr="00110C71">
        <w:t>œuvre à la CMDT-25, le gabarit pourrait ensuite être amélioré, si nécessaire, à temps pour la Conférence de plénipotentiaires de l'UIT de 2026.</w:t>
      </w:r>
    </w:p>
    <w:p w14:paraId="27AA8303" w14:textId="77777777" w:rsidR="00612487" w:rsidRPr="00110C71" w:rsidRDefault="00612487" w:rsidP="00612487">
      <w:r w:rsidRPr="00110C71">
        <w:t>Pour guider l'élaboration de l'avant-projet d'annexe, le Secrétariat pourrait également s'appuyer sur les discussions menées et les données d'expérience acquises par la Commission de contrôle budgétaire (COM 2) lors de la prochaine Assemblée mondiale de normalisation des télécommunications de 2024 (AMNT-24). Les membres pourraient aussi soumettre à titre volontaire des informations sur les incidences financières prévues de leurs propositions dans le cadre de leurs contributions à l'AMNT-24.</w:t>
      </w:r>
    </w:p>
    <w:p w14:paraId="2AFF28FE" w14:textId="77777777" w:rsidR="00612487" w:rsidRPr="00110C71" w:rsidRDefault="00612487" w:rsidP="00612487">
      <w:r w:rsidRPr="00110C71">
        <w:t>Pour ce qui est de l'avenir, nous faisons remarquer que ce type d'annexe pourrait s'avérer utile en vue de déterminer les incidences financières de toutes les propositions, et pas seulement de celles soumises aux conférences de l'UIT. Nous estimons que le Conseil devrait encourager les trois Secteurs à envisager des mécanismes analogues, dans le cadre de leurs méthodes de travail respectives. Par exemple, le Groupe du Rapporteur du GCNT sur les méthodes de travail pourrait étudier la possibilité d'élaborer son propre gabarit (analogue à un formulaire de justification UIT-T A.1 ou UIT-T A.13) adapté aux contributions soumises aux réunions de l'UIT-T ayant des incidences financières, par exemple les propositions de création de nouveaux groupes spécialisés de l'UIT-T.</w:t>
      </w:r>
    </w:p>
    <w:p w14:paraId="49A0BBAE" w14:textId="2B668108" w:rsidR="006A11AE" w:rsidRPr="00110C71" w:rsidRDefault="00612487" w:rsidP="00110C71">
      <w:pPr>
        <w:keepNext/>
        <w:keepLines/>
        <w:spacing w:after="480"/>
      </w:pPr>
      <w:r w:rsidRPr="00110C71">
        <w:lastRenderedPageBreak/>
        <w:t>Nous estimons que ce type d'annexe/de gabarit est utile pour la bonne mise en œuvre de l'article 34 de la Convention de l'UIT, ainsi que du paragraphe 26 de l'Annexe 2 de la Décision</w:t>
      </w:r>
      <w:r w:rsidRPr="00110C71">
        <w:t> </w:t>
      </w:r>
      <w:r w:rsidRPr="00110C71">
        <w:t>5 (Rév. Bucarest, 2022) de la PP. Cet outil aidera à sensibiliser les membres aux questions budgétaires lorsqu'ils formulent des propositions, afin de hiérarchiser les activités en s'appuyant sur davantage d'informations, d'éviter les activités demandées non budgétées et de contribuer à renforcer la situation budgétaire de l'UIT.</w:t>
      </w:r>
    </w:p>
    <w:p w14:paraId="6BED849E" w14:textId="77777777" w:rsidR="00612487" w:rsidRPr="00110C71" w:rsidRDefault="00612487" w:rsidP="00612487">
      <w:pPr>
        <w:pStyle w:val="Headingb"/>
      </w:pPr>
      <w:r w:rsidRPr="00110C71">
        <w:t>Pièce jointe:</w:t>
      </w:r>
    </w:p>
    <w:p w14:paraId="234FEAEA" w14:textId="08C6F3A1" w:rsidR="006A11AE" w:rsidRPr="00110C71" w:rsidRDefault="00612487" w:rsidP="00110C71">
      <w:pPr>
        <w:pStyle w:val="Tabletitle"/>
        <w:spacing w:before="240" w:after="240"/>
      </w:pPr>
      <w:r w:rsidRPr="00110C71">
        <w:t>Gabarit à utiliser pour déterminer les incidences financières probables</w:t>
      </w:r>
      <w:r w:rsidR="00C97C40" w:rsidRPr="00110C71">
        <w:br/>
      </w:r>
      <w:r w:rsidRPr="00110C71">
        <w:t>des propositions soumises aux conférences de l'UIT</w:t>
      </w:r>
    </w:p>
    <w:tbl>
      <w:tblPr>
        <w:tblW w:w="9180" w:type="dxa"/>
        <w:tblLayout w:type="fixed"/>
        <w:tblLook w:val="04A0" w:firstRow="1" w:lastRow="0" w:firstColumn="1" w:lastColumn="0" w:noHBand="0" w:noVBand="1"/>
      </w:tblPr>
      <w:tblGrid>
        <w:gridCol w:w="4227"/>
        <w:gridCol w:w="1580"/>
        <w:gridCol w:w="1276"/>
        <w:gridCol w:w="2097"/>
      </w:tblGrid>
      <w:tr w:rsidR="00C97C40" w:rsidRPr="00110C71" w14:paraId="0B8DB39B" w14:textId="77777777" w:rsidTr="00C97C40">
        <w:trPr>
          <w:trHeight w:val="732"/>
        </w:trPr>
        <w:tc>
          <w:tcPr>
            <w:tcW w:w="5807" w:type="dxa"/>
            <w:gridSpan w:val="2"/>
            <w:tcBorders>
              <w:top w:val="single" w:sz="4" w:space="0" w:color="auto"/>
              <w:left w:val="single" w:sz="4" w:space="0" w:color="auto"/>
              <w:bottom w:val="single" w:sz="4" w:space="0" w:color="auto"/>
              <w:right w:val="single" w:sz="4" w:space="0" w:color="000000"/>
            </w:tcBorders>
            <w:noWrap/>
            <w:vAlign w:val="center"/>
          </w:tcPr>
          <w:p w14:paraId="197223B9" w14:textId="77777777" w:rsidR="00C97C40" w:rsidRPr="00110C71" w:rsidRDefault="00C97C40" w:rsidP="00C97C40">
            <w:pPr>
              <w:pStyle w:val="Tabletext"/>
              <w:rPr>
                <w:color w:val="000000"/>
                <w:sz w:val="20"/>
                <w:lang w:eastAsia="zh-CN"/>
              </w:rPr>
            </w:pPr>
            <w:r w:rsidRPr="00110C71">
              <w:rPr>
                <w:lang w:eastAsia="zh-CN"/>
              </w:rPr>
              <w:t>Conférence ou assemblée:</w:t>
            </w:r>
          </w:p>
        </w:tc>
        <w:tc>
          <w:tcPr>
            <w:tcW w:w="3373"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14:paraId="4AD12003" w14:textId="77777777" w:rsidR="00C97C40" w:rsidRPr="00110C71" w:rsidRDefault="00C97C40" w:rsidP="00C97C40">
            <w:pPr>
              <w:pStyle w:val="Tabletext"/>
              <w:rPr>
                <w:color w:val="000000"/>
                <w:sz w:val="20"/>
                <w:lang w:eastAsia="zh-CN"/>
              </w:rPr>
            </w:pPr>
            <w:r w:rsidRPr="00110C71">
              <w:rPr>
                <w:lang w:eastAsia="zh-CN"/>
              </w:rPr>
              <w:t>Type de proposition:</w:t>
            </w:r>
          </w:p>
          <w:p w14:paraId="53C5E895" w14:textId="044C0734" w:rsidR="00C97C40" w:rsidRPr="00110C71" w:rsidRDefault="00C97C40" w:rsidP="00C97C40">
            <w:pPr>
              <w:pStyle w:val="Tabletext"/>
              <w:ind w:left="330"/>
              <w:rPr>
                <w:rFonts w:eastAsia="SimSun"/>
                <w:b/>
                <w:bCs/>
                <w:sz w:val="20"/>
                <w:szCs w:val="24"/>
                <w:lang w:eastAsia="zh-CN"/>
              </w:rPr>
            </w:pPr>
            <w:r w:rsidRPr="00110C71">
              <w:rPr>
                <w:rFonts w:eastAsia="SimSun"/>
                <w:b/>
                <w:bCs/>
                <w:sz w:val="20"/>
                <w:szCs w:val="24"/>
                <w:lang w:eastAsia="ja-JP"/>
              </w:rPr>
              <w:sym w:font="Wingdings" w:char="F06F"/>
            </w:r>
            <w:r w:rsidRPr="00110C71">
              <w:tab/>
            </w:r>
            <w:r w:rsidRPr="00110C71">
              <w:rPr>
                <w:b/>
                <w:bCs/>
                <w:lang w:eastAsia="zh-CN"/>
              </w:rPr>
              <w:t>MOD</w:t>
            </w:r>
          </w:p>
          <w:p w14:paraId="6A787FA2" w14:textId="377EBCEA" w:rsidR="00C97C40" w:rsidRPr="00110C71" w:rsidRDefault="00C97C40" w:rsidP="00C97C40">
            <w:pPr>
              <w:pStyle w:val="Tabletext"/>
              <w:ind w:left="330"/>
              <w:rPr>
                <w:rFonts w:eastAsia="SimSun"/>
                <w:b/>
                <w:bCs/>
                <w:sz w:val="20"/>
                <w:szCs w:val="24"/>
                <w:lang w:eastAsia="zh-CN"/>
              </w:rPr>
            </w:pPr>
            <w:r w:rsidRPr="00110C71">
              <w:rPr>
                <w:rFonts w:eastAsia="SimSun"/>
                <w:b/>
                <w:bCs/>
                <w:sz w:val="20"/>
                <w:szCs w:val="24"/>
                <w:lang w:eastAsia="ja-JP"/>
              </w:rPr>
              <w:sym w:font="Wingdings" w:char="F06F"/>
            </w:r>
            <w:r w:rsidRPr="00110C71">
              <w:tab/>
            </w:r>
            <w:r w:rsidRPr="00110C71">
              <w:rPr>
                <w:b/>
                <w:bCs/>
                <w:lang w:eastAsia="zh-CN"/>
              </w:rPr>
              <w:t>SUP</w:t>
            </w:r>
          </w:p>
          <w:p w14:paraId="2BC54C16" w14:textId="7E57433E" w:rsidR="00C97C40" w:rsidRPr="00110C71" w:rsidRDefault="00C97C40" w:rsidP="00C97C40">
            <w:pPr>
              <w:pStyle w:val="Tabletext"/>
              <w:ind w:left="330"/>
              <w:rPr>
                <w:rFonts w:eastAsia="SimSun"/>
                <w:b/>
                <w:bCs/>
                <w:sz w:val="20"/>
                <w:szCs w:val="24"/>
                <w:lang w:eastAsia="zh-CN"/>
              </w:rPr>
            </w:pPr>
            <w:r w:rsidRPr="00110C71">
              <w:rPr>
                <w:rFonts w:eastAsia="SimSun"/>
                <w:b/>
                <w:bCs/>
                <w:sz w:val="20"/>
                <w:szCs w:val="24"/>
                <w:lang w:eastAsia="ja-JP"/>
              </w:rPr>
              <w:sym w:font="Wingdings" w:char="F06F"/>
            </w:r>
            <w:r w:rsidRPr="00110C71">
              <w:tab/>
            </w:r>
            <w:r w:rsidRPr="00110C71">
              <w:rPr>
                <w:b/>
                <w:bCs/>
                <w:lang w:eastAsia="zh-CN"/>
              </w:rPr>
              <w:t>ADD</w:t>
            </w:r>
          </w:p>
          <w:p w14:paraId="4B04A07D" w14:textId="5E911ECC" w:rsidR="00C97C40" w:rsidRPr="00110C71" w:rsidRDefault="00C97C40" w:rsidP="00C97C40">
            <w:pPr>
              <w:pStyle w:val="Tabletext"/>
              <w:ind w:left="330"/>
              <w:rPr>
                <w:color w:val="000000"/>
                <w:sz w:val="20"/>
                <w:lang w:eastAsia="zh-CN"/>
              </w:rPr>
            </w:pPr>
            <w:r w:rsidRPr="00110C71">
              <w:rPr>
                <w:rFonts w:eastAsia="SimSun"/>
                <w:b/>
                <w:bCs/>
                <w:sz w:val="20"/>
                <w:szCs w:val="24"/>
                <w:lang w:eastAsia="ja-JP"/>
              </w:rPr>
              <w:sym w:font="Wingdings" w:char="F06F"/>
            </w:r>
            <w:r w:rsidRPr="00110C71">
              <w:tab/>
            </w:r>
            <w:r w:rsidRPr="00110C71">
              <w:rPr>
                <w:b/>
                <w:bCs/>
                <w:lang w:eastAsia="zh-CN"/>
              </w:rPr>
              <w:t>Autre: ____________</w:t>
            </w:r>
          </w:p>
        </w:tc>
      </w:tr>
      <w:tr w:rsidR="00C97C40" w:rsidRPr="00110C71" w14:paraId="60BCE163" w14:textId="77777777" w:rsidTr="00C97C40">
        <w:trPr>
          <w:trHeight w:val="300"/>
        </w:trPr>
        <w:tc>
          <w:tcPr>
            <w:tcW w:w="5807" w:type="dxa"/>
            <w:gridSpan w:val="2"/>
            <w:tcBorders>
              <w:top w:val="single" w:sz="4" w:space="0" w:color="auto"/>
              <w:left w:val="single" w:sz="4" w:space="0" w:color="auto"/>
              <w:bottom w:val="single" w:sz="4" w:space="0" w:color="auto"/>
              <w:right w:val="single" w:sz="4" w:space="0" w:color="000000"/>
            </w:tcBorders>
            <w:noWrap/>
            <w:vAlign w:val="center"/>
            <w:hideMark/>
          </w:tcPr>
          <w:p w14:paraId="562FECC4" w14:textId="01BD5E7E" w:rsidR="00C97C40" w:rsidRPr="00110C71" w:rsidRDefault="00C97C40" w:rsidP="00C97C40">
            <w:pPr>
              <w:pStyle w:val="Tabletext"/>
              <w:rPr>
                <w:color w:val="000000"/>
                <w:sz w:val="20"/>
                <w:lang w:eastAsia="zh-CN"/>
              </w:rPr>
            </w:pPr>
            <w:r w:rsidRPr="00110C71">
              <w:rPr>
                <w:lang w:eastAsia="zh-CN"/>
              </w:rPr>
              <w:t>Référence et origine:</w:t>
            </w:r>
          </w:p>
        </w:tc>
        <w:tc>
          <w:tcPr>
            <w:tcW w:w="3373" w:type="dxa"/>
            <w:gridSpan w:val="2"/>
            <w:vMerge/>
            <w:tcBorders>
              <w:top w:val="single" w:sz="4" w:space="0" w:color="auto"/>
              <w:left w:val="single" w:sz="4" w:space="0" w:color="auto"/>
              <w:bottom w:val="single" w:sz="4" w:space="0" w:color="000000"/>
              <w:right w:val="single" w:sz="4" w:space="0" w:color="000000"/>
            </w:tcBorders>
            <w:vAlign w:val="center"/>
            <w:hideMark/>
          </w:tcPr>
          <w:p w14:paraId="079B0288" w14:textId="77777777" w:rsidR="00C97C40" w:rsidRPr="00110C71" w:rsidRDefault="00C97C40" w:rsidP="00C97C40">
            <w:pPr>
              <w:pStyle w:val="Tabletext"/>
              <w:rPr>
                <w:color w:val="000000"/>
                <w:sz w:val="20"/>
                <w:lang w:eastAsia="zh-CN"/>
              </w:rPr>
            </w:pPr>
          </w:p>
        </w:tc>
      </w:tr>
      <w:tr w:rsidR="00C97C40" w:rsidRPr="00110C71" w14:paraId="6E5C021F" w14:textId="77777777" w:rsidTr="00C97C40">
        <w:trPr>
          <w:trHeight w:val="300"/>
        </w:trPr>
        <w:tc>
          <w:tcPr>
            <w:tcW w:w="422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91F85D4" w14:textId="77777777" w:rsidR="00C97C40" w:rsidRPr="00110C71" w:rsidRDefault="00C97C40" w:rsidP="00C97C40">
            <w:pPr>
              <w:pStyle w:val="Tablehead"/>
              <w:jc w:val="left"/>
              <w:rPr>
                <w:color w:val="000000"/>
                <w:sz w:val="20"/>
                <w:lang w:eastAsia="zh-CN"/>
              </w:rPr>
            </w:pPr>
            <w:r w:rsidRPr="00110C71">
              <w:rPr>
                <w:lang w:eastAsia="zh-CN"/>
              </w:rPr>
              <w:t>Poste budgétaire</w:t>
            </w:r>
          </w:p>
        </w:tc>
        <w:tc>
          <w:tcPr>
            <w:tcW w:w="1580" w:type="dxa"/>
            <w:tcBorders>
              <w:top w:val="nil"/>
              <w:left w:val="nil"/>
              <w:bottom w:val="single" w:sz="4" w:space="0" w:color="auto"/>
              <w:right w:val="single" w:sz="4" w:space="0" w:color="auto"/>
            </w:tcBorders>
            <w:shd w:val="clear" w:color="auto" w:fill="D9D9D9" w:themeFill="background1" w:themeFillShade="D9"/>
            <w:noWrap/>
            <w:vAlign w:val="center"/>
            <w:hideMark/>
          </w:tcPr>
          <w:p w14:paraId="595E0150" w14:textId="77777777" w:rsidR="00C97C40" w:rsidRPr="00110C71" w:rsidRDefault="00C97C40" w:rsidP="00C97C40">
            <w:pPr>
              <w:pStyle w:val="Tablehead"/>
              <w:jc w:val="left"/>
              <w:rPr>
                <w:color w:val="000000"/>
                <w:sz w:val="20"/>
                <w:lang w:eastAsia="zh-CN"/>
              </w:rPr>
            </w:pPr>
            <w:r w:rsidRPr="00110C71">
              <w:rPr>
                <w:lang w:eastAsia="zh-CN"/>
              </w:rPr>
              <w:t>Coût unitaire</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665381A" w14:textId="77777777" w:rsidR="00C97C40" w:rsidRPr="00110C71" w:rsidRDefault="00C97C40" w:rsidP="00C97C40">
            <w:pPr>
              <w:pStyle w:val="Tablehead"/>
              <w:jc w:val="left"/>
              <w:rPr>
                <w:color w:val="000000"/>
                <w:sz w:val="20"/>
                <w:lang w:eastAsia="zh-CN"/>
              </w:rPr>
            </w:pPr>
            <w:commentRangeStart w:id="0"/>
            <w:r w:rsidRPr="00110C71">
              <w:rPr>
                <w:lang w:eastAsia="zh-CN"/>
              </w:rPr>
              <w:t>Quantité</w:t>
            </w:r>
          </w:p>
        </w:tc>
        <w:tc>
          <w:tcPr>
            <w:tcW w:w="2097" w:type="dxa"/>
            <w:tcBorders>
              <w:top w:val="nil"/>
              <w:left w:val="nil"/>
              <w:bottom w:val="single" w:sz="4" w:space="0" w:color="auto"/>
              <w:right w:val="single" w:sz="4" w:space="0" w:color="auto"/>
            </w:tcBorders>
            <w:shd w:val="clear" w:color="auto" w:fill="D9D9D9" w:themeFill="background1" w:themeFillShade="D9"/>
            <w:noWrap/>
            <w:vAlign w:val="center"/>
            <w:hideMark/>
          </w:tcPr>
          <w:p w14:paraId="7425EF58" w14:textId="77777777" w:rsidR="00C97C40" w:rsidRPr="00110C71" w:rsidRDefault="00C97C40" w:rsidP="00C97C40">
            <w:pPr>
              <w:pStyle w:val="Tablehead"/>
              <w:jc w:val="left"/>
              <w:rPr>
                <w:color w:val="000000"/>
                <w:sz w:val="20"/>
                <w:lang w:eastAsia="zh-CN"/>
              </w:rPr>
            </w:pPr>
            <w:r w:rsidRPr="00110C71">
              <w:rPr>
                <w:lang w:eastAsia="zh-CN"/>
              </w:rPr>
              <w:t>Coût total</w:t>
            </w:r>
            <w:commentRangeEnd w:id="0"/>
            <w:r w:rsidRPr="00110C71">
              <w:rPr>
                <w:rStyle w:val="CommentReference"/>
                <w:b w:val="0"/>
              </w:rPr>
              <w:commentReference w:id="0"/>
            </w:r>
          </w:p>
        </w:tc>
      </w:tr>
      <w:tr w:rsidR="00C97C40" w:rsidRPr="00110C71" w14:paraId="031CB3A0" w14:textId="77777777" w:rsidTr="00C97C40">
        <w:trPr>
          <w:trHeight w:val="300"/>
        </w:trPr>
        <w:tc>
          <w:tcPr>
            <w:tcW w:w="4227" w:type="dxa"/>
            <w:tcBorders>
              <w:top w:val="nil"/>
              <w:left w:val="single" w:sz="4" w:space="0" w:color="auto"/>
              <w:bottom w:val="single" w:sz="4" w:space="0" w:color="auto"/>
              <w:right w:val="single" w:sz="4" w:space="0" w:color="auto"/>
            </w:tcBorders>
            <w:noWrap/>
            <w:vAlign w:val="center"/>
            <w:hideMark/>
          </w:tcPr>
          <w:p w14:paraId="5ACA428A" w14:textId="77777777" w:rsidR="00C97C40" w:rsidRPr="00110C71" w:rsidRDefault="00C97C40" w:rsidP="00C97C40">
            <w:pPr>
              <w:pStyle w:val="Tabletext"/>
              <w:rPr>
                <w:color w:val="000000"/>
                <w:sz w:val="20"/>
                <w:lang w:eastAsia="zh-CN"/>
              </w:rPr>
            </w:pPr>
            <w:r w:rsidRPr="00110C71">
              <w:rPr>
                <w:lang w:eastAsia="zh-CN"/>
              </w:rPr>
              <w:t>Poste pour le nouveau texte ajouté (par exemple, traduction/autres coûts administratifs)</w:t>
            </w:r>
          </w:p>
        </w:tc>
        <w:tc>
          <w:tcPr>
            <w:tcW w:w="1580" w:type="dxa"/>
            <w:tcBorders>
              <w:top w:val="nil"/>
              <w:left w:val="nil"/>
              <w:bottom w:val="single" w:sz="4" w:space="0" w:color="auto"/>
              <w:right w:val="single" w:sz="4" w:space="0" w:color="auto"/>
            </w:tcBorders>
            <w:noWrap/>
            <w:vAlign w:val="center"/>
            <w:hideMark/>
          </w:tcPr>
          <w:p w14:paraId="1C679BE6" w14:textId="77777777" w:rsidR="00C97C40" w:rsidRPr="00110C71" w:rsidRDefault="00C97C40" w:rsidP="00C97C40">
            <w:pPr>
              <w:pStyle w:val="Tabletext"/>
              <w:rPr>
                <w:color w:val="000000"/>
                <w:sz w:val="20"/>
                <w:lang w:eastAsia="zh-CN"/>
              </w:rPr>
            </w:pPr>
            <w:commentRangeStart w:id="1"/>
            <w:r w:rsidRPr="00110C71">
              <w:rPr>
                <w:lang w:eastAsia="zh-CN"/>
              </w:rPr>
              <w:t>[XXX]</w:t>
            </w:r>
            <w:commentRangeEnd w:id="1"/>
            <w:r w:rsidRPr="00110C71">
              <w:rPr>
                <w:rStyle w:val="CommentReference"/>
              </w:rPr>
              <w:commentReference w:id="1"/>
            </w:r>
          </w:p>
        </w:tc>
        <w:tc>
          <w:tcPr>
            <w:tcW w:w="1276" w:type="dxa"/>
            <w:tcBorders>
              <w:top w:val="nil"/>
              <w:left w:val="nil"/>
              <w:bottom w:val="single" w:sz="4" w:space="0" w:color="auto"/>
              <w:right w:val="single" w:sz="4" w:space="0" w:color="auto"/>
            </w:tcBorders>
            <w:noWrap/>
            <w:vAlign w:val="center"/>
          </w:tcPr>
          <w:p w14:paraId="4DD49262" w14:textId="5235320C" w:rsidR="00C97C40" w:rsidRPr="00110C71" w:rsidRDefault="00C97C40" w:rsidP="00C97C40">
            <w:pPr>
              <w:pStyle w:val="Tabletext"/>
              <w:rPr>
                <w:color w:val="000000"/>
                <w:sz w:val="20"/>
                <w:lang w:eastAsia="zh-CN"/>
              </w:rPr>
            </w:pPr>
          </w:p>
        </w:tc>
        <w:tc>
          <w:tcPr>
            <w:tcW w:w="2097" w:type="dxa"/>
            <w:tcBorders>
              <w:top w:val="nil"/>
              <w:left w:val="nil"/>
              <w:bottom w:val="single" w:sz="4" w:space="0" w:color="auto"/>
              <w:right w:val="single" w:sz="4" w:space="0" w:color="auto"/>
            </w:tcBorders>
            <w:noWrap/>
            <w:vAlign w:val="center"/>
            <w:hideMark/>
          </w:tcPr>
          <w:p w14:paraId="6F008C8B" w14:textId="77777777" w:rsidR="00C97C40" w:rsidRPr="00110C71" w:rsidRDefault="00C97C40" w:rsidP="00C97C40">
            <w:pPr>
              <w:pStyle w:val="Tabletext"/>
              <w:rPr>
                <w:color w:val="000000"/>
                <w:sz w:val="20"/>
                <w:lang w:eastAsia="zh-CN"/>
              </w:rPr>
            </w:pPr>
            <w:r w:rsidRPr="00110C71">
              <w:rPr>
                <w:lang w:eastAsia="zh-CN"/>
              </w:rPr>
              <w:t>[Multiplier le coût unitaire par la quantité.]</w:t>
            </w:r>
          </w:p>
        </w:tc>
      </w:tr>
      <w:tr w:rsidR="00C97C40" w:rsidRPr="00110C71" w14:paraId="1EE64523" w14:textId="77777777" w:rsidTr="00C97C40">
        <w:trPr>
          <w:trHeight w:val="300"/>
        </w:trPr>
        <w:tc>
          <w:tcPr>
            <w:tcW w:w="4227" w:type="dxa"/>
            <w:tcBorders>
              <w:top w:val="nil"/>
              <w:left w:val="single" w:sz="4" w:space="0" w:color="auto"/>
              <w:bottom w:val="single" w:sz="4" w:space="0" w:color="auto"/>
              <w:right w:val="single" w:sz="4" w:space="0" w:color="auto"/>
            </w:tcBorders>
            <w:noWrap/>
            <w:vAlign w:val="center"/>
            <w:hideMark/>
          </w:tcPr>
          <w:p w14:paraId="7F23AFCD" w14:textId="77777777" w:rsidR="00C97C40" w:rsidRPr="00110C71" w:rsidRDefault="00C97C40" w:rsidP="00C97C40">
            <w:pPr>
              <w:pStyle w:val="Tabletext"/>
              <w:rPr>
                <w:color w:val="000000"/>
                <w:sz w:val="20"/>
                <w:lang w:eastAsia="zh-CN"/>
              </w:rPr>
            </w:pPr>
            <w:r w:rsidRPr="00110C71">
              <w:rPr>
                <w:lang w:eastAsia="zh-CN"/>
              </w:rPr>
              <w:t>Poste pour le nouveau texte supprimé</w:t>
            </w:r>
          </w:p>
        </w:tc>
        <w:tc>
          <w:tcPr>
            <w:tcW w:w="1580" w:type="dxa"/>
            <w:tcBorders>
              <w:top w:val="nil"/>
              <w:left w:val="nil"/>
              <w:bottom w:val="single" w:sz="4" w:space="0" w:color="auto"/>
              <w:right w:val="single" w:sz="4" w:space="0" w:color="auto"/>
            </w:tcBorders>
            <w:noWrap/>
            <w:vAlign w:val="center"/>
            <w:hideMark/>
          </w:tcPr>
          <w:p w14:paraId="171C51E6" w14:textId="77777777" w:rsidR="00C97C40" w:rsidRPr="00110C71" w:rsidRDefault="00C97C40" w:rsidP="00C97C40">
            <w:pPr>
              <w:pStyle w:val="Tabletext"/>
              <w:rPr>
                <w:color w:val="000000"/>
                <w:sz w:val="20"/>
                <w:lang w:eastAsia="zh-CN"/>
              </w:rPr>
            </w:pPr>
            <w:r w:rsidRPr="00110C71">
              <w:rPr>
                <w:lang w:eastAsia="zh-CN"/>
              </w:rPr>
              <w:t>[XXX]</w:t>
            </w:r>
          </w:p>
        </w:tc>
        <w:tc>
          <w:tcPr>
            <w:tcW w:w="1276" w:type="dxa"/>
            <w:tcBorders>
              <w:top w:val="nil"/>
              <w:left w:val="nil"/>
              <w:bottom w:val="single" w:sz="4" w:space="0" w:color="auto"/>
              <w:right w:val="single" w:sz="4" w:space="0" w:color="auto"/>
            </w:tcBorders>
            <w:noWrap/>
            <w:vAlign w:val="center"/>
          </w:tcPr>
          <w:p w14:paraId="347EA9DD" w14:textId="5DCDC63B" w:rsidR="00C97C40" w:rsidRPr="00110C71" w:rsidRDefault="00C97C40" w:rsidP="00C97C40">
            <w:pPr>
              <w:pStyle w:val="Tabletext"/>
              <w:rPr>
                <w:color w:val="000000"/>
                <w:sz w:val="20"/>
                <w:lang w:eastAsia="zh-CN"/>
              </w:rPr>
            </w:pPr>
          </w:p>
        </w:tc>
        <w:tc>
          <w:tcPr>
            <w:tcW w:w="2097" w:type="dxa"/>
            <w:tcBorders>
              <w:top w:val="nil"/>
              <w:left w:val="nil"/>
              <w:bottom w:val="single" w:sz="4" w:space="0" w:color="auto"/>
              <w:right w:val="single" w:sz="4" w:space="0" w:color="auto"/>
            </w:tcBorders>
            <w:noWrap/>
            <w:vAlign w:val="center"/>
          </w:tcPr>
          <w:p w14:paraId="7A475DCC" w14:textId="3D3D79A1" w:rsidR="00C97C40" w:rsidRPr="00110C71" w:rsidRDefault="00C97C40" w:rsidP="00C97C40">
            <w:pPr>
              <w:pStyle w:val="Tabletext"/>
              <w:rPr>
                <w:color w:val="000000"/>
                <w:sz w:val="20"/>
                <w:lang w:eastAsia="zh-CN"/>
              </w:rPr>
            </w:pPr>
          </w:p>
        </w:tc>
      </w:tr>
      <w:tr w:rsidR="00C97C40" w:rsidRPr="00110C71" w14:paraId="57E3316D" w14:textId="77777777" w:rsidTr="00C97C40">
        <w:trPr>
          <w:trHeight w:val="300"/>
        </w:trPr>
        <w:tc>
          <w:tcPr>
            <w:tcW w:w="4227" w:type="dxa"/>
            <w:tcBorders>
              <w:top w:val="nil"/>
              <w:left w:val="single" w:sz="4" w:space="0" w:color="auto"/>
              <w:bottom w:val="single" w:sz="4" w:space="0" w:color="auto"/>
              <w:right w:val="single" w:sz="4" w:space="0" w:color="auto"/>
            </w:tcBorders>
            <w:noWrap/>
            <w:vAlign w:val="center"/>
            <w:hideMark/>
          </w:tcPr>
          <w:p w14:paraId="02F70418" w14:textId="77777777" w:rsidR="00C97C40" w:rsidRPr="00110C71" w:rsidRDefault="00C97C40" w:rsidP="00C97C40">
            <w:pPr>
              <w:pStyle w:val="Tabletext"/>
              <w:rPr>
                <w:color w:val="000000"/>
                <w:sz w:val="20"/>
                <w:lang w:eastAsia="zh-CN"/>
              </w:rPr>
            </w:pPr>
            <w:r w:rsidRPr="00110C71">
              <w:rPr>
                <w:lang w:eastAsia="zh-CN"/>
              </w:rPr>
              <w:t>Proposition d'atelier/de manifestation</w:t>
            </w:r>
          </w:p>
        </w:tc>
        <w:tc>
          <w:tcPr>
            <w:tcW w:w="1580" w:type="dxa"/>
            <w:tcBorders>
              <w:top w:val="nil"/>
              <w:left w:val="nil"/>
              <w:bottom w:val="single" w:sz="4" w:space="0" w:color="auto"/>
              <w:right w:val="single" w:sz="4" w:space="0" w:color="auto"/>
            </w:tcBorders>
            <w:noWrap/>
            <w:vAlign w:val="center"/>
            <w:hideMark/>
          </w:tcPr>
          <w:p w14:paraId="5964BEEB" w14:textId="77777777" w:rsidR="00C97C40" w:rsidRPr="00110C71" w:rsidRDefault="00C97C40" w:rsidP="00C97C40">
            <w:pPr>
              <w:pStyle w:val="Tabletext"/>
              <w:rPr>
                <w:color w:val="000000"/>
                <w:sz w:val="20"/>
                <w:lang w:eastAsia="zh-CN"/>
              </w:rPr>
            </w:pPr>
            <w:r w:rsidRPr="00110C71">
              <w:rPr>
                <w:lang w:eastAsia="zh-CN"/>
              </w:rPr>
              <w:t>[XXX]</w:t>
            </w:r>
          </w:p>
        </w:tc>
        <w:tc>
          <w:tcPr>
            <w:tcW w:w="1276" w:type="dxa"/>
            <w:tcBorders>
              <w:top w:val="nil"/>
              <w:left w:val="nil"/>
              <w:bottom w:val="single" w:sz="4" w:space="0" w:color="auto"/>
              <w:right w:val="single" w:sz="4" w:space="0" w:color="auto"/>
            </w:tcBorders>
            <w:noWrap/>
            <w:vAlign w:val="center"/>
          </w:tcPr>
          <w:p w14:paraId="08FD320A" w14:textId="3A3AB766" w:rsidR="00C97C40" w:rsidRPr="00110C71" w:rsidRDefault="00C97C40" w:rsidP="00C97C40">
            <w:pPr>
              <w:pStyle w:val="Tabletext"/>
              <w:rPr>
                <w:color w:val="000000"/>
                <w:sz w:val="20"/>
                <w:lang w:eastAsia="zh-CN"/>
              </w:rPr>
            </w:pPr>
          </w:p>
        </w:tc>
        <w:tc>
          <w:tcPr>
            <w:tcW w:w="2097" w:type="dxa"/>
            <w:tcBorders>
              <w:top w:val="nil"/>
              <w:left w:val="nil"/>
              <w:bottom w:val="single" w:sz="4" w:space="0" w:color="auto"/>
              <w:right w:val="single" w:sz="4" w:space="0" w:color="auto"/>
            </w:tcBorders>
            <w:noWrap/>
            <w:vAlign w:val="center"/>
          </w:tcPr>
          <w:p w14:paraId="74756CFE" w14:textId="7A6FE954" w:rsidR="00C97C40" w:rsidRPr="00110C71" w:rsidRDefault="00C97C40" w:rsidP="00C97C40">
            <w:pPr>
              <w:pStyle w:val="Tabletext"/>
              <w:rPr>
                <w:color w:val="000000"/>
                <w:sz w:val="20"/>
                <w:lang w:eastAsia="zh-CN"/>
              </w:rPr>
            </w:pPr>
          </w:p>
        </w:tc>
      </w:tr>
      <w:tr w:rsidR="00C97C40" w:rsidRPr="00110C71" w14:paraId="10ECAF77" w14:textId="77777777" w:rsidTr="00C97C40">
        <w:trPr>
          <w:trHeight w:val="300"/>
        </w:trPr>
        <w:tc>
          <w:tcPr>
            <w:tcW w:w="4227" w:type="dxa"/>
            <w:tcBorders>
              <w:top w:val="nil"/>
              <w:left w:val="single" w:sz="4" w:space="0" w:color="auto"/>
              <w:bottom w:val="single" w:sz="4" w:space="0" w:color="auto"/>
              <w:right w:val="single" w:sz="4" w:space="0" w:color="auto"/>
            </w:tcBorders>
            <w:noWrap/>
            <w:vAlign w:val="center"/>
            <w:hideMark/>
          </w:tcPr>
          <w:p w14:paraId="41EC04D4" w14:textId="77777777" w:rsidR="00C97C40" w:rsidRPr="00110C71" w:rsidRDefault="00C97C40" w:rsidP="00C97C40">
            <w:pPr>
              <w:pStyle w:val="Tabletext"/>
              <w:rPr>
                <w:color w:val="000000"/>
                <w:sz w:val="20"/>
                <w:lang w:eastAsia="zh-CN"/>
              </w:rPr>
            </w:pPr>
            <w:commentRangeStart w:id="2"/>
            <w:r w:rsidRPr="00110C71">
              <w:rPr>
                <w:lang w:eastAsia="zh-CN"/>
              </w:rPr>
              <w:t>[Postes budgétaires supplémentaires fondés sur d'autres éléments communs des propositions ayant des incidences financières.]</w:t>
            </w:r>
            <w:commentRangeEnd w:id="2"/>
            <w:r w:rsidRPr="00110C71">
              <w:rPr>
                <w:rStyle w:val="CommentReference"/>
              </w:rPr>
              <w:commentReference w:id="2"/>
            </w:r>
          </w:p>
        </w:tc>
        <w:tc>
          <w:tcPr>
            <w:tcW w:w="1580" w:type="dxa"/>
            <w:tcBorders>
              <w:top w:val="nil"/>
              <w:left w:val="nil"/>
              <w:bottom w:val="single" w:sz="4" w:space="0" w:color="auto"/>
              <w:right w:val="single" w:sz="4" w:space="0" w:color="auto"/>
            </w:tcBorders>
            <w:noWrap/>
            <w:vAlign w:val="center"/>
            <w:hideMark/>
          </w:tcPr>
          <w:p w14:paraId="168217E1" w14:textId="77777777" w:rsidR="00C97C40" w:rsidRPr="00110C71" w:rsidRDefault="00C97C40" w:rsidP="00C97C40">
            <w:pPr>
              <w:pStyle w:val="Tabletext"/>
              <w:rPr>
                <w:color w:val="000000"/>
                <w:sz w:val="20"/>
                <w:lang w:eastAsia="zh-CN"/>
              </w:rPr>
            </w:pPr>
            <w:r w:rsidRPr="00110C71">
              <w:rPr>
                <w:lang w:eastAsia="zh-CN"/>
              </w:rPr>
              <w:t>[XXX]</w:t>
            </w:r>
          </w:p>
        </w:tc>
        <w:tc>
          <w:tcPr>
            <w:tcW w:w="1276" w:type="dxa"/>
            <w:tcBorders>
              <w:top w:val="nil"/>
              <w:left w:val="nil"/>
              <w:bottom w:val="single" w:sz="4" w:space="0" w:color="auto"/>
              <w:right w:val="single" w:sz="4" w:space="0" w:color="auto"/>
            </w:tcBorders>
            <w:noWrap/>
            <w:vAlign w:val="center"/>
          </w:tcPr>
          <w:p w14:paraId="17DAC492" w14:textId="799AA875" w:rsidR="00C97C40" w:rsidRPr="00110C71" w:rsidRDefault="00C97C40" w:rsidP="00C97C40">
            <w:pPr>
              <w:pStyle w:val="Tabletext"/>
              <w:rPr>
                <w:color w:val="000000"/>
                <w:sz w:val="20"/>
                <w:lang w:eastAsia="zh-CN"/>
              </w:rPr>
            </w:pPr>
          </w:p>
        </w:tc>
        <w:tc>
          <w:tcPr>
            <w:tcW w:w="2097" w:type="dxa"/>
            <w:tcBorders>
              <w:top w:val="nil"/>
              <w:left w:val="nil"/>
              <w:bottom w:val="single" w:sz="4" w:space="0" w:color="auto"/>
              <w:right w:val="single" w:sz="4" w:space="0" w:color="auto"/>
            </w:tcBorders>
            <w:noWrap/>
            <w:vAlign w:val="center"/>
          </w:tcPr>
          <w:p w14:paraId="3EB3C07F" w14:textId="32574589" w:rsidR="00C97C40" w:rsidRPr="00110C71" w:rsidRDefault="00C97C40" w:rsidP="00C97C40">
            <w:pPr>
              <w:pStyle w:val="Tabletext"/>
              <w:rPr>
                <w:color w:val="000000"/>
                <w:sz w:val="20"/>
                <w:lang w:eastAsia="zh-CN"/>
              </w:rPr>
            </w:pPr>
          </w:p>
        </w:tc>
      </w:tr>
      <w:tr w:rsidR="00C97C40" w:rsidRPr="00110C71" w14:paraId="49348C9C" w14:textId="77777777" w:rsidTr="00C97C40">
        <w:trPr>
          <w:trHeight w:val="300"/>
        </w:trPr>
        <w:tc>
          <w:tcPr>
            <w:tcW w:w="4227" w:type="dxa"/>
            <w:tcBorders>
              <w:top w:val="nil"/>
              <w:left w:val="single" w:sz="4" w:space="0" w:color="auto"/>
              <w:bottom w:val="single" w:sz="4" w:space="0" w:color="auto"/>
              <w:right w:val="single" w:sz="4" w:space="0" w:color="auto"/>
            </w:tcBorders>
            <w:noWrap/>
            <w:vAlign w:val="center"/>
          </w:tcPr>
          <w:p w14:paraId="63142E36" w14:textId="77777777" w:rsidR="00C97C40" w:rsidRPr="00110C71" w:rsidRDefault="00C97C40" w:rsidP="00C97C40">
            <w:pPr>
              <w:pStyle w:val="Tabletext"/>
              <w:rPr>
                <w:color w:val="000000"/>
                <w:sz w:val="20"/>
                <w:lang w:eastAsia="zh-CN"/>
              </w:rPr>
            </w:pPr>
          </w:p>
        </w:tc>
        <w:tc>
          <w:tcPr>
            <w:tcW w:w="1580" w:type="dxa"/>
            <w:tcBorders>
              <w:top w:val="nil"/>
              <w:left w:val="nil"/>
              <w:bottom w:val="single" w:sz="4" w:space="0" w:color="auto"/>
              <w:right w:val="single" w:sz="4" w:space="0" w:color="auto"/>
            </w:tcBorders>
            <w:noWrap/>
            <w:vAlign w:val="center"/>
          </w:tcPr>
          <w:p w14:paraId="183DC07C" w14:textId="77777777" w:rsidR="00C97C40" w:rsidRPr="00110C71" w:rsidRDefault="00C97C40" w:rsidP="00C97C40">
            <w:pPr>
              <w:pStyle w:val="Tabletext"/>
              <w:rPr>
                <w:color w:val="000000"/>
                <w:sz w:val="20"/>
                <w:lang w:eastAsia="zh-CN"/>
              </w:rPr>
            </w:pPr>
          </w:p>
        </w:tc>
        <w:tc>
          <w:tcPr>
            <w:tcW w:w="1276" w:type="dxa"/>
            <w:tcBorders>
              <w:top w:val="nil"/>
              <w:left w:val="nil"/>
              <w:bottom w:val="single" w:sz="4" w:space="0" w:color="auto"/>
              <w:right w:val="single" w:sz="4" w:space="0" w:color="auto"/>
            </w:tcBorders>
            <w:noWrap/>
            <w:vAlign w:val="center"/>
          </w:tcPr>
          <w:p w14:paraId="140E19FC" w14:textId="77777777" w:rsidR="00C97C40" w:rsidRPr="00110C71" w:rsidRDefault="00C97C40" w:rsidP="00C97C40">
            <w:pPr>
              <w:pStyle w:val="Tabletext"/>
              <w:rPr>
                <w:color w:val="000000"/>
                <w:sz w:val="20"/>
                <w:lang w:eastAsia="zh-CN"/>
              </w:rPr>
            </w:pPr>
          </w:p>
        </w:tc>
        <w:tc>
          <w:tcPr>
            <w:tcW w:w="2097" w:type="dxa"/>
            <w:tcBorders>
              <w:top w:val="nil"/>
              <w:left w:val="nil"/>
              <w:bottom w:val="single" w:sz="4" w:space="0" w:color="auto"/>
              <w:right w:val="single" w:sz="4" w:space="0" w:color="auto"/>
            </w:tcBorders>
            <w:noWrap/>
            <w:vAlign w:val="center"/>
          </w:tcPr>
          <w:p w14:paraId="7C079037" w14:textId="77777777" w:rsidR="00C97C40" w:rsidRPr="00110C71" w:rsidRDefault="00C97C40" w:rsidP="00C97C40">
            <w:pPr>
              <w:pStyle w:val="Tabletext"/>
              <w:rPr>
                <w:color w:val="000000"/>
                <w:sz w:val="20"/>
                <w:lang w:eastAsia="zh-CN"/>
              </w:rPr>
            </w:pPr>
          </w:p>
        </w:tc>
      </w:tr>
      <w:tr w:rsidR="00C97C40" w:rsidRPr="00110C71" w14:paraId="6D50A465" w14:textId="77777777" w:rsidTr="00C97C40">
        <w:trPr>
          <w:trHeight w:val="300"/>
        </w:trPr>
        <w:tc>
          <w:tcPr>
            <w:tcW w:w="4227" w:type="dxa"/>
            <w:tcBorders>
              <w:top w:val="nil"/>
              <w:left w:val="single" w:sz="4" w:space="0" w:color="auto"/>
              <w:bottom w:val="single" w:sz="4" w:space="0" w:color="auto"/>
              <w:right w:val="single" w:sz="4" w:space="0" w:color="auto"/>
            </w:tcBorders>
            <w:noWrap/>
            <w:vAlign w:val="center"/>
            <w:hideMark/>
          </w:tcPr>
          <w:p w14:paraId="0003159E" w14:textId="3535F400" w:rsidR="00C97C40" w:rsidRPr="00110C71" w:rsidRDefault="00C97C40" w:rsidP="00C97C40">
            <w:pPr>
              <w:pStyle w:val="Tabletext"/>
              <w:rPr>
                <w:color w:val="000000"/>
                <w:sz w:val="20"/>
                <w:lang w:eastAsia="zh-CN"/>
              </w:rPr>
            </w:pPr>
          </w:p>
        </w:tc>
        <w:tc>
          <w:tcPr>
            <w:tcW w:w="1580" w:type="dxa"/>
            <w:tcBorders>
              <w:top w:val="nil"/>
              <w:left w:val="nil"/>
              <w:bottom w:val="single" w:sz="4" w:space="0" w:color="auto"/>
              <w:right w:val="single" w:sz="4" w:space="0" w:color="auto"/>
            </w:tcBorders>
            <w:noWrap/>
            <w:vAlign w:val="center"/>
          </w:tcPr>
          <w:p w14:paraId="1160F2D1" w14:textId="07689552" w:rsidR="00C97C40" w:rsidRPr="00110C71" w:rsidRDefault="00C97C40" w:rsidP="00C97C40">
            <w:pPr>
              <w:pStyle w:val="Tabletext"/>
              <w:rPr>
                <w:color w:val="000000"/>
                <w:sz w:val="20"/>
                <w:lang w:eastAsia="zh-CN"/>
              </w:rPr>
            </w:pPr>
          </w:p>
        </w:tc>
        <w:tc>
          <w:tcPr>
            <w:tcW w:w="1276" w:type="dxa"/>
            <w:tcBorders>
              <w:top w:val="nil"/>
              <w:left w:val="nil"/>
              <w:bottom w:val="single" w:sz="4" w:space="0" w:color="auto"/>
              <w:right w:val="single" w:sz="4" w:space="0" w:color="auto"/>
            </w:tcBorders>
            <w:noWrap/>
            <w:vAlign w:val="center"/>
          </w:tcPr>
          <w:p w14:paraId="4F4FFA0B" w14:textId="74F8C9F4" w:rsidR="00C97C40" w:rsidRPr="00110C71" w:rsidRDefault="00C97C40" w:rsidP="00C97C40">
            <w:pPr>
              <w:pStyle w:val="Tabletext"/>
              <w:rPr>
                <w:color w:val="000000"/>
                <w:sz w:val="20"/>
                <w:lang w:eastAsia="zh-CN"/>
              </w:rPr>
            </w:pPr>
          </w:p>
        </w:tc>
        <w:tc>
          <w:tcPr>
            <w:tcW w:w="2097" w:type="dxa"/>
            <w:tcBorders>
              <w:top w:val="nil"/>
              <w:left w:val="nil"/>
              <w:bottom w:val="single" w:sz="4" w:space="0" w:color="auto"/>
              <w:right w:val="single" w:sz="4" w:space="0" w:color="auto"/>
            </w:tcBorders>
            <w:noWrap/>
            <w:vAlign w:val="center"/>
          </w:tcPr>
          <w:p w14:paraId="4A384F8D" w14:textId="58DEC357" w:rsidR="00C97C40" w:rsidRPr="00110C71" w:rsidRDefault="00C97C40" w:rsidP="00C97C40">
            <w:pPr>
              <w:pStyle w:val="Tabletext"/>
              <w:rPr>
                <w:color w:val="000000"/>
                <w:sz w:val="20"/>
                <w:lang w:eastAsia="zh-CN"/>
              </w:rPr>
            </w:pPr>
          </w:p>
        </w:tc>
      </w:tr>
      <w:tr w:rsidR="00C97C40" w:rsidRPr="00110C71" w14:paraId="0E7B97A1" w14:textId="77777777" w:rsidTr="00C97C40">
        <w:trPr>
          <w:trHeight w:val="300"/>
        </w:trPr>
        <w:tc>
          <w:tcPr>
            <w:tcW w:w="7083"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9BF9E2B" w14:textId="77777777" w:rsidR="00C97C40" w:rsidRPr="00110C71" w:rsidRDefault="00C97C40" w:rsidP="00C97C40">
            <w:pPr>
              <w:pStyle w:val="Tablehead"/>
              <w:jc w:val="left"/>
              <w:rPr>
                <w:lang w:eastAsia="zh-CN"/>
              </w:rPr>
            </w:pPr>
            <w:r w:rsidRPr="00110C71">
              <w:rPr>
                <w:lang w:eastAsia="zh-CN"/>
              </w:rPr>
              <w:t>Montant total estimé:</w:t>
            </w:r>
          </w:p>
        </w:tc>
        <w:tc>
          <w:tcPr>
            <w:tcW w:w="2097" w:type="dxa"/>
            <w:tcBorders>
              <w:top w:val="nil"/>
              <w:left w:val="nil"/>
              <w:bottom w:val="single" w:sz="4" w:space="0" w:color="auto"/>
              <w:right w:val="single" w:sz="4" w:space="0" w:color="auto"/>
            </w:tcBorders>
            <w:noWrap/>
            <w:vAlign w:val="center"/>
            <w:hideMark/>
          </w:tcPr>
          <w:p w14:paraId="5723AB9D" w14:textId="77777777" w:rsidR="00C97C40" w:rsidRPr="00110C71" w:rsidRDefault="00C97C40" w:rsidP="00C97C40">
            <w:pPr>
              <w:pStyle w:val="Tabletext"/>
              <w:rPr>
                <w:lang w:eastAsia="zh-CN"/>
              </w:rPr>
            </w:pPr>
            <w:r w:rsidRPr="00110C71">
              <w:rPr>
                <w:lang w:eastAsia="zh-CN"/>
              </w:rPr>
              <w:t>[Cumul de toutes les lignes de cette colonne.]</w:t>
            </w:r>
          </w:p>
        </w:tc>
      </w:tr>
    </w:tbl>
    <w:p w14:paraId="05309BCC" w14:textId="4BF3C5BC" w:rsidR="00897553" w:rsidRPr="00110C71" w:rsidRDefault="006A11AE" w:rsidP="006A11AE">
      <w:pPr>
        <w:jc w:val="center"/>
      </w:pPr>
      <w:r w:rsidRPr="00110C71">
        <w:t>______________</w:t>
      </w:r>
    </w:p>
    <w:sectPr w:rsidR="00897553" w:rsidRPr="00110C71" w:rsidSect="00D72F4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ench" w:date="2024-05-27T16:21:00Z" w:initials="F.">
    <w:p w14:paraId="5BBB29C0" w14:textId="7095EC37" w:rsidR="00C97C40" w:rsidRDefault="00C97C40">
      <w:pPr>
        <w:pStyle w:val="CommentText"/>
      </w:pPr>
      <w:r>
        <w:rPr>
          <w:rStyle w:val="CommentReference"/>
        </w:rPr>
        <w:annotationRef/>
      </w:r>
      <w:r w:rsidRPr="00C97C40">
        <w:rPr>
          <w:lang w:val="fr-FR"/>
        </w:rPr>
        <w:t>L'auteur de la contribution serait uniquement chargé de remplir les colonnes relatives à la quantité et au coût total, et de calculer le montant total estimé. Nous pensons que cela n</w:t>
      </w:r>
      <w:r>
        <w:rPr>
          <w:lang w:val="fr-FR"/>
        </w:rPr>
        <w:t>'</w:t>
      </w:r>
      <w:r w:rsidRPr="00C97C40">
        <w:rPr>
          <w:lang w:val="fr-FR"/>
        </w:rPr>
        <w:t>exigerait que très peu de travail de la part de l'auteur de la contribution et ne constituerait donc pas une charge ou un obstacle important pour les Membres qui soumettent des propositions.</w:t>
      </w:r>
    </w:p>
  </w:comment>
  <w:comment w:id="1" w:author="French" w:date="2024-05-27T16:22:00Z" w:initials="F.">
    <w:p w14:paraId="399E6280" w14:textId="7D90F894" w:rsidR="00C97C40" w:rsidRDefault="00C97C40">
      <w:pPr>
        <w:pStyle w:val="CommentText"/>
      </w:pPr>
      <w:r>
        <w:rPr>
          <w:rStyle w:val="CommentReference"/>
        </w:rPr>
        <w:annotationRef/>
      </w:r>
      <w:r w:rsidRPr="00C97C40">
        <w:rPr>
          <w:lang w:val="fr-FR"/>
        </w:rPr>
        <w:t>Nous proposons que le secrétariat détermine le coût unitaire associé à chaque poste et remplace le texte du gabarit en conséquence.</w:t>
      </w:r>
    </w:p>
  </w:comment>
  <w:comment w:id="2" w:author="French" w:date="2024-05-27T16:22:00Z" w:initials="F.">
    <w:p w14:paraId="5AED3655" w14:textId="77777777" w:rsidR="00C97C40" w:rsidRPr="00C97C40" w:rsidRDefault="00C97C40" w:rsidP="00C97C40">
      <w:pPr>
        <w:pStyle w:val="CommentText"/>
        <w:rPr>
          <w:lang w:val="fr-FR"/>
        </w:rPr>
      </w:pPr>
      <w:r>
        <w:rPr>
          <w:rStyle w:val="CommentReference"/>
        </w:rPr>
        <w:annotationRef/>
      </w:r>
      <w:r w:rsidRPr="00C97C40">
        <w:rPr>
          <w:lang w:val="fr-FR"/>
        </w:rPr>
        <w:t>Nous proposons que le secrétariat aide à identifier des postes budgétaires supplémentaires pour compléter le texte du gabarit.</w:t>
      </w:r>
    </w:p>
    <w:p w14:paraId="594A3385" w14:textId="77777777" w:rsidR="00C97C40" w:rsidRPr="00C97C40" w:rsidRDefault="00C97C40" w:rsidP="00C97C40">
      <w:pPr>
        <w:pStyle w:val="CommentText"/>
        <w:rPr>
          <w:lang w:val="fr-FR"/>
        </w:rPr>
      </w:pPr>
    </w:p>
    <w:p w14:paraId="5B08A893" w14:textId="0EA74A97" w:rsidR="00C97C40" w:rsidRDefault="00C97C40" w:rsidP="00C97C40">
      <w:pPr>
        <w:pStyle w:val="CommentText"/>
      </w:pPr>
      <w:r w:rsidRPr="00C97C40">
        <w:rPr>
          <w:lang w:val="fr-FR"/>
        </w:rPr>
        <w:t>Outre ce gabarit normalisé, nous reconnaissons qu</w:t>
      </w:r>
      <w:r>
        <w:rPr>
          <w:lang w:val="fr-FR"/>
        </w:rPr>
        <w:t>'</w:t>
      </w:r>
      <w:r w:rsidRPr="00C97C40">
        <w:rPr>
          <w:lang w:val="fr-FR"/>
        </w:rPr>
        <w:t>il peut exister des types particuliers de postes dont les coûts doivent être déterminés sur mesure, ce qui peut nécessiter une collaboration entre l'auteur de la contribution et le secrétariat avant la soumission et/ou entre la soumission et l</w:t>
      </w:r>
      <w:r>
        <w:rPr>
          <w:lang w:val="fr-FR"/>
        </w:rPr>
        <w:t>'</w:t>
      </w:r>
      <w:r w:rsidRPr="00C97C40">
        <w:rPr>
          <w:lang w:val="fr-FR"/>
        </w:rPr>
        <w:t>examen par la conférence. Nous serions favorables à un débat plus approfondi concernant les mécanismes possibles pour traiter cette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B29C0" w15:done="0"/>
  <w15:commentEx w15:paraId="399E6280" w15:done="0"/>
  <w15:commentEx w15:paraId="5B08A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F3191" w16cex:dateUtc="2024-05-27T14:21:00Z"/>
  <w16cex:commentExtensible w16cex:durableId="29FF31AA" w16cex:dateUtc="2024-05-27T14:22:00Z"/>
  <w16cex:commentExtensible w16cex:durableId="29FF31B5" w16cex:dateUtc="2024-05-27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B29C0" w16cid:durableId="29FF3191"/>
  <w16cid:commentId w16cid:paraId="399E6280" w16cid:durableId="29FF31AA"/>
  <w16cid:commentId w16cid:paraId="5B08A893" w16cid:durableId="29FF31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0E395BD1" w:rsidR="00732045" w:rsidRDefault="004D6349">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894B94">
      <w:t>31.01.24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7B8502F8" w:rsidR="00A51849" w:rsidRDefault="00A51849" w:rsidP="00A51849">
          <w:pPr>
            <w:pStyle w:val="Header"/>
            <w:jc w:val="left"/>
            <w:rPr>
              <w:noProof/>
            </w:rPr>
          </w:pPr>
        </w:p>
      </w:tc>
      <w:tc>
        <w:tcPr>
          <w:tcW w:w="8261" w:type="dxa"/>
        </w:tcPr>
        <w:p w14:paraId="0DB0A3C6" w14:textId="4B69B1D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12487">
            <w:rPr>
              <w:bCs/>
            </w:rPr>
            <w:t>92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8ACE2C8"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4D6349"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2E7E23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12487">
            <w:rPr>
              <w:bCs/>
            </w:rPr>
            <w:t>92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F75004B"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0C71"/>
    <w:rsid w:val="001133EF"/>
    <w:rsid w:val="00115D93"/>
    <w:rsid w:val="001247A8"/>
    <w:rsid w:val="001378C0"/>
    <w:rsid w:val="0018694A"/>
    <w:rsid w:val="001A3287"/>
    <w:rsid w:val="001A6508"/>
    <w:rsid w:val="001D4C31"/>
    <w:rsid w:val="001E4D21"/>
    <w:rsid w:val="00207CD1"/>
    <w:rsid w:val="00226657"/>
    <w:rsid w:val="002477A2"/>
    <w:rsid w:val="00256DA1"/>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D6349"/>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1248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4B94"/>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97C40"/>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612487"/>
    <w:rPr>
      <w:color w:val="605E5C"/>
      <w:shd w:val="clear" w:color="auto" w:fill="E1DFDD"/>
    </w:rPr>
  </w:style>
  <w:style w:type="paragraph" w:styleId="CommentText">
    <w:name w:val="annotation text"/>
    <w:basedOn w:val="Normal"/>
    <w:link w:val="CommentTextChar"/>
    <w:semiHidden/>
    <w:unhideWhenUsed/>
    <w:rsid w:val="00C97C40"/>
    <w:pPr>
      <w:textAlignment w:val="auto"/>
    </w:pPr>
    <w:rPr>
      <w:sz w:val="20"/>
      <w:lang w:val="en-GB"/>
    </w:rPr>
  </w:style>
  <w:style w:type="character" w:customStyle="1" w:styleId="CommentTextChar">
    <w:name w:val="Comment Text Char"/>
    <w:basedOn w:val="DefaultParagraphFont"/>
    <w:link w:val="CommentText"/>
    <w:semiHidden/>
    <w:rsid w:val="00C97C40"/>
    <w:rPr>
      <w:rFonts w:ascii="Calibri" w:hAnsi="Calibri"/>
      <w:lang w:val="en-GB" w:eastAsia="en-US"/>
    </w:rPr>
  </w:style>
  <w:style w:type="character" w:styleId="CommentReference">
    <w:name w:val="annotation reference"/>
    <w:basedOn w:val="DefaultParagraphFont"/>
    <w:semiHidden/>
    <w:unhideWhenUsed/>
    <w:rsid w:val="00C97C40"/>
    <w:rPr>
      <w:sz w:val="16"/>
      <w:szCs w:val="16"/>
    </w:rPr>
  </w:style>
  <w:style w:type="paragraph" w:styleId="CommentSubject">
    <w:name w:val="annotation subject"/>
    <w:basedOn w:val="CommentText"/>
    <w:next w:val="CommentText"/>
    <w:link w:val="CommentSubjectChar"/>
    <w:semiHidden/>
    <w:unhideWhenUsed/>
    <w:rsid w:val="00C97C40"/>
    <w:pPr>
      <w:textAlignment w:val="baseline"/>
    </w:pPr>
    <w:rPr>
      <w:b/>
      <w:bCs/>
      <w:lang w:val="fr-FR"/>
    </w:rPr>
  </w:style>
  <w:style w:type="character" w:customStyle="1" w:styleId="CommentSubjectChar">
    <w:name w:val="Comment Subject Char"/>
    <w:basedOn w:val="CommentTextChar"/>
    <w:link w:val="CommentSubject"/>
    <w:semiHidden/>
    <w:rsid w:val="00C97C40"/>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DEC-005-F.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Convention-F.pdf"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796</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5630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6</cp:revision>
  <cp:lastPrinted>2000-07-18T08:55:00Z</cp:lastPrinted>
  <dcterms:created xsi:type="dcterms:W3CDTF">2024-05-27T14:05:00Z</dcterms:created>
  <dcterms:modified xsi:type="dcterms:W3CDTF">2024-05-27T14:29:00Z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