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03C63B85" w:rsidR="00796BD3" w:rsidRPr="00E85629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55137D">
              <w:rPr>
                <w:b/>
              </w:rPr>
              <w:t xml:space="preserve"> PL </w:t>
            </w:r>
            <w:r w:rsidR="00C11FE3">
              <w:rPr>
                <w:b/>
              </w:rPr>
              <w:t>2</w:t>
            </w:r>
          </w:p>
        </w:tc>
        <w:tc>
          <w:tcPr>
            <w:tcW w:w="5245" w:type="dxa"/>
          </w:tcPr>
          <w:p w14:paraId="6297DF48" w14:textId="10165BA0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660449">
              <w:rPr>
                <w:b/>
              </w:rPr>
              <w:t>4</w:t>
            </w:r>
            <w:r w:rsidR="00796BD3">
              <w:rPr>
                <w:b/>
              </w:rPr>
              <w:t>/</w:t>
            </w:r>
            <w:r w:rsidR="00FC5423">
              <w:rPr>
                <w:b/>
              </w:rPr>
              <w:t>88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39CDBCEF" w:rsidR="00796BD3" w:rsidRPr="00E85629" w:rsidRDefault="00FC5423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="0055137D">
              <w:rPr>
                <w:b/>
              </w:rPr>
              <w:t xml:space="preserve"> </w:t>
            </w:r>
            <w:r w:rsidR="0055137D">
              <w:rPr>
                <w:b/>
                <w:lang w:val="ru-RU"/>
              </w:rPr>
              <w:t>мая</w:t>
            </w:r>
            <w:r w:rsidR="00796BD3">
              <w:rPr>
                <w:b/>
              </w:rPr>
              <w:t xml:space="preserve"> 202</w:t>
            </w:r>
            <w:r w:rsidR="00660449">
              <w:rPr>
                <w:b/>
              </w:rPr>
              <w:t>4</w:t>
            </w:r>
          </w:p>
        </w:tc>
      </w:tr>
      <w:tr w:rsidR="00796BD3" w:rsidRPr="00813E5E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710CE0" w14:textId="77777777" w:rsidR="00796BD3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2C7BAB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6268A024" w:rsidR="00796BD3" w:rsidRPr="00FC5423" w:rsidRDefault="00FC5423" w:rsidP="00C20C6B">
            <w:pPr>
              <w:pStyle w:val="Source"/>
              <w:rPr>
                <w:lang w:val="ru-RU"/>
              </w:rPr>
            </w:pPr>
            <w:bookmarkStart w:id="5" w:name="dsource" w:colFirst="0" w:colLast="0"/>
            <w:bookmarkEnd w:id="4"/>
            <w:r w:rsidRPr="00FC5423">
              <w:rPr>
                <w:lang w:val="ru-RU"/>
              </w:rPr>
              <w:t xml:space="preserve">Вклад Франции, Испании, Эстонской Республики, Португалии и </w:t>
            </w:r>
            <w:r w:rsidRPr="002C7BAB">
              <w:rPr>
                <w:lang w:val="ru-RU"/>
              </w:rPr>
              <w:t>Соединенного</w:t>
            </w:r>
            <w:r w:rsidRPr="00FC5423">
              <w:rPr>
                <w:lang w:val="ru-RU"/>
              </w:rPr>
              <w:t xml:space="preserve"> Королевства Великобритании и Северной Ирландии</w:t>
            </w:r>
          </w:p>
        </w:tc>
      </w:tr>
      <w:tr w:rsidR="00796BD3" w:rsidRPr="002C7BAB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142E3463" w:rsidR="00796BD3" w:rsidRPr="00FC5423" w:rsidRDefault="00FC5423" w:rsidP="00C20C6B">
            <w:pPr>
              <w:pStyle w:val="Subtitle"/>
              <w:framePr w:hSpace="0" w:wrap="auto" w:hAnchor="text" w:xAlign="left" w:yAlign="inline"/>
              <w:rPr>
                <w:lang w:val="ru-RU"/>
              </w:rPr>
            </w:pPr>
            <w:bookmarkStart w:id="6" w:name="dtitle1" w:colFirst="0" w:colLast="0"/>
            <w:bookmarkEnd w:id="5"/>
            <w:r w:rsidRPr="00C20C6B">
              <w:rPr>
                <w:lang w:val="ru-RU"/>
              </w:rPr>
              <w:t>ПРОЕКТ</w:t>
            </w:r>
            <w:r w:rsidRPr="00FC5423">
              <w:rPr>
                <w:lang w:val="ru-RU"/>
              </w:rPr>
              <w:t xml:space="preserve"> НОВОЙ РЕЗОЛЮЦИИ "РОЛЬ МСЭ В СОДЕЙСТВИИ ОБЕСПЕЧЕНИЮ ВКЛАДА ИКТ В ДЕЯТЕЛЬНОСТЬ ПО БОРЬБЕ С ИЗМЕНЕНИЕМ КЛИМАТА И ЭКОЛОГИЧЕСКУЮ УСТОЙЧИВОСТЬ"</w:t>
            </w:r>
          </w:p>
        </w:tc>
      </w:tr>
      <w:tr w:rsidR="00796BD3" w:rsidRPr="002C7BAB" w14:paraId="64320A1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4B689A29" w:rsidR="00796BD3" w:rsidRPr="00C11FE3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5137D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425FDA6B" w14:textId="77777777" w:rsidR="00FC5423" w:rsidRPr="0028084E" w:rsidRDefault="00FC5423" w:rsidP="002D6A2D">
            <w:pPr>
              <w:rPr>
                <w:lang w:val="ru-RU"/>
              </w:rPr>
            </w:pPr>
            <w:r>
              <w:rPr>
                <w:lang w:val="ru-RU"/>
              </w:rPr>
              <w:t>Воздействие ИКТ на окружающую среду является основной темой сразу нескольких призывов к действиям, в частности, со стороны Организации Объединенных Наций, однако МСЭ обладает поистине уникальными возможностями для рассмотрения этих вопросов, и это необходимо должным образом официально зафиксировать в ходе сессии Совета.</w:t>
            </w:r>
          </w:p>
          <w:p w14:paraId="724B24D1" w14:textId="77777777" w:rsidR="00FC5423" w:rsidRPr="0028084E" w:rsidRDefault="00FC5423" w:rsidP="002D6A2D">
            <w:pPr>
              <w:rPr>
                <w:lang w:val="ru-RU"/>
              </w:rPr>
            </w:pPr>
            <w:r>
              <w:rPr>
                <w:lang w:val="ru-RU"/>
              </w:rPr>
              <w:t>В целях укрепления роли МСЭ в содействии обеспечению вклада ИКТ в деятельность по борьбе с изменением климата и экологическую устойчивость мы предлагаем Резолюцию, в которой будут отражены:</w:t>
            </w:r>
          </w:p>
          <w:p w14:paraId="47D05FFC" w14:textId="6024B3C7" w:rsidR="00FC5423" w:rsidRPr="0028084E" w:rsidRDefault="00935ACC" w:rsidP="00C20C6B">
            <w:pPr>
              <w:pStyle w:val="enumlev1"/>
              <w:rPr>
                <w:sz w:val="24"/>
                <w:szCs w:val="24"/>
                <w:lang w:val="ru-RU"/>
              </w:rPr>
            </w:pPr>
            <w:r w:rsidRPr="00935ACC">
              <w:rPr>
                <w:lang w:val="ru-RU"/>
              </w:rPr>
              <w:t>–</w:t>
            </w:r>
            <w:r w:rsidRPr="00935ACC">
              <w:rPr>
                <w:lang w:val="ru-RU"/>
              </w:rPr>
              <w:tab/>
            </w:r>
            <w:r w:rsidR="00FC5423">
              <w:rPr>
                <w:lang w:val="ru-RU"/>
              </w:rPr>
              <w:t>ключевая роль МСЭ в объединении заинтересованных сторон для выработки общих решений;</w:t>
            </w:r>
          </w:p>
          <w:p w14:paraId="1FFF1C58" w14:textId="71D5683A" w:rsidR="00FC5423" w:rsidRPr="0028084E" w:rsidRDefault="00935ACC" w:rsidP="00C20C6B">
            <w:pPr>
              <w:pStyle w:val="enumlev1"/>
              <w:rPr>
                <w:sz w:val="24"/>
                <w:szCs w:val="24"/>
                <w:lang w:val="ru-RU"/>
              </w:rPr>
            </w:pPr>
            <w:r w:rsidRPr="00935ACC">
              <w:rPr>
                <w:lang w:val="ru-RU"/>
              </w:rPr>
              <w:t>–</w:t>
            </w:r>
            <w:r w:rsidRPr="00935ACC">
              <w:rPr>
                <w:lang w:val="ru-RU"/>
              </w:rPr>
              <w:tab/>
            </w:r>
            <w:r w:rsidR="00FC5423">
              <w:rPr>
                <w:lang w:val="ru-RU"/>
              </w:rPr>
              <w:t>существующие инициативы МСЭ и большой потенциал для дальнейших действий;</w:t>
            </w:r>
          </w:p>
          <w:p w14:paraId="18EF0E9F" w14:textId="230C6D49" w:rsidR="00FC5423" w:rsidRPr="0028084E" w:rsidRDefault="00935ACC" w:rsidP="002D6A2D">
            <w:pPr>
              <w:pStyle w:val="enumlev1"/>
              <w:rPr>
                <w:sz w:val="24"/>
                <w:szCs w:val="24"/>
                <w:lang w:val="ru-RU"/>
              </w:rPr>
            </w:pPr>
            <w:r w:rsidRPr="00935ACC">
              <w:rPr>
                <w:lang w:val="ru-RU"/>
              </w:rPr>
              <w:t>–</w:t>
            </w:r>
            <w:r w:rsidRPr="00935ACC">
              <w:rPr>
                <w:lang w:val="ru-RU"/>
              </w:rPr>
              <w:tab/>
            </w:r>
            <w:r w:rsidR="00FC5423">
              <w:rPr>
                <w:lang w:val="ru-RU"/>
              </w:rPr>
              <w:t>роль и ответственность заинтересованных сторон в области ИКТ в борьбе с изменением климата и обеспечением экологической устойчивости.</w:t>
            </w:r>
          </w:p>
          <w:p w14:paraId="2376E3C8" w14:textId="77777777" w:rsidR="00796BD3" w:rsidRPr="0055137D" w:rsidRDefault="0033025A" w:rsidP="00C20C6B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5137D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6227E447" w14:textId="77777777" w:rsidR="00FC5423" w:rsidRPr="0028084E" w:rsidRDefault="00FC5423" w:rsidP="002D6A2D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Совету предлагается </w:t>
            </w:r>
            <w:r w:rsidRPr="00EA37FF">
              <w:rPr>
                <w:b/>
                <w:lang w:val="ru-RU"/>
              </w:rPr>
              <w:t>принять</w:t>
            </w:r>
            <w:r>
              <w:rPr>
                <w:lang w:val="ru-RU"/>
              </w:rPr>
              <w:t xml:space="preserve"> предлагаемый проект новой Резолюции Совета.</w:t>
            </w:r>
          </w:p>
          <w:p w14:paraId="763B8351" w14:textId="77777777" w:rsidR="00796BD3" w:rsidRPr="0055137D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55137D">
              <w:rPr>
                <w:sz w:val="20"/>
                <w:szCs w:val="18"/>
                <w:lang w:val="ru-RU"/>
              </w:rPr>
              <w:t>__________________</w:t>
            </w:r>
          </w:p>
          <w:p w14:paraId="6429A4BF" w14:textId="77777777" w:rsidR="00796BD3" w:rsidRPr="0055137D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55137D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CA22A00" w14:textId="628ED5B8" w:rsidR="00FC5423" w:rsidRPr="00935ACC" w:rsidRDefault="00FC5423" w:rsidP="002D6A2D">
            <w:pPr>
              <w:spacing w:after="120"/>
              <w:rPr>
                <w:i/>
                <w:iCs/>
                <w:szCs w:val="22"/>
                <w:lang w:val="ru-RU"/>
              </w:rPr>
            </w:pPr>
            <w:r>
              <w:rPr>
                <w:i/>
                <w:iCs/>
                <w:lang w:val="ru-RU"/>
              </w:rPr>
              <w:t xml:space="preserve">Резолюции </w:t>
            </w:r>
            <w:hyperlink r:id="rId7" w:history="1">
              <w:r w:rsidRPr="00FC5423">
                <w:rPr>
                  <w:rStyle w:val="Hyperlink"/>
                  <w:i/>
                  <w:iCs/>
                  <w:lang w:val="ru-RU"/>
                </w:rPr>
                <w:t>70/1</w:t>
              </w:r>
            </w:hyperlink>
            <w:r w:rsidRPr="00FC5423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и</w:t>
            </w:r>
            <w:r w:rsidRPr="00FC5423">
              <w:rPr>
                <w:i/>
                <w:iCs/>
                <w:lang w:val="ru-RU"/>
              </w:rPr>
              <w:t xml:space="preserve"> </w:t>
            </w:r>
            <w:hyperlink r:id="rId8" w:history="1">
              <w:r w:rsidRPr="00FC5423">
                <w:rPr>
                  <w:rStyle w:val="Hyperlink"/>
                  <w:i/>
                  <w:iCs/>
                  <w:lang w:val="ru-RU"/>
                </w:rPr>
                <w:t>75/231</w:t>
              </w:r>
            </w:hyperlink>
            <w:r>
              <w:rPr>
                <w:i/>
                <w:iCs/>
                <w:lang w:val="ru-RU"/>
              </w:rPr>
              <w:t xml:space="preserve"> Генеральной Ассамблеи Организации Объединенных Наций (</w:t>
            </w:r>
            <w:r w:rsidRPr="003D5C11">
              <w:rPr>
                <w:i/>
                <w:iCs/>
                <w:lang w:val="ru-RU"/>
              </w:rPr>
              <w:t>ГА ООН);</w:t>
            </w:r>
            <w:r w:rsidR="00935ACC" w:rsidRPr="00935ACC">
              <w:rPr>
                <w:i/>
                <w:iCs/>
                <w:lang w:val="ru-RU"/>
              </w:rPr>
              <w:br/>
            </w:r>
            <w:hyperlink r:id="rId9" w:history="1">
              <w:r w:rsidRPr="00FC5423">
                <w:rPr>
                  <w:rStyle w:val="Hyperlink"/>
                  <w:i/>
                  <w:iCs/>
                  <w:lang w:val="ru-RU"/>
                </w:rPr>
                <w:t>Резолюция</w:t>
              </w:r>
              <w:r w:rsidRPr="003D5C11">
                <w:rPr>
                  <w:rStyle w:val="Hyperlink"/>
                  <w:i/>
                  <w:iCs/>
                </w:rPr>
                <w:t> </w:t>
              </w:r>
              <w:r w:rsidRPr="00FC5423">
                <w:rPr>
                  <w:rStyle w:val="Hyperlink"/>
                  <w:i/>
                  <w:iCs/>
                  <w:lang w:val="ru-RU"/>
                </w:rPr>
                <w:t>71</w:t>
              </w:r>
            </w:hyperlink>
            <w:r w:rsidRPr="003D5C11">
              <w:rPr>
                <w:i/>
                <w:iCs/>
                <w:lang w:val="ru-RU"/>
              </w:rPr>
              <w:t xml:space="preserve"> (Пересм. Бухарест, 2022 г.) и Резолюция 182 (Пересм. Бухарест, 2022 г.) Полномочной конференции;</w:t>
            </w:r>
            <w:r w:rsidR="00C20C6B">
              <w:rPr>
                <w:i/>
                <w:iCs/>
                <w:lang w:val="ru-RU"/>
              </w:rPr>
              <w:t xml:space="preserve"> </w:t>
            </w:r>
            <w:hyperlink r:id="rId10" w:history="1">
              <w:r w:rsidRPr="00FC5423">
                <w:rPr>
                  <w:rStyle w:val="Hyperlink"/>
                  <w:i/>
                  <w:iCs/>
                  <w:lang w:val="ru-RU"/>
                </w:rPr>
                <w:t>Резолюция 66</w:t>
              </w:r>
            </w:hyperlink>
            <w:r w:rsidRPr="003D5C11">
              <w:rPr>
                <w:i/>
                <w:iCs/>
                <w:lang w:val="ru-RU"/>
              </w:rPr>
              <w:t xml:space="preserve"> (</w:t>
            </w:r>
            <w:proofErr w:type="spellStart"/>
            <w:r w:rsidRPr="003D5C11">
              <w:rPr>
                <w:i/>
                <w:iCs/>
                <w:lang w:val="ru-RU"/>
              </w:rPr>
              <w:t>Пересм</w:t>
            </w:r>
            <w:proofErr w:type="spellEnd"/>
            <w:r w:rsidRPr="003D5C11">
              <w:rPr>
                <w:i/>
                <w:iCs/>
                <w:lang w:val="ru-RU"/>
              </w:rPr>
              <w:t>. Кигали, 2022 г.) Всемирной конференции по развитию электросвязи (</w:t>
            </w:r>
            <w:proofErr w:type="spellStart"/>
            <w:r w:rsidRPr="003D5C11">
              <w:rPr>
                <w:i/>
                <w:iCs/>
                <w:lang w:val="ru-RU"/>
              </w:rPr>
              <w:t>ВКРЭ</w:t>
            </w:r>
            <w:proofErr w:type="spellEnd"/>
            <w:r w:rsidRPr="003D5C11">
              <w:rPr>
                <w:i/>
                <w:iCs/>
                <w:lang w:val="ru-RU"/>
              </w:rPr>
              <w:t>)</w:t>
            </w:r>
            <w:r w:rsidR="00C20C6B">
              <w:rPr>
                <w:i/>
                <w:iCs/>
                <w:lang w:val="ru-RU"/>
              </w:rPr>
              <w:t xml:space="preserve">; </w:t>
            </w:r>
            <w:hyperlink r:id="rId11" w:history="1">
              <w:r w:rsidRPr="00FC5423">
                <w:rPr>
                  <w:rStyle w:val="Hyperlink"/>
                  <w:i/>
                  <w:iCs/>
                  <w:lang w:val="ru-RU"/>
                </w:rPr>
                <w:t>Резолюция 1353 Совета</w:t>
              </w:r>
            </w:hyperlink>
            <w:r w:rsidRPr="003D5C11">
              <w:rPr>
                <w:i/>
                <w:iCs/>
                <w:lang w:val="ru-RU"/>
              </w:rPr>
              <w:t xml:space="preserve"> (принятая Советом МСЭ на его сессии 2012 г</w:t>
            </w:r>
            <w:r w:rsidRPr="00FC5423">
              <w:rPr>
                <w:i/>
                <w:iCs/>
                <w:lang w:val="ru-RU"/>
              </w:rPr>
              <w:t>.)</w:t>
            </w:r>
          </w:p>
        </w:tc>
      </w:tr>
      <w:bookmarkEnd w:id="2"/>
      <w:bookmarkEnd w:id="6"/>
    </w:tbl>
    <w:p w14:paraId="6EB9976D" w14:textId="77777777" w:rsidR="00796BD3" w:rsidRPr="00955EF6" w:rsidRDefault="00796BD3" w:rsidP="00796BD3">
      <w:pPr>
        <w:rPr>
          <w:lang w:val="ru-RU"/>
        </w:rPr>
      </w:pPr>
    </w:p>
    <w:p w14:paraId="2C91D28F" w14:textId="77777777" w:rsidR="00FC5423" w:rsidRPr="0028084E" w:rsidRDefault="00165D06" w:rsidP="00935ACC">
      <w:pPr>
        <w:pStyle w:val="ResNo"/>
        <w:rPr>
          <w:szCs w:val="22"/>
          <w:lang w:val="ru-RU"/>
        </w:rPr>
      </w:pPr>
      <w:r w:rsidRPr="008D21F1">
        <w:rPr>
          <w:lang w:val="ru-RU"/>
        </w:rPr>
        <w:br w:type="page"/>
      </w:r>
      <w:bookmarkStart w:id="7" w:name="lt_pId023"/>
      <w:r w:rsidR="00FC5423">
        <w:rPr>
          <w:lang w:val="ru-RU"/>
        </w:rPr>
        <w:lastRenderedPageBreak/>
        <w:t>ПРОЕКТ НОВОЙ РЕЗОЛЮЦИИ [...]</w:t>
      </w:r>
      <w:bookmarkEnd w:id="7"/>
    </w:p>
    <w:p w14:paraId="7147734A" w14:textId="3961A435" w:rsidR="00FC5423" w:rsidRPr="00015D57" w:rsidRDefault="00FC5423" w:rsidP="00015D57">
      <w:pPr>
        <w:pStyle w:val="Restitle"/>
        <w:rPr>
          <w:lang w:val="ru-RU"/>
        </w:rPr>
      </w:pPr>
      <w:r>
        <w:rPr>
          <w:lang w:val="ru-RU"/>
        </w:rPr>
        <w:t>Р</w:t>
      </w:r>
      <w:r w:rsidR="00015D57">
        <w:rPr>
          <w:lang w:val="ru-RU"/>
        </w:rPr>
        <w:t xml:space="preserve">оль </w:t>
      </w:r>
      <w:r>
        <w:rPr>
          <w:lang w:val="ru-RU"/>
        </w:rPr>
        <w:t xml:space="preserve">МСЭ </w:t>
      </w:r>
      <w:r w:rsidR="00015D57">
        <w:rPr>
          <w:lang w:val="ru-RU"/>
        </w:rPr>
        <w:t>в содействии обеспечению вклада</w:t>
      </w:r>
      <w:r>
        <w:rPr>
          <w:lang w:val="ru-RU"/>
        </w:rPr>
        <w:t xml:space="preserve"> ИКТ </w:t>
      </w:r>
      <w:r w:rsidR="00015D57">
        <w:rPr>
          <w:lang w:val="ru-RU"/>
        </w:rPr>
        <w:t>в деятельность по борьбе с изменением климата и экологическую устойчивость</w:t>
      </w:r>
    </w:p>
    <w:p w14:paraId="5D1ED8B0" w14:textId="77777777" w:rsidR="00FC5423" w:rsidRPr="0028084E" w:rsidRDefault="00FC5423" w:rsidP="00FC5423">
      <w:pPr>
        <w:pStyle w:val="Normalaftertitle"/>
        <w:rPr>
          <w:lang w:val="ru-RU"/>
        </w:rPr>
      </w:pPr>
      <w:r>
        <w:rPr>
          <w:lang w:val="ru-RU"/>
        </w:rPr>
        <w:t>Совет МСЭ,</w:t>
      </w:r>
    </w:p>
    <w:p w14:paraId="036BCD0E" w14:textId="77777777" w:rsidR="00FC5423" w:rsidRPr="0028084E" w:rsidRDefault="00FC5423" w:rsidP="00FC5423">
      <w:pPr>
        <w:pStyle w:val="Call"/>
        <w:rPr>
          <w:lang w:val="ru-RU"/>
        </w:rPr>
      </w:pPr>
      <w:r>
        <w:rPr>
          <w:iCs/>
          <w:lang w:val="ru-RU"/>
        </w:rPr>
        <w:t>напоминая</w:t>
      </w:r>
    </w:p>
    <w:p w14:paraId="59A641E4" w14:textId="77777777" w:rsidR="00FC5423" w:rsidRPr="0028084E" w:rsidRDefault="00FC5423" w:rsidP="00FC5423">
      <w:pPr>
        <w:rPr>
          <w:lang w:val="ru-RU"/>
        </w:rPr>
      </w:pPr>
      <w:r>
        <w:rPr>
          <w:i/>
          <w:iCs/>
          <w:lang w:val="ru-RU"/>
        </w:rPr>
        <w:t>a)</w:t>
      </w:r>
      <w:r>
        <w:rPr>
          <w:lang w:val="ru-RU"/>
        </w:rPr>
        <w:tab/>
        <w:t>о резолюции 70/1 Генеральной Ассамблеи Организации Объединенных Наций (ГА ООН) о преобразовании нашего мира: Повестка дня в области устойчивого развития на период до 2030 года;</w:t>
      </w:r>
    </w:p>
    <w:p w14:paraId="5A3A9D52" w14:textId="77777777" w:rsidR="00FC5423" w:rsidRPr="0028084E" w:rsidRDefault="00FC5423" w:rsidP="00FC5423">
      <w:pPr>
        <w:rPr>
          <w:lang w:val="ru-RU"/>
        </w:rPr>
      </w:pPr>
      <w:r>
        <w:rPr>
          <w:i/>
          <w:iCs/>
          <w:lang w:val="ru-RU"/>
        </w:rPr>
        <w:t>b)</w:t>
      </w:r>
      <w:r>
        <w:rPr>
          <w:lang w:val="ru-RU"/>
        </w:rPr>
        <w:tab/>
        <w:t>о резолюции 75/231 ГА ООН, в которой признаются выгоды, которые могли бы получить страны, преобразовав свою экономику для целей поощрения перехода к рациональным моделям потребления и производства путем взаимодействия с партнерами, направленного на обеспечение учета или реализации таких концепций, как экономика замкнутого цикла и четвертая промышленная революция, в интересах рационализации промышленной деятельности и производственных систем в соответствии с национальными планами и приоритетами;</w:t>
      </w:r>
    </w:p>
    <w:p w14:paraId="15B2364C" w14:textId="77777777" w:rsidR="00FC5423" w:rsidRPr="0028084E" w:rsidRDefault="00FC5423" w:rsidP="00FC5423">
      <w:pPr>
        <w:rPr>
          <w:lang w:val="ru-RU"/>
        </w:rPr>
      </w:pPr>
      <w:r>
        <w:rPr>
          <w:i/>
          <w:iCs/>
          <w:lang w:val="ru-RU"/>
        </w:rPr>
        <w:t>c)</w:t>
      </w:r>
      <w:r>
        <w:rPr>
          <w:lang w:val="ru-RU"/>
        </w:rPr>
        <w:tab/>
        <w:t>о Резолюции 71 (Пересм. Бухарест, 2022 г.) Полномочной конференции о Стратегическом плане Союза на 2024–2027 годы, в которой устойчивая цифровая трансформация ставится в один ряд с универсальной возможностью установления соединений;</w:t>
      </w:r>
    </w:p>
    <w:p w14:paraId="70D9BD79" w14:textId="77777777" w:rsidR="00FC5423" w:rsidRPr="0028084E" w:rsidRDefault="00FC5423" w:rsidP="00FC5423">
      <w:pPr>
        <w:rPr>
          <w:lang w:val="ru-RU"/>
        </w:rPr>
      </w:pPr>
      <w:r>
        <w:rPr>
          <w:i/>
          <w:iCs/>
          <w:lang w:val="ru-RU"/>
        </w:rPr>
        <w:t>d)</w:t>
      </w:r>
      <w:r>
        <w:rPr>
          <w:lang w:val="ru-RU"/>
        </w:rPr>
        <w:tab/>
        <w:t>о Резолюции 182 (Пересм. Бухарест, 2022 г.) Полномочной конференции о роли электросвязи/ИКТ в изменении климата и защите окружающей среды;</w:t>
      </w:r>
    </w:p>
    <w:p w14:paraId="6C46D02D" w14:textId="77777777" w:rsidR="00FC5423" w:rsidRPr="0028084E" w:rsidRDefault="00FC5423" w:rsidP="00FC5423">
      <w:pPr>
        <w:rPr>
          <w:lang w:val="ru-RU"/>
        </w:rPr>
      </w:pPr>
      <w:r>
        <w:rPr>
          <w:i/>
          <w:iCs/>
          <w:lang w:val="ru-RU"/>
        </w:rPr>
        <w:t>e)</w:t>
      </w:r>
      <w:r>
        <w:rPr>
          <w:lang w:val="ru-RU"/>
        </w:rPr>
        <w:tab/>
        <w:t>о Резолюции 66 (Пересм. Кигали, 2022 г.) Всемирной конференции по развитию электросвязи (ВКРЭ) об информационно-коммуникационных технологиях, окружающей среде, изменении климата и циркуляционной экономике;</w:t>
      </w:r>
    </w:p>
    <w:p w14:paraId="73AD4D0C" w14:textId="77777777" w:rsidR="00FC5423" w:rsidRPr="0028084E" w:rsidRDefault="00FC5423" w:rsidP="00FC5423">
      <w:pPr>
        <w:rPr>
          <w:lang w:val="ru-RU"/>
        </w:rPr>
      </w:pPr>
      <w:r>
        <w:rPr>
          <w:i/>
          <w:iCs/>
          <w:lang w:val="ru-RU"/>
        </w:rPr>
        <w:t>f)</w:t>
      </w:r>
      <w:r>
        <w:rPr>
          <w:lang w:val="ru-RU"/>
        </w:rPr>
        <w:tab/>
        <w:t>о Резолюции 1353, принятой Советом МСЭ на его сессии 2012 года, в которой признается, что электросвязь и ИКТ являются существенными компонентами для развитых и развивающихся стран с точки зрения обеспечения устойчивого развития, и в которой поручается Генеральному секретарю, во взаимодействии с Директорами Бюро, определить новые виды деятельности, которые должен осуществлять МСЭ для содействия развивающимся странам в достижении устойчивого развития благодаря электросвязи/ИКТ,</w:t>
      </w:r>
    </w:p>
    <w:p w14:paraId="5A71CB8E" w14:textId="77777777" w:rsidR="00FC5423" w:rsidRPr="0028084E" w:rsidRDefault="00FC5423" w:rsidP="00FC5423">
      <w:pPr>
        <w:pStyle w:val="Call"/>
        <w:rPr>
          <w:lang w:val="ru-RU"/>
        </w:rPr>
      </w:pPr>
      <w:r>
        <w:rPr>
          <w:iCs/>
          <w:lang w:val="ru-RU"/>
        </w:rPr>
        <w:t>признавая</w:t>
      </w:r>
      <w:r w:rsidRPr="00015D57">
        <w:rPr>
          <w:i w:val="0"/>
          <w:lang w:val="ru-RU"/>
        </w:rPr>
        <w:t>,</w:t>
      </w:r>
    </w:p>
    <w:p w14:paraId="5A9AECB6" w14:textId="77777777" w:rsidR="00FC5423" w:rsidRPr="0028084E" w:rsidRDefault="00FC5423" w:rsidP="00FC5423">
      <w:pPr>
        <w:rPr>
          <w:lang w:val="ru-RU"/>
        </w:rPr>
      </w:pPr>
      <w:r>
        <w:rPr>
          <w:i/>
          <w:iCs/>
          <w:lang w:val="ru-RU"/>
        </w:rPr>
        <w:t>a)</w:t>
      </w:r>
      <w:r>
        <w:rPr>
          <w:lang w:val="ru-RU"/>
        </w:rPr>
        <w:tab/>
        <w:t>что тройственный кризис планетарного масштаба, касающийся изменения климата, загрязнения окружающей среды и снижения биоразнообразия, относится к числу наиболее насущных проблем, стоящих перед человечеством;</w:t>
      </w:r>
    </w:p>
    <w:p w14:paraId="0477F210" w14:textId="77777777" w:rsidR="00FC5423" w:rsidRPr="0028084E" w:rsidRDefault="00FC5423" w:rsidP="00FC5423">
      <w:pPr>
        <w:rPr>
          <w:lang w:val="ru-RU"/>
        </w:rPr>
      </w:pPr>
      <w:r>
        <w:rPr>
          <w:i/>
          <w:iCs/>
          <w:lang w:val="ru-RU"/>
        </w:rPr>
        <w:t>b)</w:t>
      </w:r>
      <w:r>
        <w:rPr>
          <w:lang w:val="ru-RU"/>
        </w:rPr>
        <w:tab/>
        <w:t>что ограничение глобального потепления требует быстрых, значительных и устойчивых сокращений глобальных выбросов парниковых газов, включая сокращение глобальных выбросов диоксида углерода отраслью ИКТ на 45 процентов к 2030 году и до чистого нулевого уровня к 2050 году, а также значительных сокращений выбросов других парниковых газов;</w:t>
      </w:r>
    </w:p>
    <w:p w14:paraId="088E1187" w14:textId="2552A3F3" w:rsidR="00FC5423" w:rsidRPr="0028084E" w:rsidRDefault="00FC5423" w:rsidP="00FC5423">
      <w:pPr>
        <w:rPr>
          <w:lang w:val="ru-RU"/>
        </w:rPr>
      </w:pPr>
      <w:r>
        <w:rPr>
          <w:i/>
          <w:iCs/>
          <w:lang w:val="ru-RU"/>
        </w:rPr>
        <w:t>c)</w:t>
      </w:r>
      <w:r>
        <w:rPr>
          <w:lang w:val="ru-RU"/>
        </w:rPr>
        <w:tab/>
        <w:t>важность проблем, связанных с изменением климата и утратой биоразнообразия, что подчеркнуто в Специальном докладе МГЭИК о глобальном потеплении на 1,5</w:t>
      </w:r>
      <w:r w:rsidR="00015D57">
        <w:rPr>
          <w:lang w:val="ru-RU"/>
        </w:rPr>
        <w:t>°</w:t>
      </w:r>
      <w:r>
        <w:rPr>
          <w:lang w:val="ru-RU"/>
        </w:rPr>
        <w:t>C и в опубликованном в мае 2019 года докладе МПБЭУ о больших масштабах утраты биоразнообразия и наносимого ему ущерба, а также важность проведения оценки пределов возможностей планеты;</w:t>
      </w:r>
    </w:p>
    <w:p w14:paraId="4D4326FB" w14:textId="77777777" w:rsidR="00FC5423" w:rsidRPr="0028084E" w:rsidRDefault="00FC5423" w:rsidP="00FC5423">
      <w:pPr>
        <w:rPr>
          <w:lang w:val="ru-RU"/>
        </w:rPr>
      </w:pPr>
      <w:r>
        <w:rPr>
          <w:i/>
          <w:iCs/>
          <w:lang w:val="ru-RU"/>
        </w:rPr>
        <w:lastRenderedPageBreak/>
        <w:t>d)</w:t>
      </w:r>
      <w:r>
        <w:rPr>
          <w:lang w:val="ru-RU"/>
        </w:rPr>
        <w:tab/>
        <w:t>что во вкладе Рабочей группы III Межправительственной группы экспертов Организации Объединенных Наций по изменению климата в рамках шестого отчета об оценке отмечается, что цифровизация может способствовать сокращению выбросов, но может иметь и отрицательные побочные последствия при условии отсутствия надлежащего регулирования;</w:t>
      </w:r>
    </w:p>
    <w:p w14:paraId="243B5B34" w14:textId="77777777" w:rsidR="00FC5423" w:rsidRPr="0028084E" w:rsidRDefault="00FC5423" w:rsidP="00FC5423">
      <w:pPr>
        <w:rPr>
          <w:lang w:val="ru-RU"/>
        </w:rPr>
      </w:pPr>
      <w:r>
        <w:rPr>
          <w:i/>
          <w:iCs/>
          <w:lang w:val="ru-RU"/>
        </w:rPr>
        <w:t>e)</w:t>
      </w:r>
      <w:r>
        <w:rPr>
          <w:lang w:val="ru-RU"/>
        </w:rPr>
        <w:tab/>
        <w:t>что следует рассмотреть и другие последствия для окружающей среды, связанные с использованием ИКТ, в частности количество биотических и абиотических ресурсов (ископаемых источников энергии и минералов), необходимых производителям устройств и сетевого оборудования,</w:t>
      </w:r>
    </w:p>
    <w:p w14:paraId="1426A293" w14:textId="0332092F" w:rsidR="00FC5423" w:rsidRPr="0028084E" w:rsidRDefault="00FC5423" w:rsidP="00FC5423">
      <w:pPr>
        <w:pStyle w:val="Call"/>
        <w:rPr>
          <w:lang w:val="ru-RU"/>
        </w:rPr>
      </w:pPr>
      <w:r>
        <w:rPr>
          <w:iCs/>
          <w:lang w:val="ru-RU"/>
        </w:rPr>
        <w:t>учитывая</w:t>
      </w:r>
    </w:p>
    <w:p w14:paraId="29379C39" w14:textId="2A788638" w:rsidR="00FC5423" w:rsidRPr="0028084E" w:rsidRDefault="00FC5423" w:rsidP="00FC5423">
      <w:pPr>
        <w:rPr>
          <w:lang w:val="ru-RU"/>
        </w:rPr>
      </w:pPr>
      <w:bookmarkStart w:id="8" w:name="_Hlk167808937"/>
      <w:r>
        <w:rPr>
          <w:i/>
          <w:iCs/>
          <w:lang w:val="ru-RU"/>
        </w:rPr>
        <w:t>a)</w:t>
      </w:r>
      <w:r>
        <w:rPr>
          <w:lang w:val="ru-RU"/>
        </w:rPr>
        <w:tab/>
        <w:t xml:space="preserve">итоги конференций под эгидой Рамочной конвенции Организации Объединенных Наций об изменении климата (РКИК ООН), в частности Парижское соглашение </w:t>
      </w:r>
      <w:r w:rsidRPr="00D71DE5">
        <w:rPr>
          <w:lang w:val="ru-RU"/>
        </w:rPr>
        <w:t>КС</w:t>
      </w:r>
      <w:r w:rsidR="00DA2E38">
        <w:rPr>
          <w:lang w:val="ru-RU"/>
        </w:rPr>
        <w:noBreakHyphen/>
      </w:r>
      <w:r w:rsidRPr="00D71DE5">
        <w:rPr>
          <w:lang w:val="ru-RU"/>
        </w:rPr>
        <w:t>21</w:t>
      </w:r>
      <w:r>
        <w:rPr>
          <w:lang w:val="ru-RU"/>
        </w:rPr>
        <w:t xml:space="preserve">, в котором устанавливаются глобальные рамки для недопущения опасного изменения климата путем ограничения глобального потепления на тот момент до уровня значительно ниже 2°C и продолжения усилий по его ограничению до 1,5°C, Климатический пакт Глазго, принятый на </w:t>
      </w:r>
      <w:r w:rsidR="00D71DE5" w:rsidRPr="00D71DE5">
        <w:rPr>
          <w:lang w:val="ru-RU"/>
        </w:rPr>
        <w:t>КС</w:t>
      </w:r>
      <w:r w:rsidR="00DA2E38">
        <w:rPr>
          <w:lang w:val="ru-RU"/>
        </w:rPr>
        <w:noBreakHyphen/>
      </w:r>
      <w:r w:rsidRPr="00D71DE5">
        <w:rPr>
          <w:lang w:val="ru-RU"/>
        </w:rPr>
        <w:t>26</w:t>
      </w:r>
      <w:r>
        <w:rPr>
          <w:lang w:val="ru-RU"/>
        </w:rPr>
        <w:t xml:space="preserve">, в котором подтверждается настоятельная необходимость активизации действий по ограничению масштабов последствий изменения климата, а также Соглашение о глобальном подведении итогов </w:t>
      </w:r>
      <w:r w:rsidRPr="00D71DE5">
        <w:rPr>
          <w:lang w:val="ru-RU"/>
        </w:rPr>
        <w:t>КС</w:t>
      </w:r>
      <w:r w:rsidR="00DA2E38">
        <w:rPr>
          <w:lang w:val="ru-RU"/>
        </w:rPr>
        <w:noBreakHyphen/>
      </w:r>
      <w:r w:rsidRPr="00D71DE5">
        <w:rPr>
          <w:lang w:val="ru-RU"/>
        </w:rPr>
        <w:t>28</w:t>
      </w:r>
      <w:r>
        <w:rPr>
          <w:lang w:val="ru-RU"/>
        </w:rPr>
        <w:t xml:space="preserve"> в Дубае, в котором содержится призыв к Сторонам принять меры для достижения в глобальном масштабе трехкратного увеличения мощности возобновляемых источников энергии и двукратного повышения энергоэффективности к 2030 году;</w:t>
      </w:r>
    </w:p>
    <w:bookmarkEnd w:id="8"/>
    <w:p w14:paraId="557100BC" w14:textId="77777777" w:rsidR="00FC5423" w:rsidRPr="0028084E" w:rsidRDefault="00FC5423" w:rsidP="00FC5423">
      <w:pPr>
        <w:rPr>
          <w:lang w:val="ru-RU"/>
        </w:rPr>
      </w:pPr>
      <w:r>
        <w:rPr>
          <w:i/>
          <w:iCs/>
          <w:lang w:val="ru-RU"/>
        </w:rPr>
        <w:t>b)</w:t>
      </w:r>
      <w:r>
        <w:rPr>
          <w:lang w:val="ru-RU"/>
        </w:rPr>
        <w:tab/>
        <w:t>что в Лиссабонской декларации, принятой в 2022 году на Конференции Организации Объединенных Наций по содействию достижению цели 14 в области устойчивого развития Повестки дня в области устойчивого развития на период до 2030 года "Наращивание усилий в области океана на основе науки и инноваций в интересах осуществления цели 14: анализ достигнутого, партнерства и решения", участие в которой принимали представители гражданского общества и других соответствующих заинтересованных сторон, подтверждается твердая приверженность делу сохранения и устойчивого использования океанов, морей и морских ресурсов;</w:t>
      </w:r>
    </w:p>
    <w:p w14:paraId="6B3617D1" w14:textId="77777777" w:rsidR="00FC5423" w:rsidRPr="0028084E" w:rsidRDefault="00FC5423" w:rsidP="00FC5423">
      <w:pPr>
        <w:rPr>
          <w:lang w:val="ru-RU"/>
        </w:rPr>
      </w:pPr>
      <w:r>
        <w:rPr>
          <w:i/>
          <w:iCs/>
          <w:lang w:val="ru-RU"/>
        </w:rPr>
        <w:t>c)</w:t>
      </w:r>
      <w:r>
        <w:rPr>
          <w:lang w:val="ru-RU"/>
        </w:rPr>
        <w:tab/>
        <w:t>что МСЭ, благодаря своей роли в системе Организации Объединенных Наций и разнообразному членскому составу, имеет уникальные возможности для объединения усилий широкого круга заинтересованных сторон в целях стимулирования деятельности отрасли ИКТ в сфере борьбы с изменением климата и обеспечения экологической устойчивости;</w:t>
      </w:r>
    </w:p>
    <w:p w14:paraId="153C9FDE" w14:textId="77777777" w:rsidR="00FC5423" w:rsidRPr="0028084E" w:rsidRDefault="00FC5423" w:rsidP="00FC5423">
      <w:pPr>
        <w:rPr>
          <w:lang w:val="ru-RU"/>
        </w:rPr>
      </w:pPr>
      <w:r>
        <w:rPr>
          <w:i/>
          <w:iCs/>
          <w:lang w:val="ru-RU"/>
        </w:rPr>
        <w:t>d)</w:t>
      </w:r>
      <w:r>
        <w:rPr>
          <w:lang w:val="ru-RU"/>
        </w:rPr>
        <w:tab/>
        <w:t>что для полной оценки прогресса в достижении целевого показателя 2.5 МСЭ "Существенное улучшение вклада ИКТ в меры, принимаемые в отношении климата и окружающей среды" в рамках Повестки дня Союза "Соединим к 2030 году", содержащегося в Резолюции 71 (Пересм. Бухарест, 2022 г.) о стратегическом плане Союза на 2024</w:t>
      </w:r>
      <w:r w:rsidRPr="002137C4">
        <w:rPr>
          <w:lang w:val="ru-RU"/>
        </w:rPr>
        <w:t>−</w:t>
      </w:r>
      <w:r>
        <w:rPr>
          <w:lang w:val="ru-RU"/>
        </w:rPr>
        <w:t>2027 годы, требуется больше данных,</w:t>
      </w:r>
    </w:p>
    <w:p w14:paraId="51CDD3B3" w14:textId="77777777" w:rsidR="00FC5423" w:rsidRPr="0028084E" w:rsidRDefault="00FC5423" w:rsidP="00FC5423">
      <w:pPr>
        <w:pStyle w:val="Call"/>
        <w:rPr>
          <w:lang w:val="ru-RU"/>
        </w:rPr>
      </w:pPr>
      <w:r>
        <w:rPr>
          <w:iCs/>
          <w:lang w:val="ru-RU"/>
        </w:rPr>
        <w:t>решает</w:t>
      </w:r>
    </w:p>
    <w:p w14:paraId="603F61E0" w14:textId="77777777" w:rsidR="00FC5423" w:rsidRPr="0028084E" w:rsidRDefault="00FC5423" w:rsidP="00FC5423">
      <w:pPr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  <w:t>поощрять усилия, предпринимаемые Секторами МСЭ и Секретариатом МСЭ (Генеральным секретариатом и тремя Бюро), направленные на смягчение негативного воздействия на окружающую среду новых и появляющихся технологий электросвязи/ИКТ, включая существующие решения, и на стимулирование деятельности сообщества электросвязи/ИКТ по оказанию помощи в борьбе с тройственным кризисом планетарного масштаба, в том числе с помощью инициативы "Зеленая цифровая кампания", направленной на укрепление межсекторальной координации таких усилий;</w:t>
      </w:r>
    </w:p>
    <w:p w14:paraId="7A9AC522" w14:textId="77777777" w:rsidR="00FC5423" w:rsidRPr="0028084E" w:rsidRDefault="00FC5423" w:rsidP="00FC5423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 xml:space="preserve">настоятельно рекомендовать Секторам МСЭ и Секретариату МСЭ развивать знания о воздействии на окружающую среду новых и появляющихся технологий электросвязи/ИКТ, опираясь на деятельность Сектора в области борьбы с изменением климата и охраны </w:t>
      </w:r>
      <w:r>
        <w:rPr>
          <w:lang w:val="ru-RU"/>
        </w:rPr>
        <w:lastRenderedPageBreak/>
        <w:t>окружающей среды и максимально эффективно используя результаты такой деятельности, поддерживая при этом инновации в области экодизайна и "цифровой трезвости";</w:t>
      </w:r>
    </w:p>
    <w:p w14:paraId="1E89A5BC" w14:textId="77777777" w:rsidR="00FC5423" w:rsidRPr="0028084E" w:rsidRDefault="00FC5423" w:rsidP="00FC5423">
      <w:pPr>
        <w:rPr>
          <w:rFonts w:eastAsiaTheme="minorEastAsia"/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  <w:t>приветствовать предстоящую деятельность МСЭ, направленную на повышение прозрачности, отслеживание выбросов парниковых газов и энергопотребления в отрасли ИКТ в целях оценки воздействия ИКТ на изменение климата;</w:t>
      </w:r>
    </w:p>
    <w:p w14:paraId="21A7E4DB" w14:textId="77777777" w:rsidR="00FC5423" w:rsidRPr="0028084E" w:rsidRDefault="00FC5423" w:rsidP="00FC5423">
      <w:pPr>
        <w:rPr>
          <w:rFonts w:eastAsiaTheme="minorEastAsia"/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  <w:t xml:space="preserve">предложить МСЭ отслеживать использование биотических и абиотических ресурсов (ископаемых источников энергии, минералов и воды) отраслью ИКТ в целях оценки воздействия на окружающую среду на протяжении всего жизненного цикла; </w:t>
      </w:r>
    </w:p>
    <w:p w14:paraId="41036AF1" w14:textId="77777777" w:rsidR="00FC5423" w:rsidRPr="0028084E" w:rsidRDefault="00FC5423" w:rsidP="00FC5423">
      <w:pPr>
        <w:rPr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  <w:t>поддерживать усилия МСЭ по обеспечению постоянного согласования со Стратегией обеспечения устойчивости в системе Организации Объединенных Наций на 2020−2030 годы,</w:t>
      </w:r>
    </w:p>
    <w:p w14:paraId="3B2A8108" w14:textId="77777777" w:rsidR="00FC5423" w:rsidRPr="0028084E" w:rsidRDefault="00FC5423" w:rsidP="00FC5423">
      <w:pPr>
        <w:pStyle w:val="Call"/>
        <w:rPr>
          <w:lang w:val="ru-RU"/>
        </w:rPr>
      </w:pPr>
      <w:r>
        <w:rPr>
          <w:iCs/>
          <w:lang w:val="ru-RU"/>
        </w:rPr>
        <w:t>поручает Генеральному секретарю во взаимодействии с Директорами трех Бюро</w:t>
      </w:r>
    </w:p>
    <w:p w14:paraId="68A4F5CE" w14:textId="77777777" w:rsidR="00FC5423" w:rsidRPr="0028084E" w:rsidRDefault="00FC5423" w:rsidP="00FC5423">
      <w:pPr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  <w:t>побуждать сообщество электросвязи/ИКТ к реализации "Зеленой цифровой кампании" путем объединения ключевых заинтересованных сторон для выработки смелых, практичных и амбициозных решений в области борьбы с изменением климата;</w:t>
      </w:r>
    </w:p>
    <w:p w14:paraId="1B76E13D" w14:textId="77777777" w:rsidR="00FC5423" w:rsidRPr="00041924" w:rsidRDefault="00FC5423" w:rsidP="00FC5423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>осуществлять тесное взаимодействие в рамках сообщества электросвязи/ИКТ с целью максимально эффективного использования и расширения деятельности МСЭ, связанной с изменением климата и экологической устойчивостью, в том числе под эгидой "Зеленой цифровой кампании", путем объединения ключевых заинтересованных сторон для выработки смелых, практичных и амбициозных решений в области борьбы с изменением климата и обеспечения экологической устойчивости, а также посредством учреждения в рамках МСЭ экспериментального фонда по развитию "зеленых" цифровых технологий, работающего на основе добровольных взносов;</w:t>
      </w:r>
    </w:p>
    <w:p w14:paraId="3AABAF3C" w14:textId="77777777" w:rsidR="00FC5423" w:rsidRPr="0028084E" w:rsidRDefault="00FC5423" w:rsidP="00FC5423">
      <w:pPr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  <w:t>содействовать внедрению новых и появляющихся технологий электросвязи/ИКТ во всех секторах экономики, что позволит повысить их экологическую устойчивость. Эффективность этих решений с точки зрения окружающей среды должна отслеживаться на основе ключевых показателей деятельности (KPI), методик оценки и измерения, рекомендованных МСЭ-Т, что позволит получить дополнительные знания о благоприятном воздействии новых и развивающихся технологий электросвязи/ИКТ;</w:t>
      </w:r>
    </w:p>
    <w:p w14:paraId="676E74F9" w14:textId="77777777" w:rsidR="00FC5423" w:rsidRPr="0028084E" w:rsidRDefault="00FC5423" w:rsidP="00FC5423">
      <w:pPr>
        <w:rPr>
          <w:rFonts w:eastAsia="SimSun"/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  <w:t>принять необходимые меры, направленные на вовлечение всех членов МСЭ в выполнение настоящей Резолюции и оказывать поддержку Государствам – Членам МСЭ в создании потенциала для сбора, обобщения и оценки данных, касающихся климата;</w:t>
      </w:r>
    </w:p>
    <w:p w14:paraId="138A6F0B" w14:textId="77777777" w:rsidR="00FC5423" w:rsidRPr="0028084E" w:rsidRDefault="00FC5423" w:rsidP="00FC5423">
      <w:pPr>
        <w:rPr>
          <w:rFonts w:eastAsia="SimSun"/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  <w:t>тесно сотрудничать в этом отношении с другими структурами системы Организации Объединенных Наций и соответствующими заинтересованными сторонами; в частности, осуществлять взаимодействие с Рамочной конвенцией ООН об изменении климата (РКИК ООН) и председателями КС;</w:t>
      </w:r>
    </w:p>
    <w:p w14:paraId="40D2B2C4" w14:textId="77777777" w:rsidR="00FC5423" w:rsidRPr="0028084E" w:rsidRDefault="00FC5423" w:rsidP="00FC5423">
      <w:pPr>
        <w:rPr>
          <w:lang w:val="ru-RU"/>
        </w:rPr>
      </w:pPr>
      <w:r>
        <w:rPr>
          <w:lang w:val="ru-RU"/>
        </w:rPr>
        <w:t>6</w:t>
      </w:r>
      <w:r>
        <w:rPr>
          <w:lang w:val="ru-RU"/>
        </w:rPr>
        <w:tab/>
        <w:t>представить отчет Совету МСЭ о выполнении настоящей Резолюции,</w:t>
      </w:r>
    </w:p>
    <w:p w14:paraId="6E20E4C3" w14:textId="77777777" w:rsidR="00FC5423" w:rsidRPr="0028084E" w:rsidRDefault="00FC5423" w:rsidP="00FC5423">
      <w:pPr>
        <w:pStyle w:val="Call"/>
        <w:rPr>
          <w:lang w:val="ru-RU"/>
        </w:rPr>
      </w:pPr>
      <w:r>
        <w:rPr>
          <w:iCs/>
          <w:lang w:val="ru-RU"/>
        </w:rPr>
        <w:t>предлагает Государствам-Членам</w:t>
      </w:r>
    </w:p>
    <w:p w14:paraId="7EF50BB1" w14:textId="77777777" w:rsidR="00FC5423" w:rsidRPr="0028084E" w:rsidRDefault="00FC5423" w:rsidP="00FC5423">
      <w:pPr>
        <w:rPr>
          <w:rFonts w:eastAsia="Calibri" w:cs="Calibri"/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  <w:t>определить на национальном уровне соответствующих ответственных лиц по вопросам мониторинга выбросов парниковых газов, отчетности и правоприменения в секторе ИКТ;</w:t>
      </w:r>
    </w:p>
    <w:p w14:paraId="19CE7313" w14:textId="77777777" w:rsidR="00FC5423" w:rsidRPr="0028084E" w:rsidRDefault="00FC5423" w:rsidP="00FC5423">
      <w:pPr>
        <w:rPr>
          <w:lang w:val="ru-RU"/>
        </w:rPr>
      </w:pPr>
      <w:bookmarkStart w:id="9" w:name="_Hlk164866946"/>
      <w:bookmarkStart w:id="10" w:name="_Hlk165021183"/>
      <w:r>
        <w:rPr>
          <w:lang w:val="ru-RU"/>
        </w:rPr>
        <w:t>2</w:t>
      </w:r>
      <w:r>
        <w:rPr>
          <w:lang w:val="ru-RU"/>
        </w:rPr>
        <w:tab/>
        <w:t>обеспечить, чтобы достижение целевых показателей устойчивости стало частью процесса регулирования электросвязи в рамках национальных законодательств;</w:t>
      </w:r>
      <w:bookmarkEnd w:id="9"/>
    </w:p>
    <w:p w14:paraId="2021576D" w14:textId="77777777" w:rsidR="00FC5423" w:rsidRPr="0028084E" w:rsidRDefault="00FC5423" w:rsidP="00FC5423">
      <w:pPr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  <w:t>наделить компетентные органы полномочиями по сбору данных об окружающей среде;</w:t>
      </w:r>
    </w:p>
    <w:bookmarkEnd w:id="10"/>
    <w:p w14:paraId="3A23BAED" w14:textId="79CA49CE" w:rsidR="00FC5423" w:rsidRPr="0028084E" w:rsidRDefault="00FC5423" w:rsidP="00FC5423">
      <w:pPr>
        <w:rPr>
          <w:rFonts w:eastAsia="Calibri" w:cs="Calibri"/>
          <w:lang w:val="ru-RU"/>
        </w:rPr>
      </w:pPr>
      <w:r>
        <w:rPr>
          <w:lang w:val="ru-RU"/>
        </w:rPr>
        <w:lastRenderedPageBreak/>
        <w:t>4</w:t>
      </w:r>
      <w:r>
        <w:rPr>
          <w:lang w:val="ru-RU"/>
        </w:rPr>
        <w:tab/>
        <w:t>признать необходимость обеспечения прозрачности и сбора данных, касающихся выбросов и энергопотребления в секторе ИКТ, для приведения их в соответствие с национальными целями в области борьбы с изменением климата и отслеживания прогресса;</w:t>
      </w:r>
    </w:p>
    <w:p w14:paraId="07C6F722" w14:textId="14277BDE" w:rsidR="00FC5423" w:rsidRPr="0028084E" w:rsidRDefault="00FC5423" w:rsidP="00FC5423">
      <w:pPr>
        <w:rPr>
          <w:rFonts w:eastAsia="Calibri" w:cs="Calibri"/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  <w:t>признать необходимость обеспечения прозрачности и сбора данных об использовании биотических и абиотических ресурсов на протяжении жизненного цикла продуктов и технологий ИКТ;</w:t>
      </w:r>
    </w:p>
    <w:p w14:paraId="77038F71" w14:textId="77777777" w:rsidR="00FC5423" w:rsidRPr="0028084E" w:rsidRDefault="00FC5423" w:rsidP="00FC5423">
      <w:pPr>
        <w:rPr>
          <w:lang w:val="ru-RU"/>
        </w:rPr>
      </w:pPr>
      <w:r>
        <w:rPr>
          <w:lang w:val="ru-RU"/>
        </w:rPr>
        <w:t>6</w:t>
      </w:r>
      <w:r>
        <w:rPr>
          <w:lang w:val="ru-RU"/>
        </w:rPr>
        <w:tab/>
        <w:t>признать необходимость активизации усилий по созданию потенциала для поддержки процесса сбора, обобщения и оценки данных;</w:t>
      </w:r>
    </w:p>
    <w:p w14:paraId="5EA2D5D0" w14:textId="77777777" w:rsidR="00FC5423" w:rsidRPr="0028084E" w:rsidRDefault="00FC5423" w:rsidP="00FC5423">
      <w:pPr>
        <w:rPr>
          <w:rStyle w:val="CommentReference"/>
          <w:sz w:val="24"/>
          <w:szCs w:val="24"/>
          <w:lang w:val="ru-RU"/>
        </w:rPr>
      </w:pPr>
      <w:r>
        <w:rPr>
          <w:lang w:val="ru-RU"/>
        </w:rPr>
        <w:t>7</w:t>
      </w:r>
      <w:r>
        <w:rPr>
          <w:lang w:val="ru-RU"/>
        </w:rPr>
        <w:tab/>
        <w:t>стремиться к снижению воздействия сектора ИКТ на окружающую среду,</w:t>
      </w:r>
    </w:p>
    <w:p w14:paraId="27F17ED4" w14:textId="77777777" w:rsidR="00FC5423" w:rsidRPr="0028084E" w:rsidRDefault="00FC5423" w:rsidP="00FC5423">
      <w:pPr>
        <w:pStyle w:val="Call"/>
        <w:rPr>
          <w:lang w:val="ru-RU"/>
        </w:rPr>
      </w:pPr>
      <w:r>
        <w:rPr>
          <w:iCs/>
          <w:lang w:val="ru-RU"/>
        </w:rPr>
        <w:t>предлагает Государствам-Членам, Членам Сектора и Ассоциированным членам</w:t>
      </w:r>
    </w:p>
    <w:p w14:paraId="769B64ED" w14:textId="77777777" w:rsidR="00FC5423" w:rsidRPr="0028084E" w:rsidRDefault="00FC5423" w:rsidP="00FC5423">
      <w:pPr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  <w:t>стимулировать деятельность в области использования цифровых технологий для борьбы с изменением климата, принимая активное участие в выполнении настоящей Резолюции;</w:t>
      </w:r>
    </w:p>
    <w:p w14:paraId="427BD71A" w14:textId="77777777" w:rsidR="00FC5423" w:rsidRPr="0028084E" w:rsidRDefault="00FC5423" w:rsidP="00FC5423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>оказывать поддержку деятельности Бюро в области борьбы с изменением климата, обеспечения экологической устойчивости и реализации межсекторальной инициативы "Зеленая цифровая кампания" и активно участвовать в этой деятельности; в частности, путем предоставления данных об окружающей среде и направления их в МСЭ в целях создания и ведения баз данных МСЭ;</w:t>
      </w:r>
    </w:p>
    <w:p w14:paraId="23F7D5CA" w14:textId="77777777" w:rsidR="00FC5423" w:rsidRDefault="00FC5423" w:rsidP="00FC5423">
      <w:r>
        <w:rPr>
          <w:lang w:val="ru-RU"/>
        </w:rPr>
        <w:t>3</w:t>
      </w:r>
      <w:r>
        <w:rPr>
          <w:lang w:val="ru-RU"/>
        </w:rPr>
        <w:tab/>
        <w:t>принять и применять Рекомендации МСЭ для решения экологических проблем, таких как адаптация к изменению климата и смягчение его последствий, а также управление электронными отходами и содействие развитию "умных" устойчивых городов и сообществ.</w:t>
      </w:r>
    </w:p>
    <w:p w14:paraId="60F31B98" w14:textId="07890882" w:rsidR="00165D06" w:rsidRPr="00D71DE5" w:rsidRDefault="00D71DE5" w:rsidP="00D71DE5">
      <w:pPr>
        <w:spacing w:before="720"/>
        <w:jc w:val="center"/>
        <w:rPr>
          <w:lang w:val="ru-RU"/>
        </w:rPr>
      </w:pPr>
      <w:r>
        <w:t>______________</w:t>
      </w:r>
    </w:p>
    <w:sectPr w:rsidR="00165D06" w:rsidRPr="00D71DE5" w:rsidSect="00796BD3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3AF3" w14:textId="77777777" w:rsidR="00E1170F" w:rsidRDefault="00E1170F">
      <w:r>
        <w:separator/>
      </w:r>
    </w:p>
  </w:endnote>
  <w:endnote w:type="continuationSeparator" w:id="0">
    <w:p w14:paraId="3A4A6418" w14:textId="77777777" w:rsidR="00E1170F" w:rsidRDefault="00E1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4B7873CD" w:rsidR="00672F8A" w:rsidRDefault="002C7BAB" w:rsidP="00672F8A">
          <w:pPr>
            <w:pStyle w:val="Header"/>
            <w:jc w:val="left"/>
            <w:rPr>
              <w:noProof/>
            </w:rPr>
          </w:pPr>
          <w:r w:rsidRPr="002C7BAB">
            <w:rPr>
              <w:noProof/>
              <w:color w:val="7F7F7F" w:themeColor="text1" w:themeTint="80"/>
            </w:rPr>
            <w:t>2400829</w:t>
          </w:r>
        </w:p>
      </w:tc>
      <w:tc>
        <w:tcPr>
          <w:tcW w:w="8261" w:type="dxa"/>
        </w:tcPr>
        <w:p w14:paraId="69B0129C" w14:textId="2392322C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FC5423">
            <w:rPr>
              <w:bCs/>
            </w:rPr>
            <w:t>88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6B22D32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1CEB3A1F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FC5423">
            <w:rPr>
              <w:bCs/>
            </w:rPr>
            <w:t>88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316E" w14:textId="77777777" w:rsidR="00E1170F" w:rsidRDefault="00E1170F">
      <w:r>
        <w:t>____________________</w:t>
      </w:r>
    </w:p>
  </w:footnote>
  <w:footnote w:type="continuationSeparator" w:id="0">
    <w:p w14:paraId="30B633FB" w14:textId="77777777" w:rsidR="00E1170F" w:rsidRDefault="00E11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0673270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DD1C952" w14:textId="7FFFA388" w:rsidR="00796BD3" w:rsidRPr="00C20C6B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  <w:lang w:val="ru-RU"/>
            </w:rPr>
          </w:pPr>
        </w:p>
      </w:tc>
    </w:tr>
  </w:tbl>
  <w:bookmarkEnd w:id="11"/>
  <w:p w14:paraId="596D6C8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C2A0F"/>
    <w:multiLevelType w:val="hybridMultilevel"/>
    <w:tmpl w:val="55C60378"/>
    <w:lvl w:ilvl="0" w:tplc="DE585B88">
      <w:numFmt w:val="bullet"/>
      <w:lvlText w:val="•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F5A15"/>
    <w:multiLevelType w:val="hybridMultilevel"/>
    <w:tmpl w:val="5D62CF44"/>
    <w:lvl w:ilvl="0" w:tplc="FE2464D8">
      <w:numFmt w:val="bullet"/>
      <w:lvlText w:val="-"/>
      <w:lvlJc w:val="left"/>
      <w:pPr>
        <w:ind w:left="930" w:hanging="57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67EF7"/>
    <w:multiLevelType w:val="hybridMultilevel"/>
    <w:tmpl w:val="3C9C7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033A1"/>
    <w:multiLevelType w:val="hybridMultilevel"/>
    <w:tmpl w:val="DDA0C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E6DF5"/>
    <w:multiLevelType w:val="multilevel"/>
    <w:tmpl w:val="1C880C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4"/>
      </w:rPr>
    </w:lvl>
  </w:abstractNum>
  <w:abstractNum w:abstractNumId="6" w15:restartNumberingAfterBreak="0">
    <w:nsid w:val="7697BF65"/>
    <w:multiLevelType w:val="hybridMultilevel"/>
    <w:tmpl w:val="799E27AE"/>
    <w:lvl w:ilvl="0" w:tplc="C4C070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BAF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408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43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86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22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EE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4B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5AC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240477942">
    <w:abstractNumId w:val="1"/>
  </w:num>
  <w:num w:numId="3" w16cid:durableId="1126661787">
    <w:abstractNumId w:val="3"/>
  </w:num>
  <w:num w:numId="4" w16cid:durableId="631253367">
    <w:abstractNumId w:val="4"/>
  </w:num>
  <w:num w:numId="5" w16cid:durableId="570777361">
    <w:abstractNumId w:val="6"/>
  </w:num>
  <w:num w:numId="6" w16cid:durableId="1739204854">
    <w:abstractNumId w:val="5"/>
  </w:num>
  <w:num w:numId="7" w16cid:durableId="876622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15D57"/>
    <w:rsid w:val="0002183E"/>
    <w:rsid w:val="000569B4"/>
    <w:rsid w:val="00063974"/>
    <w:rsid w:val="00080E82"/>
    <w:rsid w:val="000B2DE7"/>
    <w:rsid w:val="000E568E"/>
    <w:rsid w:val="000E7DE9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33672"/>
    <w:rsid w:val="00291EB6"/>
    <w:rsid w:val="002B7DD4"/>
    <w:rsid w:val="002C7BAB"/>
    <w:rsid w:val="002D2F57"/>
    <w:rsid w:val="002D48C5"/>
    <w:rsid w:val="002D6A2D"/>
    <w:rsid w:val="0033025A"/>
    <w:rsid w:val="003E7254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5137D"/>
    <w:rsid w:val="005A64D5"/>
    <w:rsid w:val="005B3DEC"/>
    <w:rsid w:val="00601994"/>
    <w:rsid w:val="00660449"/>
    <w:rsid w:val="00672F8A"/>
    <w:rsid w:val="006867EB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C6349"/>
    <w:rsid w:val="008D21F1"/>
    <w:rsid w:val="008D2D7B"/>
    <w:rsid w:val="008E0737"/>
    <w:rsid w:val="008F7C2C"/>
    <w:rsid w:val="00935ACC"/>
    <w:rsid w:val="00940E96"/>
    <w:rsid w:val="00955EF6"/>
    <w:rsid w:val="009B0BAE"/>
    <w:rsid w:val="009C1C89"/>
    <w:rsid w:val="009F3448"/>
    <w:rsid w:val="00A01CF9"/>
    <w:rsid w:val="00A71773"/>
    <w:rsid w:val="00AE2C85"/>
    <w:rsid w:val="00B11C9D"/>
    <w:rsid w:val="00B12A37"/>
    <w:rsid w:val="00B41837"/>
    <w:rsid w:val="00B63EF2"/>
    <w:rsid w:val="00BA7D89"/>
    <w:rsid w:val="00BC0D39"/>
    <w:rsid w:val="00BC7BC0"/>
    <w:rsid w:val="00BD57B7"/>
    <w:rsid w:val="00BE63E2"/>
    <w:rsid w:val="00C05660"/>
    <w:rsid w:val="00C11FE3"/>
    <w:rsid w:val="00C20C6B"/>
    <w:rsid w:val="00CD2009"/>
    <w:rsid w:val="00CF629C"/>
    <w:rsid w:val="00D71DE5"/>
    <w:rsid w:val="00D92EEA"/>
    <w:rsid w:val="00DA2E38"/>
    <w:rsid w:val="00DA5D4E"/>
    <w:rsid w:val="00E1170F"/>
    <w:rsid w:val="00E176BA"/>
    <w:rsid w:val="00E423EC"/>
    <w:rsid w:val="00E55121"/>
    <w:rsid w:val="00EB4FCB"/>
    <w:rsid w:val="00EC6BC5"/>
    <w:rsid w:val="00F35898"/>
    <w:rsid w:val="00F5225B"/>
    <w:rsid w:val="00FC5423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C20C6B"/>
    <w:pPr>
      <w:spacing w:before="480"/>
    </w:pPr>
    <w:rPr>
      <w:b/>
      <w:sz w:val="32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C20C6B"/>
    <w:pPr>
      <w:framePr w:hSpace="180" w:wrap="around" w:hAnchor="page" w:x="1821" w:y="2317"/>
      <w:spacing w:before="120" w:after="160"/>
    </w:pPr>
    <w:rPr>
      <w:cap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5137D"/>
    <w:rPr>
      <w:color w:val="605E5C"/>
      <w:shd w:val="clear" w:color="auto" w:fill="E1DFDD"/>
    </w:rPr>
  </w:style>
  <w:style w:type="paragraph" w:styleId="ListParagraph">
    <w:name w:val="List Paragraph"/>
    <w:aliases w:val="NUMBERED PARAGRAPH,List Paragraph 1,List Paragraph (numbered (a)),Use Case List Paragraph,References,ReferencesCxSpLast,lp1,List Paragraph1,Recommendation,List Paragraph11,Listenabsatz Standard"/>
    <w:basedOn w:val="Normal"/>
    <w:link w:val="ListParagraphChar"/>
    <w:uiPriority w:val="34"/>
    <w:qFormat/>
    <w:rsid w:val="000E7DE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EOMainDocParagraph">
    <w:name w:val="CEO_MainDoc_Paragraph"/>
    <w:basedOn w:val="Normal"/>
    <w:qFormat/>
    <w:rsid w:val="000E7D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6" w:lineRule="auto"/>
      <w:textAlignment w:val="auto"/>
    </w:pPr>
    <w:rPr>
      <w:rFonts w:asciiTheme="minorHAnsi" w:eastAsia="SimSun" w:hAnsiTheme="minorHAnsi" w:cstheme="minorBidi"/>
      <w:szCs w:val="19"/>
      <w:lang w:eastAsia="zh-CN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,List Paragraph1 Char,Recommendation Char,List Paragraph11 Char"/>
    <w:basedOn w:val="DefaultParagraphFont"/>
    <w:link w:val="ListParagraph"/>
    <w:uiPriority w:val="34"/>
    <w:locked/>
    <w:rsid w:val="00C11FE3"/>
    <w:rPr>
      <w:rFonts w:ascii="Calibri" w:hAnsi="Calibri"/>
      <w:sz w:val="24"/>
      <w:lang w:val="en-GB" w:eastAsia="en-US"/>
    </w:rPr>
  </w:style>
  <w:style w:type="paragraph" w:customStyle="1" w:styleId="paragraph">
    <w:name w:val="paragraph"/>
    <w:basedOn w:val="Normal"/>
    <w:rsid w:val="00C11F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C11FE3"/>
  </w:style>
  <w:style w:type="character" w:styleId="CommentReference">
    <w:name w:val="annotation reference"/>
    <w:basedOn w:val="DefaultParagraphFont"/>
    <w:uiPriority w:val="99"/>
    <w:semiHidden/>
    <w:unhideWhenUsed/>
    <w:rsid w:val="00FC54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Home/Mobile?FinalSymbol=a%2Fres%2F75%2F231&amp;Language=E&amp;DeviceType=Desktop&amp;LangRequested=Fals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docs.org/Home/Mobile?FinalSymbol=A%2FRES%2F70%2F1&amp;Language=E&amp;DeviceType=Desktop&amp;LangRequested=Fals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2-CL-C-0102/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publications/ITU-D/pages/publications.aspx?parent=D-TDC-WTDC-2022&amp;media=electron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-2023/RES-071-r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28</TotalTime>
  <Pages>5</Pages>
  <Words>1595</Words>
  <Characters>11516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13085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LRT</cp:lastModifiedBy>
  <cp:revision>8</cp:revision>
  <cp:lastPrinted>2006-03-28T16:12:00Z</cp:lastPrinted>
  <dcterms:created xsi:type="dcterms:W3CDTF">2024-05-28T15:01:00Z</dcterms:created>
  <dcterms:modified xsi:type="dcterms:W3CDTF">2024-05-29T14:00:00Z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