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46D1B" w14:paraId="1E1F01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2953E4" w14:textId="39764AA0" w:rsidR="00796BD3" w:rsidRPr="00946D1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46D1B">
              <w:rPr>
                <w:b/>
                <w:lang w:val="ru-RU"/>
              </w:rPr>
              <w:t>Пункт повестки дня:</w:t>
            </w:r>
            <w:r w:rsidR="00D42F17" w:rsidRPr="00946D1B">
              <w:rPr>
                <w:b/>
                <w:lang w:val="ru-RU"/>
              </w:rPr>
              <w:t xml:space="preserve"> </w:t>
            </w:r>
            <w:r w:rsidR="00492313" w:rsidRPr="00946D1B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E842227" w14:textId="39FCCA54" w:rsidR="00796BD3" w:rsidRPr="00946D1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46D1B">
              <w:rPr>
                <w:b/>
                <w:lang w:val="ru-RU"/>
              </w:rPr>
              <w:t xml:space="preserve">Документ </w:t>
            </w:r>
            <w:r w:rsidR="00796BD3" w:rsidRPr="00946D1B">
              <w:rPr>
                <w:b/>
                <w:lang w:val="ru-RU"/>
              </w:rPr>
              <w:t>C2</w:t>
            </w:r>
            <w:r w:rsidR="00660449" w:rsidRPr="00946D1B">
              <w:rPr>
                <w:b/>
                <w:lang w:val="ru-RU"/>
              </w:rPr>
              <w:t>4</w:t>
            </w:r>
            <w:r w:rsidR="00796BD3" w:rsidRPr="00946D1B">
              <w:rPr>
                <w:b/>
                <w:lang w:val="ru-RU"/>
              </w:rPr>
              <w:t>/</w:t>
            </w:r>
            <w:r w:rsidR="0015018C" w:rsidRPr="00946D1B">
              <w:rPr>
                <w:b/>
                <w:lang w:val="ru-RU"/>
              </w:rPr>
              <w:t>87</w:t>
            </w:r>
            <w:r w:rsidR="00796BD3" w:rsidRPr="00946D1B">
              <w:rPr>
                <w:b/>
                <w:lang w:val="ru-RU"/>
              </w:rPr>
              <w:t>-R</w:t>
            </w:r>
          </w:p>
        </w:tc>
      </w:tr>
      <w:tr w:rsidR="00796BD3" w:rsidRPr="00946D1B" w14:paraId="50E2EA71" w14:textId="77777777" w:rsidTr="00E31DCE">
        <w:trPr>
          <w:cantSplit/>
        </w:trPr>
        <w:tc>
          <w:tcPr>
            <w:tcW w:w="3969" w:type="dxa"/>
            <w:vMerge/>
          </w:tcPr>
          <w:p w14:paraId="267E8D06" w14:textId="77777777" w:rsidR="00796BD3" w:rsidRPr="00946D1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F4E430" w14:textId="288B36EF" w:rsidR="00796BD3" w:rsidRPr="00946D1B" w:rsidRDefault="0015018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46D1B">
              <w:rPr>
                <w:b/>
                <w:lang w:val="ru-RU"/>
              </w:rPr>
              <w:t>21 мая</w:t>
            </w:r>
            <w:r w:rsidR="00796BD3" w:rsidRPr="00946D1B">
              <w:rPr>
                <w:b/>
                <w:lang w:val="ru-RU"/>
              </w:rPr>
              <w:t xml:space="preserve"> 202</w:t>
            </w:r>
            <w:r w:rsidR="00660449" w:rsidRPr="00946D1B">
              <w:rPr>
                <w:b/>
                <w:lang w:val="ru-RU"/>
              </w:rPr>
              <w:t>4</w:t>
            </w:r>
            <w:r w:rsidR="00D42F17" w:rsidRPr="00946D1B">
              <w:rPr>
                <w:b/>
                <w:lang w:val="ru-RU"/>
              </w:rPr>
              <w:t xml:space="preserve"> года</w:t>
            </w:r>
          </w:p>
        </w:tc>
      </w:tr>
      <w:tr w:rsidR="00796BD3" w:rsidRPr="00946D1B" w14:paraId="6FFABE3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8C532" w14:textId="77777777" w:rsidR="00796BD3" w:rsidRPr="00946D1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C1E853" w14:textId="5F897891" w:rsidR="00796BD3" w:rsidRPr="00946D1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46D1B">
              <w:rPr>
                <w:b/>
                <w:lang w:val="ru-RU"/>
              </w:rPr>
              <w:t xml:space="preserve">Оригинал: </w:t>
            </w:r>
            <w:r w:rsidR="00946D1B">
              <w:rPr>
                <w:b/>
                <w:lang w:val="ru-RU"/>
              </w:rPr>
              <w:t>китайский</w:t>
            </w:r>
          </w:p>
        </w:tc>
      </w:tr>
      <w:tr w:rsidR="00796BD3" w:rsidRPr="00946D1B" w14:paraId="0CA4A6F6" w14:textId="77777777" w:rsidTr="00E31DCE">
        <w:trPr>
          <w:cantSplit/>
          <w:trHeight w:val="23"/>
        </w:trPr>
        <w:tc>
          <w:tcPr>
            <w:tcW w:w="3969" w:type="dxa"/>
          </w:tcPr>
          <w:p w14:paraId="015F82B9" w14:textId="77777777" w:rsidR="00796BD3" w:rsidRPr="00946D1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8269EBD" w14:textId="77777777" w:rsidR="00796BD3" w:rsidRPr="00946D1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B4711" w14:paraId="2B82CB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A5D255" w14:textId="149E8C21" w:rsidR="00796BD3" w:rsidRPr="00946D1B" w:rsidRDefault="0015018C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46D1B">
              <w:rPr>
                <w:rFonts w:cstheme="minorHAnsi"/>
                <w:sz w:val="32"/>
                <w:szCs w:val="32"/>
                <w:lang w:val="ru-RU"/>
              </w:rPr>
              <w:t>Вклад Китайской Народной Республики</w:t>
            </w:r>
            <w:r w:rsidR="008B4711">
              <w:rPr>
                <w:rFonts w:cstheme="minorHAnsi"/>
                <w:sz w:val="32"/>
                <w:szCs w:val="32"/>
                <w:lang w:val="ru-RU"/>
              </w:rPr>
              <w:t>, а также Саудовской Аравии (Королевства), Кубы, Российской Федерации и Южно-Африканской Республики</w:t>
            </w:r>
          </w:p>
        </w:tc>
      </w:tr>
      <w:tr w:rsidR="00796BD3" w:rsidRPr="008B4711" w14:paraId="43C303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CEE8BA" w14:textId="0B8AFDB4" w:rsidR="00796BD3" w:rsidRPr="00946D1B" w:rsidRDefault="0015018C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46D1B">
              <w:rPr>
                <w:rFonts w:cstheme="minorHAnsi"/>
                <w:sz w:val="32"/>
                <w:szCs w:val="32"/>
                <w:lang w:val="ru-RU"/>
              </w:rPr>
              <w:t>НОВЫЕ ТЕНДЕНЦИИ И ВОПРОСЫ, ВОЗНИКАЮЩИЕ В ГЛОБАЛЬНОЙ СРЕДЕ ЭЛЕКТРОСВЯЗИ/ИКТ, КОТОРЫЕ ПОТЕНЦИАЛЬНО МОГУТ ЗАТРАГИВАТЬ РЕГЛАМЕНТ МЕЖДУНАРОДНОЙ ЭЛЕКТРОСВЯЗИ</w:t>
            </w:r>
          </w:p>
        </w:tc>
      </w:tr>
      <w:tr w:rsidR="00796BD3" w:rsidRPr="00946D1B" w14:paraId="5E3B6CC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B7BA66C" w14:textId="505B5674" w:rsidR="00796BD3" w:rsidRPr="00946D1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46D1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1AC3D99" w14:textId="2FC53014" w:rsidR="00796BD3" w:rsidRPr="00946D1B" w:rsidRDefault="0015018C" w:rsidP="00492313">
            <w:pPr>
              <w:rPr>
                <w:szCs w:val="22"/>
                <w:lang w:val="ru-RU"/>
              </w:rPr>
            </w:pPr>
            <w:r w:rsidRPr="00946D1B">
              <w:rPr>
                <w:szCs w:val="22"/>
                <w:lang w:val="ru-RU"/>
              </w:rPr>
              <w:t>В настоящем вкладе описываются новые тенденции в развитии международной электросвязи/ИКТ, касающиеся рассмотрения Регламента международной электросвязи (РМЭ), а также вопросы, возникающие в среде международной электросвязи/ИКТ, которые могут затрагивать РМЭ.</w:t>
            </w:r>
          </w:p>
          <w:p w14:paraId="07C3F18C" w14:textId="77777777" w:rsidR="00796BD3" w:rsidRPr="00946D1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46D1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BF8547B" w14:textId="77777777" w:rsidR="0015018C" w:rsidRPr="00946D1B" w:rsidRDefault="0015018C" w:rsidP="0015018C">
            <w:pPr>
              <w:rPr>
                <w:lang w:val="ru-RU"/>
              </w:rPr>
            </w:pPr>
            <w:r w:rsidRPr="00946D1B">
              <w:rPr>
                <w:lang w:val="ru-RU"/>
              </w:rPr>
              <w:t xml:space="preserve">Совету предлагается </w:t>
            </w:r>
            <w:r w:rsidRPr="00946D1B">
              <w:rPr>
                <w:b/>
                <w:lang w:val="ru-RU"/>
              </w:rPr>
              <w:t>рассмотреть</w:t>
            </w:r>
            <w:r w:rsidRPr="00946D1B">
              <w:rPr>
                <w:lang w:val="ru-RU"/>
              </w:rPr>
              <w:t xml:space="preserve"> этот вклад и </w:t>
            </w:r>
            <w:r w:rsidRPr="00946D1B">
              <w:rPr>
                <w:b/>
                <w:lang w:val="ru-RU"/>
              </w:rPr>
              <w:t>принять соответствующие меры</w:t>
            </w:r>
            <w:r w:rsidRPr="00946D1B">
              <w:rPr>
                <w:lang w:val="ru-RU"/>
              </w:rPr>
              <w:t>.</w:t>
            </w:r>
          </w:p>
          <w:p w14:paraId="30CDD944" w14:textId="77777777" w:rsidR="0015018C" w:rsidRPr="00946D1B" w:rsidRDefault="0015018C" w:rsidP="0015018C">
            <w:pPr>
              <w:spacing w:before="160"/>
              <w:rPr>
                <w:caps/>
                <w:lang w:val="ru-RU"/>
              </w:rPr>
            </w:pPr>
            <w:r w:rsidRPr="00946D1B">
              <w:rPr>
                <w:lang w:val="ru-RU"/>
              </w:rPr>
              <w:t>__________________</w:t>
            </w:r>
          </w:p>
          <w:p w14:paraId="004A803B" w14:textId="77777777" w:rsidR="00796BD3" w:rsidRPr="00946D1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46D1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5260284" w14:textId="5545F66A" w:rsidR="00796BD3" w:rsidRPr="00946D1B" w:rsidRDefault="0015018C" w:rsidP="00E31DCE">
            <w:pPr>
              <w:spacing w:after="160"/>
              <w:rPr>
                <w:lang w:val="ru-RU"/>
              </w:rPr>
            </w:pPr>
            <w:r w:rsidRPr="00946D1B">
              <w:rPr>
                <w:lang w:val="ru-RU"/>
              </w:rPr>
              <w:t>Отсутствуют.</w:t>
            </w:r>
          </w:p>
        </w:tc>
      </w:tr>
      <w:bookmarkEnd w:id="2"/>
      <w:bookmarkEnd w:id="6"/>
    </w:tbl>
    <w:p w14:paraId="72B97EF9" w14:textId="77777777" w:rsidR="00476DD9" w:rsidRPr="00946D1B" w:rsidRDefault="00476DD9" w:rsidP="00160B42">
      <w:pPr>
        <w:spacing w:before="600"/>
        <w:jc w:val="center"/>
        <w:rPr>
          <w:lang w:val="ru-RU"/>
        </w:rPr>
      </w:pPr>
    </w:p>
    <w:p w14:paraId="7AEEAF09" w14:textId="23DB5247" w:rsidR="0015018C" w:rsidRPr="00946D1B" w:rsidRDefault="001501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46D1B">
        <w:rPr>
          <w:lang w:val="ru-RU"/>
        </w:rPr>
        <w:br w:type="page"/>
      </w:r>
    </w:p>
    <w:p w14:paraId="3598840C" w14:textId="77777777" w:rsidR="0015018C" w:rsidRPr="00946D1B" w:rsidRDefault="0015018C" w:rsidP="0015018C">
      <w:pPr>
        <w:pStyle w:val="Heading1"/>
        <w:rPr>
          <w:rFonts w:eastAsiaTheme="minorEastAsia"/>
          <w:lang w:val="ru-RU"/>
        </w:rPr>
      </w:pPr>
      <w:r w:rsidRPr="00946D1B">
        <w:rPr>
          <w:bCs/>
          <w:lang w:val="ru-RU"/>
        </w:rPr>
        <w:lastRenderedPageBreak/>
        <w:t>1</w:t>
      </w:r>
      <w:r w:rsidRPr="00946D1B">
        <w:rPr>
          <w:lang w:val="ru-RU"/>
        </w:rPr>
        <w:tab/>
      </w:r>
      <w:r w:rsidRPr="00946D1B">
        <w:rPr>
          <w:bCs/>
          <w:lang w:val="ru-RU"/>
        </w:rPr>
        <w:t>Базовая информация</w:t>
      </w:r>
    </w:p>
    <w:p w14:paraId="370E9840" w14:textId="2517E89F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В соответствии с Резолюцией 146 (Пересм. Бухарест, 2022 г.) Полномочной конференции (ПК</w:t>
      </w:r>
      <w:r w:rsidR="00946D1B" w:rsidRPr="00946D1B">
        <w:rPr>
          <w:lang w:val="ru-RU"/>
        </w:rPr>
        <w:noBreakHyphen/>
      </w:r>
      <w:r w:rsidRPr="00946D1B">
        <w:rPr>
          <w:lang w:val="ru-RU"/>
        </w:rPr>
        <w:t xml:space="preserve">22) Совет МСЭ 2023 года пересмотрел Резолюцию 1379 о периодическом рассмотрении РМЭ и принял решение повторно созвать Группу экспертов по Регламенту международной электросвязи (ГЭ-РМЭ), открытую для Государств </w:t>
      </w:r>
      <w:r w:rsidR="00946D1B">
        <w:rPr>
          <w:lang w:val="ru-RU"/>
        </w:rPr>
        <w:t>−</w:t>
      </w:r>
      <w:r w:rsidRPr="00946D1B">
        <w:rPr>
          <w:lang w:val="ru-RU"/>
        </w:rPr>
        <w:t xml:space="preserve"> Членов МСЭ и Членов Секторов, для дальнейшего обсуждения вопросов, касающихся РМЭ и его рассмотрения, а также включить в приложение к Резолюции пересмотренный круг ведения ГЭ-РМЭ, уполномочив Группу экспертов рассматривать новые тенденции и вопросы, возникающие в среде международной электросвязи/ИКТ, которые могут повлиять на применимость РМЭ.</w:t>
      </w:r>
    </w:p>
    <w:p w14:paraId="45F3AB90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С учетом неоспоримого факта возникновения новых тенденций и новых вопросов в области международной электросвязи/ИКТ важно тщательно обсудить эти новые тенденции и вопросы, которые могут оказать влияние на РМЭ, с тем чтобы спланировать работу по рассмотрению и пересмотру РМЭ, в том числе определить направленность такого рассмотрения и пересмотра, с целью более эффективно содействовать ГЭ-РМЭ в выполнении своих обязанностей и поддержании РМЭ в актуальном состоянии.</w:t>
      </w:r>
    </w:p>
    <w:p w14:paraId="300984C3" w14:textId="77777777" w:rsidR="0015018C" w:rsidRPr="00946D1B" w:rsidRDefault="0015018C" w:rsidP="0015018C">
      <w:pPr>
        <w:pStyle w:val="Heading1"/>
        <w:rPr>
          <w:rFonts w:eastAsiaTheme="minorEastAsia"/>
          <w:lang w:val="ru-RU"/>
        </w:rPr>
      </w:pPr>
      <w:r w:rsidRPr="00946D1B">
        <w:rPr>
          <w:bCs/>
          <w:lang w:val="ru-RU"/>
        </w:rPr>
        <w:t>2</w:t>
      </w:r>
      <w:r w:rsidRPr="00946D1B">
        <w:rPr>
          <w:lang w:val="ru-RU"/>
        </w:rPr>
        <w:tab/>
      </w:r>
      <w:r w:rsidRPr="00946D1B">
        <w:rPr>
          <w:bCs/>
          <w:lang w:val="ru-RU"/>
        </w:rPr>
        <w:t>Новые тенденции и вопросы, возникающие в среде международной электросвязи/ИКТ</w:t>
      </w:r>
    </w:p>
    <w:p w14:paraId="7836F152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Быстрое развитие ИКТ следующего поколения, таких как большие данные, облачные вычисления, 5G, интернет вещей (IoT) и искусственный интеллект (ИИ), является движущей силой ускоренной интеграции глобальной системы электросвязи/ИКТ с традиционными отраслями промышленности. Ускоряются цифровизация отраслей промышленности и индустриализация цифровых технологий, а цифровая экономика набирает обороты. Хотя это открывает значительные возможности для глобального развития электросвязи/ИКТ, разработка ИКТ следующего поколения и их интеграция с отраслями промышленности также приводят к возникновению новых вопросов и появлению проблем в глобальной среде, таких как цифровой разрыв, конфиденциальность и защита данных, и обеспечение кибербезопасности. Изменяющаяся среда электросвязи/ИКТ и связанные с ней вопросы оказывают существенное воздействие на Членов МСЭ, в частности на развивающиеся страны. Отсутствие международных норм для регулирования и решения таких вопросов может дестабилизировать членский состав МСЭ и международно-правовую базу, регулирующую новые тенденции и вопросы.</w:t>
      </w:r>
    </w:p>
    <w:p w14:paraId="6ED4D7BD" w14:textId="77777777" w:rsidR="0015018C" w:rsidRPr="00946D1B" w:rsidRDefault="0015018C" w:rsidP="0015018C">
      <w:pPr>
        <w:pStyle w:val="Heading2"/>
        <w:rPr>
          <w:rFonts w:eastAsiaTheme="minorEastAsia"/>
          <w:lang w:val="ru-RU"/>
        </w:rPr>
      </w:pPr>
      <w:r w:rsidRPr="00946D1B">
        <w:rPr>
          <w:bCs/>
          <w:lang w:val="ru-RU"/>
        </w:rPr>
        <w:t>2.1</w:t>
      </w:r>
      <w:r w:rsidRPr="00946D1B">
        <w:rPr>
          <w:lang w:val="ru-RU"/>
        </w:rPr>
        <w:tab/>
      </w:r>
      <w:r w:rsidRPr="00946D1B">
        <w:rPr>
          <w:bCs/>
          <w:lang w:val="ru-RU"/>
        </w:rPr>
        <w:t>Цифровой разрыв</w:t>
      </w:r>
    </w:p>
    <w:p w14:paraId="76655EB9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Быстрое развитие ИКТ последующих поколений и их углубленная интеграция с различными секторами существенно изменили образ жизни и работы людей, процессы обучения и создания инноваций. Во многих странах и регионах мира пользователи ожидают более быстрых, надежных и безопасных услуг электросвязи/ИКТ, включая простой доступ к сети, высокоскоростную передачу данных и разнообразные приложения. В связи с этим необходимо адаптировать традиционные инфраструктуру и услуги ИКТ, с тем чтобы привести их в соответствие с новыми тенденциями в области международной электросвязи/ИКТ и удовлетворить потребности новых разработок.</w:t>
      </w:r>
    </w:p>
    <w:p w14:paraId="29EFE328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 xml:space="preserve">В то же время с появлением новых тенденций в развитии международной электросвязи/ИКТ увеличивается цифровой разрыв между странами и регионами. Статистические данные МСЭ показывают, что разрыв в доступе к интернету и ИКТ между разными странами сохраняется, и преодоление этого цифрового разрыва остается насущной глобальной задачей. Технологии следует использовать в качестве инструмента для сокращения, а не увеличения цифрового разрыва. Страны должны стремиться решать проблемы, которые ставит цифровая экономика перед уязвимыми группами населения, и обеспечивать, чтобы все секторы и группы </w:t>
      </w:r>
      <w:r w:rsidRPr="00946D1B">
        <w:rPr>
          <w:lang w:val="ru-RU"/>
        </w:rPr>
        <w:lastRenderedPageBreak/>
        <w:t>пользовались справедливой выгодой от развития международной электросвязи/ИКТ и разделяли дивиденды, получаемые в результате развития. Некоторые развивающиеся и менее развитые страны испытывают нехватку передовых ИКТ и новой инфраструктуры электросвязи, а также квалифицированных кадров в области ИКТ, что обусловливает расширение цифрового разрыва с развитыми странами. Существует острая необходимость в обновленном РМЭ, отражающем новые тенденции в области международной электросвязи/ИКТ, для оказания помощи и содействия развитию отрасли электросвязи/ИКТ в наименее развитых странах, а также для дальнейшего повышения справедливости, эффективности и инклюзивности сетей, инфраструктуры и услуг международной электросвязи.</w:t>
      </w:r>
    </w:p>
    <w:p w14:paraId="72EA4A6C" w14:textId="77777777" w:rsidR="0015018C" w:rsidRPr="00946D1B" w:rsidRDefault="0015018C" w:rsidP="0015018C">
      <w:pPr>
        <w:pStyle w:val="Heading2"/>
        <w:rPr>
          <w:rFonts w:eastAsiaTheme="minorEastAsia"/>
          <w:lang w:val="ru-RU"/>
        </w:rPr>
      </w:pPr>
      <w:r w:rsidRPr="00946D1B">
        <w:rPr>
          <w:bCs/>
          <w:lang w:val="ru-RU"/>
        </w:rPr>
        <w:t>2.2</w:t>
      </w:r>
      <w:r w:rsidRPr="00946D1B">
        <w:rPr>
          <w:lang w:val="ru-RU"/>
        </w:rPr>
        <w:tab/>
      </w:r>
      <w:r w:rsidRPr="00946D1B">
        <w:rPr>
          <w:bCs/>
          <w:lang w:val="ru-RU"/>
        </w:rPr>
        <w:t>Конфиденциальность и защита данных</w:t>
      </w:r>
    </w:p>
    <w:p w14:paraId="213609B9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В условиях стремительного развития глобальной электросвязи/ИКТ, в особенности широкого применения технологий 5G, IoT, облачных вычислений и ИИ, происходит беспрецедентный рост объемов деятельности по созданию, сбору, хранению и анализу данных. Бурный рост и массовое накопление данных являются движущей силой инноваций и меняют нашу жизнь. Новые тенденции способствуют экономическому росту и социальному прогрессу, однако они также ведут к появлению новых проблем и требований в отношении конфиденциальности и защиты данных. Пользуясь преимуществами электросвязи/ИКТ, важно уделять внимание вопросам конфиденциальности и защиты данных, которые имеют решающее значение для повышения доверия пользователей, обеспечения безопасности данных и содействия развитию глобальной отрасли электросвязи.</w:t>
      </w:r>
    </w:p>
    <w:p w14:paraId="311FB4AE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Конфиденциальность и защита данных – это реальные вопросы, которые возникли и по-прежнему остаются актуальными в процессе развития глобальной электросвязи/ИКТ. Хотя во многих странах и регионах мира действуют или разрабатываются законы и нормативные положения о конфиденциальности и защите данных, они различаются по своей строгости, уровню защиты и совместимости. На международном уровне не существует согласованных регламентарных положений или стандартов. В двух существующих версиях РМЭ эти вопросы не рассматриваются, и их неизбежно придется обсуждать при любом будущем рассмотрении и пересмотре РМЭ.</w:t>
      </w:r>
    </w:p>
    <w:p w14:paraId="28635313" w14:textId="77777777" w:rsidR="0015018C" w:rsidRPr="00946D1B" w:rsidRDefault="0015018C" w:rsidP="0015018C">
      <w:pPr>
        <w:pStyle w:val="Heading2"/>
        <w:rPr>
          <w:rFonts w:eastAsiaTheme="minorEastAsia"/>
          <w:lang w:val="ru-RU"/>
        </w:rPr>
      </w:pPr>
      <w:r w:rsidRPr="00946D1B">
        <w:rPr>
          <w:bCs/>
          <w:lang w:val="ru-RU"/>
        </w:rPr>
        <w:t>2.3</w:t>
      </w:r>
      <w:r w:rsidRPr="00946D1B">
        <w:rPr>
          <w:lang w:val="ru-RU"/>
        </w:rPr>
        <w:tab/>
      </w:r>
      <w:r w:rsidRPr="00946D1B">
        <w:rPr>
          <w:bCs/>
          <w:lang w:val="ru-RU"/>
        </w:rPr>
        <w:t>Кибербезопасность</w:t>
      </w:r>
    </w:p>
    <w:p w14:paraId="0576CDE8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Стремительное развитие и инновационное применение электросвязи/ИКТ влечет за собой изменение мер безопасности и появление новых угроз безопасности, таких как повышение рисков и уязвимости критической информационной инфраструктуры, значительное увеличение числа кибератак и киберпреступлений, распространение ложной информации в интернете и рост мошенничества в сети электросвязи. В связи с этим важно укреплять кибербезопасность путем постоянного обновления политики безопасности, нормативных положений и мер защиты, с тем чтобы адаптироваться к сложной и постоянно меняющейся среде кибербезопасности. Глобальный характер киберпространства требует сотрудничества международного сообщества для совместного противодействия угрозам кибербезопасности. Развитие международной электросвязи/ИКТ требует единой и скоординированной системы управления кибербезопасностью. МСЭ, как специализированное учреждение ООН в области ИКТ, должен играть ключевую роль в противодействии угрозам кибербезопасности.</w:t>
      </w:r>
    </w:p>
    <w:p w14:paraId="39C5F421" w14:textId="272B1AB5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 xml:space="preserve">РМЭ представляет собой набор глобальных принципов и норм, разработанных МСЭ для обеспечения возможности присоединения и эффективной эксплуатации сетей международной электросвязи. Вопросы кибербезопасности, как ключевого компонента современной среды электросвязи/ИКТ, должны быть надлежащим образом включены в процесс обсуждения и разработки РМЭ. В настоящее время в РМЭ нет положений, которые могли бы быть повсеместно эффективными для обеспечения глобальной кибербезопасности, что является ярким примером того, что РМЭ отстает в своем развитии и не обладает достаточной гибкостью. </w:t>
      </w:r>
      <w:r w:rsidRPr="00946D1B">
        <w:rPr>
          <w:lang w:val="ru-RU"/>
        </w:rPr>
        <w:lastRenderedPageBreak/>
        <w:t>В Резолюции 71 (Пересм. Бухарест, 2022 г.) ПК в качестве одной из двух стратегических целей определено обеспечение возможности "универсального доступа к приемлемым в ценовом отношении, высококачественным и защищенным электросвязи/ИКТ и содействие такому доступу ", а также поставлена задача "повышения готовности стран в области кибербезопасности". В Резолюции также подчеркивается важность укрепления доверия и безопасности в области электросвязи/ИКТ для их повсеместного внедрения и использования. С</w:t>
      </w:r>
      <w:r w:rsidR="00946D1B" w:rsidRPr="00946D1B">
        <w:rPr>
          <w:lang w:val="ru-RU"/>
        </w:rPr>
        <w:t> </w:t>
      </w:r>
      <w:r w:rsidRPr="00946D1B">
        <w:rPr>
          <w:lang w:val="ru-RU"/>
        </w:rPr>
        <w:t>этой целью МСЭ должен стремиться оказывать содействие развитию инклюзивных и защищенных инфраструктуры и услуг электросвязи/ИКТ. Поэтому вопрос кибербезопасности следует включить в обсуждение при рассмотрении и пересмотре РМЭ.</w:t>
      </w:r>
    </w:p>
    <w:p w14:paraId="7A336E53" w14:textId="77777777" w:rsidR="0015018C" w:rsidRPr="00946D1B" w:rsidRDefault="0015018C" w:rsidP="0015018C">
      <w:pPr>
        <w:pStyle w:val="Heading1"/>
        <w:rPr>
          <w:rFonts w:eastAsiaTheme="minorEastAsia"/>
          <w:lang w:val="ru-RU"/>
        </w:rPr>
      </w:pPr>
      <w:r w:rsidRPr="00946D1B">
        <w:rPr>
          <w:bCs/>
          <w:lang w:val="ru-RU"/>
        </w:rPr>
        <w:t>3</w:t>
      </w:r>
      <w:r w:rsidRPr="00946D1B">
        <w:rPr>
          <w:lang w:val="ru-RU"/>
        </w:rPr>
        <w:tab/>
      </w:r>
      <w:r w:rsidRPr="00946D1B">
        <w:rPr>
          <w:bCs/>
          <w:lang w:val="ru-RU"/>
        </w:rPr>
        <w:t>Предложения</w:t>
      </w:r>
    </w:p>
    <w:p w14:paraId="221C6C47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На фоне новых тенденций и вопросов в области международной электросвязи Государства-Члены стоят перед серьезным выбором: либо дать возможность РМЭ в упреждающем порядке реагировать на новые тенденции и вызовы, либо уклониться от решения этих проблем, не предпринимая никаких действий. Решение, которое должно быть принято Государствами-Членами, окажет огромное влияние на дальнейшее развитие МСЭ. Проблемы, возникающие в области международной электросвязи/ИКТ, не могут быть решены самостоятельно одной страной или несколькими странами. Крайне важно мобилизовать усилия всех Государств-Членов и использовать МСЭ в качестве международной площадки для расширения связей, достижения консенсуса и углубления сотрудничества. Вместе мы сможем построить международное сообщество электросвязи/ИКТ с общим будущим. РМЭ следует пересмотреть и усовершенствовать, с тем чтобы идти в ногу со временем и быть в состоянии справиться с проблемами, вызовами и угрозами, возникающими в связи с новыми тенденциями в области глобальной электросвязи/ИКТ.</w:t>
      </w:r>
    </w:p>
    <w:p w14:paraId="377298AA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1</w:t>
      </w:r>
      <w:r w:rsidRPr="00946D1B">
        <w:rPr>
          <w:lang w:val="ru-RU"/>
        </w:rPr>
        <w:tab/>
        <w:t xml:space="preserve">Учитывая, что РМЭ играет ключевую роль в обеспечении регламентарной согласованности и укреплении доверия в сфере международной электросвязи/ИКТ, важно принимать во внимание новые тенденции и проблемы при рассмотрении и пересмотре РМЭ, чтобы создать глобальную сетевую среду электросвязи/ИКТ, характеризующуюся безопасностью, надежностью, справедливостью и эффективностью. </w:t>
      </w:r>
    </w:p>
    <w:p w14:paraId="4257866D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2</w:t>
      </w:r>
      <w:r w:rsidRPr="00946D1B">
        <w:rPr>
          <w:lang w:val="ru-RU"/>
        </w:rPr>
        <w:tab/>
        <w:t>При рассмотрении и пересмотре РМЭ следует сосредоточить внимание на сохранении его ведущей роли в будущем развитии электросвязи/ИКТ на глобальном уровне и преодолении цифрового разрыва в секторе электросвязи/ИКТ между странами, регионами и группами, что позволит им на справедливой и повсеместной основе быть включенными в цифровое общество и пользоваться дивидендами цифровой эпохи.</w:t>
      </w:r>
    </w:p>
    <w:p w14:paraId="32CCE72E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3</w:t>
      </w:r>
      <w:r w:rsidRPr="00946D1B">
        <w:rPr>
          <w:lang w:val="ru-RU"/>
        </w:rPr>
        <w:tab/>
        <w:t>Учитывая, что вопросы конфиденциальности и защиты данных являются практическими вопросами, которые уже существуют или возникают в процессе глобального развития электросвязи/ИКТ, и что на международном уровне отсутствуют согласованные правила и стандарты, предлагается обсудить эти вопросы в процессе рассмотрения и пересмотра РМЭ.</w:t>
      </w:r>
    </w:p>
    <w:p w14:paraId="79CD928B" w14:textId="77777777" w:rsidR="0015018C" w:rsidRPr="00946D1B" w:rsidRDefault="0015018C" w:rsidP="0015018C">
      <w:pPr>
        <w:rPr>
          <w:rFonts w:eastAsiaTheme="minorEastAsia"/>
          <w:lang w:val="ru-RU"/>
        </w:rPr>
      </w:pPr>
      <w:r w:rsidRPr="00946D1B">
        <w:rPr>
          <w:lang w:val="ru-RU"/>
        </w:rPr>
        <w:t>4</w:t>
      </w:r>
      <w:r w:rsidRPr="00946D1B">
        <w:rPr>
          <w:lang w:val="ru-RU"/>
        </w:rPr>
        <w:tab/>
        <w:t>Мы предлагаем включить вопрос обеспечения кибербезопасности в процесс рассмотрения и пересмотра РМЭ, в частности, для реагирования на растущие вызовы в области кибербезопасности, возникающие в результате трансформации глобальной отрасли электросвязи под влиянием технологии OTT (интернетизация). Мы также предлагаем укреплять международное сотрудничество в области кибербезопасности и защиты критической информационной инфраструктуры, пресекать неправомерное использование ИКТ и создать инклюзивный и устойчивый механизм обеспечения кибербезопасности в рамках МСЭ с участием всех заинтересованных сторон.</w:t>
      </w:r>
    </w:p>
    <w:p w14:paraId="28C9DD73" w14:textId="51490FC4" w:rsidR="00796BD3" w:rsidRPr="00946D1B" w:rsidRDefault="00492313" w:rsidP="00946D1B">
      <w:pPr>
        <w:spacing w:before="360"/>
        <w:jc w:val="center"/>
        <w:rPr>
          <w:lang w:val="ru-RU"/>
        </w:rPr>
      </w:pPr>
      <w:r w:rsidRPr="00946D1B">
        <w:rPr>
          <w:lang w:val="ru-RU"/>
        </w:rPr>
        <w:t>______________</w:t>
      </w:r>
    </w:p>
    <w:sectPr w:rsidR="00796BD3" w:rsidRPr="00946D1B" w:rsidSect="00903109">
      <w:footerReference w:type="default" r:id="rId8"/>
      <w:headerReference w:type="first" r:id="rId9"/>
      <w:footerReference w:type="first" r:id="rId10"/>
      <w:pgSz w:w="11907" w:h="16834" w:code="9"/>
      <w:pgMar w:top="1418" w:right="1418" w:bottom="1418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0D3B" w14:textId="77777777" w:rsidR="00903109" w:rsidRDefault="00903109">
      <w:r>
        <w:separator/>
      </w:r>
    </w:p>
  </w:endnote>
  <w:endnote w:type="continuationSeparator" w:id="0">
    <w:p w14:paraId="242F7A29" w14:textId="77777777" w:rsidR="00903109" w:rsidRDefault="009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2313" w:rsidRPr="00784011" w14:paraId="10E76132" w14:textId="77777777" w:rsidTr="00B11E3E">
      <w:trPr>
        <w:jc w:val="center"/>
      </w:trPr>
      <w:tc>
        <w:tcPr>
          <w:tcW w:w="1803" w:type="dxa"/>
          <w:vAlign w:val="center"/>
        </w:tcPr>
        <w:p w14:paraId="62055C8D" w14:textId="5CA9DBBD" w:rsidR="00492313" w:rsidRPr="00492313" w:rsidRDefault="00492313" w:rsidP="00492313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02BC67D1" w14:textId="73B47D1D" w:rsidR="00492313" w:rsidRPr="00E06FD5" w:rsidRDefault="00492313" w:rsidP="0049231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934657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15018C">
            <w:rPr>
              <w:bCs/>
              <w:lang w:val="ru-RU"/>
            </w:rPr>
            <w:t>87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654678217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="00934657" w:rsidRPr="00934657">
                <w:rPr>
                  <w:szCs w:val="18"/>
                </w:rPr>
                <w:fldChar w:fldCharType="begin"/>
              </w:r>
              <w:r w:rsidR="00934657" w:rsidRPr="00934657">
                <w:rPr>
                  <w:szCs w:val="18"/>
                </w:rPr>
                <w:instrText xml:space="preserve"> PAGE   \* MERGEFORMAT </w:instrText>
              </w:r>
              <w:r w:rsidR="00934657" w:rsidRPr="00934657">
                <w:rPr>
                  <w:szCs w:val="18"/>
                </w:rPr>
                <w:fldChar w:fldCharType="separate"/>
              </w:r>
              <w:r w:rsidR="00934657">
                <w:rPr>
                  <w:szCs w:val="18"/>
                </w:rPr>
                <w:t>1</w:t>
              </w:r>
              <w:r w:rsidR="00934657"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31213545" w14:textId="77777777" w:rsidR="00492313" w:rsidRDefault="0049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34657" w:rsidRPr="00784011" w14:paraId="0048C966" w14:textId="77777777" w:rsidTr="00B11E3E">
      <w:trPr>
        <w:jc w:val="center"/>
      </w:trPr>
      <w:tc>
        <w:tcPr>
          <w:tcW w:w="1803" w:type="dxa"/>
          <w:vAlign w:val="center"/>
        </w:tcPr>
        <w:p w14:paraId="60AEA135" w14:textId="061CA50B" w:rsidR="00934657" w:rsidRPr="00492313" w:rsidRDefault="004268C4" w:rsidP="00934657">
          <w:pPr>
            <w:pStyle w:val="Header"/>
            <w:jc w:val="left"/>
            <w:rPr>
              <w:noProof/>
              <w:lang w:val="ru-RU"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66B5FD9" w14:textId="42BFD19E" w:rsidR="00934657" w:rsidRPr="00E06FD5" w:rsidRDefault="00934657" w:rsidP="00934657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15018C">
            <w:rPr>
              <w:bCs/>
              <w:lang w:val="ru-RU"/>
            </w:rPr>
            <w:t>87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912534863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Pr="00934657">
                <w:rPr>
                  <w:szCs w:val="18"/>
                </w:rPr>
                <w:fldChar w:fldCharType="begin"/>
              </w:r>
              <w:r w:rsidRPr="00934657">
                <w:rPr>
                  <w:szCs w:val="18"/>
                </w:rPr>
                <w:instrText xml:space="preserve"> PAGE   \* MERGEFORMAT </w:instrText>
              </w:r>
              <w:r w:rsidRPr="00934657">
                <w:rPr>
                  <w:szCs w:val="18"/>
                </w:rPr>
                <w:fldChar w:fldCharType="separate"/>
              </w:r>
              <w:r>
                <w:rPr>
                  <w:szCs w:val="18"/>
                </w:rPr>
                <w:t>1</w:t>
              </w:r>
              <w:r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13C25093" w14:textId="77777777" w:rsidR="00934657" w:rsidRPr="00934657" w:rsidRDefault="00934657" w:rsidP="00672F8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CCA2" w14:textId="77777777" w:rsidR="00903109" w:rsidRDefault="00903109">
      <w:r>
        <w:t>____________________</w:t>
      </w:r>
    </w:p>
  </w:footnote>
  <w:footnote w:type="continuationSeparator" w:id="0">
    <w:p w14:paraId="108E91D0" w14:textId="77777777" w:rsidR="00903109" w:rsidRDefault="009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492313" w:rsidRPr="00784011" w14:paraId="233AD319" w14:textId="77777777" w:rsidTr="00B11E3E">
      <w:trPr>
        <w:trHeight w:val="1104"/>
        <w:jc w:val="center"/>
      </w:trPr>
      <w:tc>
        <w:tcPr>
          <w:tcW w:w="4390" w:type="dxa"/>
          <w:vAlign w:val="center"/>
        </w:tcPr>
        <w:p w14:paraId="3601F459" w14:textId="77777777" w:rsidR="00492313" w:rsidRPr="009621F8" w:rsidRDefault="00492313" w:rsidP="0049231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7851785" wp14:editId="77E4428C">
                <wp:extent cx="2764800" cy="558000"/>
                <wp:effectExtent l="0" t="0" r="0" b="0"/>
                <wp:docPr id="253545508" name="Picture 1" descr="A black screen with blue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45508" name="Picture 1" descr="A black screen with blue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060001" w14:textId="675EAA4B" w:rsidR="00492313" w:rsidRPr="00784011" w:rsidRDefault="00492313" w:rsidP="0049231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22C12A6B" w14:textId="77777777" w:rsidR="00492313" w:rsidRDefault="00492313" w:rsidP="0049231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9F105" wp14:editId="65FFFF8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FF60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F66"/>
    <w:multiLevelType w:val="hybridMultilevel"/>
    <w:tmpl w:val="F9D29718"/>
    <w:lvl w:ilvl="0" w:tplc="FF2850A6">
      <w:start w:val="1"/>
      <w:numFmt w:val="decimal"/>
      <w:pStyle w:val="MainTextNumbered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A1638"/>
    <w:multiLevelType w:val="hybridMultilevel"/>
    <w:tmpl w:val="09649332"/>
    <w:lvl w:ilvl="0" w:tplc="B96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B18"/>
    <w:multiLevelType w:val="hybridMultilevel"/>
    <w:tmpl w:val="87101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62C7A"/>
    <w:multiLevelType w:val="hybridMultilevel"/>
    <w:tmpl w:val="171AA56C"/>
    <w:lvl w:ilvl="0" w:tplc="5D86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85"/>
    <w:multiLevelType w:val="hybridMultilevel"/>
    <w:tmpl w:val="17080CC6"/>
    <w:lvl w:ilvl="0" w:tplc="6936AA08">
      <w:start w:val="1"/>
      <w:numFmt w:val="decimal"/>
      <w:pStyle w:val="Number1"/>
      <w:lvlText w:val="1.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25482"/>
    <w:multiLevelType w:val="hybridMultilevel"/>
    <w:tmpl w:val="7CE0F97E"/>
    <w:lvl w:ilvl="0" w:tplc="D5B2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693786">
    <w:abstractNumId w:val="0"/>
  </w:num>
  <w:num w:numId="2" w16cid:durableId="1815222890">
    <w:abstractNumId w:val="2"/>
  </w:num>
  <w:num w:numId="3" w16cid:durableId="965621903">
    <w:abstractNumId w:val="6"/>
  </w:num>
  <w:num w:numId="4" w16cid:durableId="2129275002">
    <w:abstractNumId w:val="1"/>
  </w:num>
  <w:num w:numId="5" w16cid:durableId="1796826036">
    <w:abstractNumId w:val="4"/>
  </w:num>
  <w:num w:numId="6" w16cid:durableId="370111735">
    <w:abstractNumId w:val="7"/>
  </w:num>
  <w:num w:numId="7" w16cid:durableId="114183123">
    <w:abstractNumId w:val="3"/>
  </w:num>
  <w:num w:numId="8" w16cid:durableId="131340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B3DBD"/>
    <w:rsid w:val="000E568E"/>
    <w:rsid w:val="0014734F"/>
    <w:rsid w:val="0015018C"/>
    <w:rsid w:val="0015710D"/>
    <w:rsid w:val="00160B42"/>
    <w:rsid w:val="00163A32"/>
    <w:rsid w:val="00165D06"/>
    <w:rsid w:val="00186E4F"/>
    <w:rsid w:val="00192B41"/>
    <w:rsid w:val="001B7B09"/>
    <w:rsid w:val="001E6719"/>
    <w:rsid w:val="001E7F50"/>
    <w:rsid w:val="0021200D"/>
    <w:rsid w:val="00225368"/>
    <w:rsid w:val="00227FF0"/>
    <w:rsid w:val="00291EB6"/>
    <w:rsid w:val="002D2F57"/>
    <w:rsid w:val="002D48C5"/>
    <w:rsid w:val="00300852"/>
    <w:rsid w:val="0033025A"/>
    <w:rsid w:val="00332C35"/>
    <w:rsid w:val="0036686D"/>
    <w:rsid w:val="003966D7"/>
    <w:rsid w:val="003F099E"/>
    <w:rsid w:val="003F235E"/>
    <w:rsid w:val="004023E0"/>
    <w:rsid w:val="00403DD8"/>
    <w:rsid w:val="00410915"/>
    <w:rsid w:val="0041297C"/>
    <w:rsid w:val="004268C4"/>
    <w:rsid w:val="00442515"/>
    <w:rsid w:val="0045686C"/>
    <w:rsid w:val="00476DD9"/>
    <w:rsid w:val="00490DA5"/>
    <w:rsid w:val="004918C4"/>
    <w:rsid w:val="00492313"/>
    <w:rsid w:val="00497703"/>
    <w:rsid w:val="004A0374"/>
    <w:rsid w:val="004A45B5"/>
    <w:rsid w:val="004D0129"/>
    <w:rsid w:val="005A64D5"/>
    <w:rsid w:val="005B3DEC"/>
    <w:rsid w:val="005C0776"/>
    <w:rsid w:val="00601994"/>
    <w:rsid w:val="006323ED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7F5AE1"/>
    <w:rsid w:val="00807255"/>
    <w:rsid w:val="0081023E"/>
    <w:rsid w:val="00810D30"/>
    <w:rsid w:val="008173AA"/>
    <w:rsid w:val="0082787D"/>
    <w:rsid w:val="00840A14"/>
    <w:rsid w:val="008A3421"/>
    <w:rsid w:val="008B4711"/>
    <w:rsid w:val="008B62B4"/>
    <w:rsid w:val="008D2D7B"/>
    <w:rsid w:val="008E0737"/>
    <w:rsid w:val="008F7C2C"/>
    <w:rsid w:val="00903109"/>
    <w:rsid w:val="00934657"/>
    <w:rsid w:val="00940E96"/>
    <w:rsid w:val="00946D1B"/>
    <w:rsid w:val="009657C5"/>
    <w:rsid w:val="009A78C9"/>
    <w:rsid w:val="009B0BAE"/>
    <w:rsid w:val="009C1C89"/>
    <w:rsid w:val="009F3448"/>
    <w:rsid w:val="00A01CF9"/>
    <w:rsid w:val="00A024F9"/>
    <w:rsid w:val="00A71773"/>
    <w:rsid w:val="00AE2293"/>
    <w:rsid w:val="00AE2C85"/>
    <w:rsid w:val="00B12A37"/>
    <w:rsid w:val="00B200E1"/>
    <w:rsid w:val="00B41837"/>
    <w:rsid w:val="00B63EF2"/>
    <w:rsid w:val="00BA7D89"/>
    <w:rsid w:val="00BC0D39"/>
    <w:rsid w:val="00BC7BC0"/>
    <w:rsid w:val="00BD57B7"/>
    <w:rsid w:val="00BE63E2"/>
    <w:rsid w:val="00C34F8E"/>
    <w:rsid w:val="00C62315"/>
    <w:rsid w:val="00CD2009"/>
    <w:rsid w:val="00CF4694"/>
    <w:rsid w:val="00CF629C"/>
    <w:rsid w:val="00D42F17"/>
    <w:rsid w:val="00D92EEA"/>
    <w:rsid w:val="00DA5D4E"/>
    <w:rsid w:val="00E176BA"/>
    <w:rsid w:val="00E423EC"/>
    <w:rsid w:val="00E55121"/>
    <w:rsid w:val="00EB4FCB"/>
    <w:rsid w:val="00EC50A1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416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0" w:qFormat="1"/>
    <w:lsdException w:name="heading 2" w:uiPriority="11" w:qFormat="1"/>
    <w:lsdException w:name="heading 3" w:uiPriority="1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0"/>
    <w:qFormat/>
    <w:rsid w:val="00946D1B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11"/>
    <w:qFormat/>
    <w:rsid w:val="00946D1B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uiPriority w:val="12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10D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u w:val="single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R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78C9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zzDocType">
    <w:name w:val="zzDocType"/>
    <w:basedOn w:val="Normal"/>
    <w:rsid w:val="00D42F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sz w:val="20"/>
      <w:szCs w:val="24"/>
      <w:lang w:eastAsia="en-GB"/>
    </w:rPr>
  </w:style>
  <w:style w:type="paragraph" w:customStyle="1" w:styleId="zzReporttitle">
    <w:name w:val="zz Report title"/>
    <w:basedOn w:val="Normal"/>
    <w:rsid w:val="00D42F1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200" w:after="200" w:line="560" w:lineRule="exact"/>
    </w:pPr>
    <w:rPr>
      <w:rFonts w:ascii="Arial" w:hAnsi="Arial" w:cs="HelveticaNeue-Light"/>
      <w:color w:val="000000"/>
      <w:spacing w:val="-6"/>
      <w:sz w:val="48"/>
      <w:szCs w:val="56"/>
      <w:lang w:eastAsia="en-GB"/>
    </w:rPr>
  </w:style>
  <w:style w:type="paragraph" w:customStyle="1" w:styleId="zzDepartmentname">
    <w:name w:val="zz Department name"/>
    <w:rsid w:val="00D42F17"/>
    <w:pPr>
      <w:pBdr>
        <w:top w:val="single" w:sz="4" w:space="1" w:color="auto"/>
      </w:pBdr>
      <w:spacing w:before="4000" w:after="120" w:line="276" w:lineRule="auto"/>
    </w:pPr>
    <w:rPr>
      <w:rFonts w:ascii="Arial" w:hAnsi="Arial" w:cs="Arial"/>
      <w:b/>
      <w:position w:val="-36"/>
      <w:sz w:val="28"/>
      <w:szCs w:val="28"/>
      <w:lang w:val="en-GB" w:eastAsia="en-GB"/>
    </w:rPr>
  </w:style>
  <w:style w:type="paragraph" w:customStyle="1" w:styleId="HeaderzzContents">
    <w:name w:val="Header zz Contents"/>
    <w:rsid w:val="00EC50A1"/>
    <w:pPr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 w:eastAsia="en-US"/>
    </w:rPr>
  </w:style>
  <w:style w:type="paragraph" w:customStyle="1" w:styleId="Bullet">
    <w:name w:val="Bullet"/>
    <w:uiPriority w:val="5"/>
    <w:qFormat/>
    <w:rsid w:val="00EC50A1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 w:eastAsia="en-US"/>
    </w:rPr>
  </w:style>
  <w:style w:type="character" w:customStyle="1" w:styleId="Italic">
    <w:name w:val="Italic"/>
    <w:rsid w:val="00EC50A1"/>
    <w:rPr>
      <w:i/>
      <w:iCs/>
    </w:rPr>
  </w:style>
  <w:style w:type="character" w:customStyle="1" w:styleId="Bold">
    <w:name w:val="Bold"/>
    <w:uiPriority w:val="3"/>
    <w:qFormat/>
    <w:rsid w:val="00EC50A1"/>
    <w:rPr>
      <w:b/>
      <w:bCs/>
    </w:rPr>
  </w:style>
  <w:style w:type="paragraph" w:customStyle="1" w:styleId="MainTextNumbered">
    <w:name w:val="MainText Numbered"/>
    <w:basedOn w:val="Number1"/>
    <w:qFormat/>
    <w:rsid w:val="00EC50A1"/>
    <w:pPr>
      <w:numPr>
        <w:numId w:val="2"/>
      </w:numPr>
      <w:tabs>
        <w:tab w:val="clear" w:pos="0"/>
        <w:tab w:val="num" w:pos="360"/>
      </w:tabs>
    </w:pPr>
    <w:rPr>
      <w:rFonts w:cs="Verdana"/>
    </w:rPr>
  </w:style>
  <w:style w:type="paragraph" w:customStyle="1" w:styleId="Number1">
    <w:name w:val="Number 1"/>
    <w:link w:val="Number1Char"/>
    <w:uiPriority w:val="2"/>
    <w:qFormat/>
    <w:rsid w:val="00EC50A1"/>
    <w:pPr>
      <w:numPr>
        <w:numId w:val="3"/>
      </w:numP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hAnsi="Arial" w:cs="Arial"/>
      <w:color w:val="00000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b/>
      <w:bCs/>
      <w:sz w:val="20"/>
    </w:rPr>
  </w:style>
  <w:style w:type="character" w:customStyle="1" w:styleId="Number1Char">
    <w:name w:val="Number 1 Char"/>
    <w:link w:val="Number1"/>
    <w:uiPriority w:val="2"/>
    <w:rsid w:val="00EC50A1"/>
    <w:rPr>
      <w:rFonts w:ascii="Arial" w:hAnsi="Arial" w:cs="Arial"/>
      <w:color w:val="000000"/>
      <w:szCs w:val="24"/>
      <w:lang w:val="en-GB" w:eastAsia="en-US"/>
    </w:rPr>
  </w:style>
  <w:style w:type="paragraph" w:customStyle="1" w:styleId="FigureSource">
    <w:name w:val="Figure Source"/>
    <w:uiPriority w:val="21"/>
    <w:qFormat/>
    <w:rsid w:val="00EC50A1"/>
    <w:pPr>
      <w:spacing w:before="60" w:after="40" w:line="180" w:lineRule="exact"/>
    </w:pPr>
    <w:rPr>
      <w:rFonts w:ascii="Arial" w:hAnsi="Arial"/>
      <w:sz w:val="14"/>
      <w:szCs w:val="16"/>
      <w:lang w:val="en-GB"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20" w:lineRule="exact"/>
      <w:textAlignment w:val="auto"/>
    </w:pPr>
    <w:rPr>
      <w:rFonts w:ascii="Arial" w:hAnsi="Arial"/>
      <w:color w:val="000000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11"/>
    <w:rsid w:val="00946D1B"/>
    <w:rPr>
      <w:rFonts w:ascii="Calibri" w:hAnsi="Calibri"/>
      <w:b/>
      <w:sz w:val="22"/>
      <w:lang w:val="en-GB" w:eastAsia="en-US"/>
    </w:rPr>
  </w:style>
  <w:style w:type="paragraph" w:customStyle="1" w:styleId="ColumnHeading">
    <w:name w:val="Column Heading"/>
    <w:basedOn w:val="Normal"/>
    <w:uiPriority w:val="19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20" w:lineRule="exact"/>
      <w:textAlignment w:val="auto"/>
    </w:pPr>
    <w:rPr>
      <w:rFonts w:ascii="Arial" w:hAnsi="Arial"/>
      <w:b/>
      <w:color w:val="000000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10"/>
    <w:rsid w:val="00946D1B"/>
    <w:rPr>
      <w:rFonts w:ascii="Calibri" w:hAnsi="Calibri"/>
      <w:b/>
      <w:sz w:val="26"/>
      <w:lang w:val="en-GB" w:eastAsia="en-US"/>
    </w:rPr>
  </w:style>
  <w:style w:type="character" w:customStyle="1" w:styleId="FiguretextChar">
    <w:name w:val="Figure text Char"/>
    <w:link w:val="Figuretext"/>
    <w:uiPriority w:val="20"/>
    <w:rsid w:val="00EC50A1"/>
    <w:rPr>
      <w:rFonts w:ascii="Arial" w:hAnsi="Arial"/>
      <w:color w:val="000000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50A1"/>
    <w:rPr>
      <w:rFonts w:ascii="Arial" w:hAnsi="Arial" w:cs="Arial"/>
      <w:szCs w:val="24"/>
      <w:lang w:val="en-GB" w:eastAsia="en-US"/>
    </w:rPr>
  </w:style>
  <w:style w:type="paragraph" w:customStyle="1" w:styleId="KeyFactsStatisticSmall">
    <w:name w:val="Key Facts Statistic Small"/>
    <w:basedOn w:val="BodyText"/>
    <w:qFormat/>
    <w:rsid w:val="00EC50A1"/>
    <w:pPr>
      <w:spacing w:before="60" w:after="60" w:line="280" w:lineRule="exact"/>
    </w:pPr>
    <w:rPr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934657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384-9322-48CA-821A-57A0D3F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1405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cp:keywords>C2024, C24, Council-24</cp:keywords>
  <dc:description/>
  <cp:revision>2</cp:revision>
  <cp:lastPrinted>2006-03-28T16:12:00Z</cp:lastPrinted>
  <dcterms:created xsi:type="dcterms:W3CDTF">2024-08-28T11:39:00Z</dcterms:created>
  <dcterms:modified xsi:type="dcterms:W3CDTF">2024-08-28T11:39:00Z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