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5C9C32A8"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B64595" w:rsidRPr="00B64595">
              <w:rPr>
                <w:rFonts w:cstheme="minorHAnsi"/>
                <w:b/>
                <w:bCs/>
                <w:lang w:val="ru-RU"/>
              </w:rPr>
              <w:t xml:space="preserve">PL </w:t>
            </w:r>
            <w:r w:rsidR="00B42EE5">
              <w:rPr>
                <w:rFonts w:cstheme="minorHAnsi"/>
                <w:b/>
                <w:bCs/>
                <w:lang w:val="ru-RU"/>
              </w:rPr>
              <w:t>3</w:t>
            </w:r>
          </w:p>
        </w:tc>
        <w:tc>
          <w:tcPr>
            <w:tcW w:w="5245" w:type="dxa"/>
          </w:tcPr>
          <w:p w14:paraId="5BFD5B79" w14:textId="40F34140"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460A41">
              <w:rPr>
                <w:b/>
                <w:lang w:val="fr-CH"/>
              </w:rPr>
              <w:t>8</w:t>
            </w:r>
            <w:r w:rsidR="00B42EE5">
              <w:rPr>
                <w:b/>
                <w:lang w:val="fr-CH"/>
              </w:rPr>
              <w:t>6</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09634243" w:rsidR="00E24D59" w:rsidRPr="00E85629" w:rsidRDefault="00B64595" w:rsidP="00E31DCE">
            <w:pPr>
              <w:tabs>
                <w:tab w:val="left" w:pos="851"/>
              </w:tabs>
              <w:spacing w:before="0"/>
              <w:jc w:val="right"/>
              <w:rPr>
                <w:b/>
              </w:rPr>
            </w:pPr>
            <w:r w:rsidRPr="00B64595">
              <w:rPr>
                <w:rFonts w:hint="eastAsia"/>
                <w:b/>
              </w:rPr>
              <w:t>2024</w:t>
            </w:r>
            <w:r w:rsidRPr="00B64595">
              <w:rPr>
                <w:rFonts w:hint="eastAsia"/>
                <w:b/>
              </w:rPr>
              <w:t>年</w:t>
            </w:r>
            <w:r w:rsidRPr="00B64595">
              <w:rPr>
                <w:rFonts w:hint="eastAsia"/>
                <w:b/>
              </w:rPr>
              <w:t>5</w:t>
            </w:r>
            <w:r w:rsidRPr="00B64595">
              <w:rPr>
                <w:rFonts w:hint="eastAsia"/>
                <w:b/>
              </w:rPr>
              <w:t>月</w:t>
            </w:r>
            <w:r w:rsidRPr="00B64595">
              <w:rPr>
                <w:rFonts w:hint="eastAsia"/>
                <w:b/>
              </w:rPr>
              <w:t>2</w:t>
            </w:r>
            <w:r w:rsidR="00460A41">
              <w:rPr>
                <w:b/>
              </w:rPr>
              <w:t>1</w:t>
            </w:r>
            <w:r w:rsidRPr="00B64595">
              <w:rPr>
                <w:rFonts w:hint="eastAsia"/>
                <w:b/>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7166E0C7"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945506">
              <w:rPr>
                <w:rFonts w:cstheme="minorHAnsi" w:hint="eastAsia"/>
                <w:b/>
                <w:bCs/>
                <w:lang w:val="en-US" w:eastAsia="zh-CN"/>
              </w:rPr>
              <w:t>中</w:t>
            </w:r>
            <w:r w:rsidR="00452737">
              <w:rPr>
                <w:rFonts w:cstheme="minorHAnsi" w:hint="eastAsia"/>
                <w:b/>
                <w:bCs/>
                <w:lang w:val="ru-RU" w:eastAsia="zh-CN"/>
              </w:rPr>
              <w:t>文</w:t>
            </w:r>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813E5E" w14:paraId="0837D9B8" w14:textId="77777777" w:rsidTr="00E31DCE">
        <w:trPr>
          <w:cantSplit/>
        </w:trPr>
        <w:tc>
          <w:tcPr>
            <w:tcW w:w="9214" w:type="dxa"/>
            <w:gridSpan w:val="2"/>
            <w:tcMar>
              <w:left w:w="0" w:type="dxa"/>
            </w:tcMar>
          </w:tcPr>
          <w:p w14:paraId="484E8B03" w14:textId="34362372" w:rsidR="00E24D59" w:rsidRPr="00E860EA" w:rsidRDefault="00460A41" w:rsidP="00E24D59">
            <w:pPr>
              <w:pStyle w:val="Source"/>
              <w:jc w:val="left"/>
              <w:rPr>
                <w:sz w:val="34"/>
                <w:szCs w:val="34"/>
                <w:lang w:eastAsia="zh-CN"/>
              </w:rPr>
            </w:pPr>
            <w:bookmarkStart w:id="5" w:name="dsource" w:colFirst="0" w:colLast="0"/>
            <w:bookmarkEnd w:id="4"/>
            <w:r w:rsidRPr="00E860EA">
              <w:rPr>
                <w:rFonts w:cstheme="minorHAnsi" w:hint="eastAsia"/>
                <w:sz w:val="34"/>
                <w:szCs w:val="34"/>
                <w:lang w:val="ru-RU" w:eastAsia="zh-CN"/>
              </w:rPr>
              <w:t>中华人民共和国</w:t>
            </w:r>
            <w:r w:rsidR="005942BC" w:rsidRPr="00E860EA">
              <w:rPr>
                <w:rFonts w:cstheme="minorHAnsi" w:hint="eastAsia"/>
                <w:sz w:val="34"/>
                <w:szCs w:val="34"/>
                <w:lang w:val="ru-RU" w:eastAsia="zh-CN"/>
              </w:rPr>
              <w:t>、</w:t>
            </w:r>
            <w:r w:rsidR="005942BC" w:rsidRPr="00E860EA">
              <w:rPr>
                <w:rFonts w:ascii="SimSun" w:hAnsi="SimSun"/>
                <w:sz w:val="34"/>
                <w:szCs w:val="34"/>
                <w:lang w:eastAsia="zh-CN"/>
              </w:rPr>
              <w:t>亚美尼亚（共和国）</w:t>
            </w:r>
            <w:r w:rsidR="005942BC" w:rsidRPr="00E860EA">
              <w:rPr>
                <w:rFonts w:ascii="SimSun" w:hAnsi="SimSun" w:hint="eastAsia"/>
                <w:sz w:val="34"/>
                <w:szCs w:val="34"/>
                <w:lang w:eastAsia="zh-CN"/>
              </w:rPr>
              <w:t>和</w:t>
            </w:r>
            <w:r w:rsidR="005942BC" w:rsidRPr="00E860EA">
              <w:rPr>
                <w:rFonts w:ascii="SimSun" w:hAnsi="SimSun" w:cstheme="minorHAnsi"/>
                <w:sz w:val="34"/>
                <w:szCs w:val="34"/>
                <w:lang w:eastAsia="zh-CN"/>
              </w:rPr>
              <w:t>古巴</w:t>
            </w:r>
            <w:r w:rsidRPr="00E860EA">
              <w:rPr>
                <w:rFonts w:cstheme="minorHAnsi" w:hint="eastAsia"/>
                <w:sz w:val="34"/>
                <w:szCs w:val="34"/>
                <w:lang w:val="ru-RU" w:eastAsia="zh-CN"/>
              </w:rPr>
              <w:t>的文稿</w:t>
            </w:r>
          </w:p>
        </w:tc>
      </w:tr>
      <w:tr w:rsidR="00E24D59" w:rsidRPr="00813E5E" w14:paraId="0A607CA0" w14:textId="77777777" w:rsidTr="00E31DCE">
        <w:trPr>
          <w:cantSplit/>
        </w:trPr>
        <w:tc>
          <w:tcPr>
            <w:tcW w:w="9214" w:type="dxa"/>
            <w:gridSpan w:val="2"/>
            <w:tcMar>
              <w:left w:w="0" w:type="dxa"/>
            </w:tcMar>
          </w:tcPr>
          <w:p w14:paraId="61A82356" w14:textId="76006AA6" w:rsidR="00E24D59" w:rsidRPr="00E24D59" w:rsidRDefault="00B42EE5" w:rsidP="00E31DCE">
            <w:pPr>
              <w:pStyle w:val="Subtitle"/>
              <w:framePr w:hSpace="0" w:wrap="auto" w:hAnchor="text" w:xAlign="left" w:yAlign="inline"/>
              <w:rPr>
                <w:rFonts w:ascii="SimSun" w:eastAsia="SimSun" w:hAnsi="SimSun"/>
                <w:lang w:eastAsia="zh-CN"/>
              </w:rPr>
            </w:pPr>
            <w:bookmarkStart w:id="6" w:name="dtitle1" w:colFirst="0" w:colLast="0"/>
            <w:bookmarkEnd w:id="5"/>
            <w:r>
              <w:rPr>
                <w:rFonts w:ascii="SimSun" w:eastAsia="SimSun" w:hAnsi="SimSun" w:cstheme="minorHAnsi" w:hint="eastAsia"/>
                <w:lang w:eastAsia="zh-CN"/>
              </w:rPr>
              <w:t>关于全权代表大会改进的建议</w:t>
            </w:r>
          </w:p>
        </w:tc>
      </w:tr>
      <w:tr w:rsidR="00E24D59" w:rsidRPr="00813E5E" w14:paraId="100C8F8F" w14:textId="77777777" w:rsidTr="00E31DCE">
        <w:trPr>
          <w:cantSplit/>
        </w:trPr>
        <w:tc>
          <w:tcPr>
            <w:tcW w:w="9214" w:type="dxa"/>
            <w:gridSpan w:val="2"/>
            <w:tcBorders>
              <w:top w:val="single" w:sz="4" w:space="0" w:color="auto"/>
              <w:bottom w:val="single" w:sz="4" w:space="0" w:color="auto"/>
            </w:tcBorders>
            <w:tcMar>
              <w:left w:w="0" w:type="dxa"/>
            </w:tcMar>
          </w:tcPr>
          <w:p w14:paraId="710BDCA8"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r w:rsidRPr="008F64AD">
              <w:rPr>
                <w:rFonts w:ascii="SimSun" w:eastAsia="SimSun" w:hAnsi="SimSun" w:cstheme="minorHAnsi" w:hint="eastAsia"/>
                <w:b/>
                <w:bCs/>
                <w:sz w:val="26"/>
                <w:szCs w:val="26"/>
                <w:lang w:eastAsia="zh-CN"/>
              </w:rPr>
              <w:t xml:space="preserve"> </w:t>
            </w:r>
          </w:p>
          <w:p w14:paraId="6F1D19D5" w14:textId="640AFC19" w:rsidR="008F64AD" w:rsidRPr="008F64AD" w:rsidRDefault="00B42EE5" w:rsidP="002E2547">
            <w:pPr>
              <w:pStyle w:val="Subtitle"/>
              <w:framePr w:hSpace="0" w:wrap="auto" w:hAnchor="text" w:xAlign="left" w:yAlign="inline"/>
              <w:ind w:firstLineChars="200" w:firstLine="480"/>
              <w:rPr>
                <w:rFonts w:ascii="SimSun" w:eastAsia="SimSun" w:hAnsi="SimSun" w:cstheme="minorHAnsi"/>
                <w:b/>
                <w:bCs/>
                <w:sz w:val="26"/>
                <w:szCs w:val="26"/>
                <w:lang w:eastAsia="zh-CN"/>
              </w:rPr>
            </w:pPr>
            <w:r w:rsidRPr="00B42EE5">
              <w:rPr>
                <w:rFonts w:asciiTheme="minorHAnsi" w:eastAsiaTheme="minorEastAsia" w:hAnsiTheme="minorHAnsi" w:cstheme="minorHAnsi" w:hint="eastAsia"/>
                <w:sz w:val="24"/>
                <w:szCs w:val="24"/>
                <w:lang w:eastAsia="zh-CN"/>
              </w:rPr>
              <w:t>本文件为进一步改进全权代表大会的筹备进程提出建议。</w:t>
            </w:r>
          </w:p>
          <w:p w14:paraId="4A74E382"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0148D80F" w14:textId="32C5F515" w:rsidR="008F64AD" w:rsidRPr="00FC66DD" w:rsidRDefault="00B42EE5" w:rsidP="00460A41">
            <w:pPr>
              <w:pStyle w:val="Subtitle"/>
              <w:framePr w:hSpace="0" w:wrap="auto" w:hAnchor="text" w:xAlign="left" w:yAlign="inline"/>
              <w:ind w:firstLineChars="200" w:firstLine="480"/>
              <w:rPr>
                <w:rFonts w:ascii="SimSun" w:eastAsia="SimSun" w:hAnsi="SimSun" w:cstheme="minorHAnsi"/>
                <w:b/>
                <w:bCs/>
                <w:sz w:val="26"/>
                <w:szCs w:val="26"/>
                <w:lang w:eastAsia="zh-CN"/>
              </w:rPr>
            </w:pPr>
            <w:r w:rsidRPr="00B42EE5">
              <w:rPr>
                <w:rFonts w:asciiTheme="minorHAnsi" w:eastAsiaTheme="minorEastAsia" w:hAnsiTheme="minorHAnsi" w:cstheme="minorHAnsi" w:hint="eastAsia"/>
                <w:sz w:val="24"/>
                <w:szCs w:val="24"/>
                <w:lang w:eastAsia="zh-CN"/>
              </w:rPr>
              <w:t>请理事会考虑文稿建议，并采取适当行动。</w:t>
            </w:r>
          </w:p>
          <w:p w14:paraId="2497D983" w14:textId="77777777" w:rsidR="0060425A" w:rsidRDefault="0060425A" w:rsidP="00E24D59">
            <w:pPr>
              <w:pStyle w:val="Subtitle"/>
              <w:framePr w:hSpace="0" w:wrap="auto" w:hAnchor="text" w:xAlign="left" w:yAlign="inline"/>
              <w:rPr>
                <w:rFonts w:eastAsiaTheme="minorEastAsia"/>
                <w:sz w:val="22"/>
                <w:lang w:eastAsia="zh-CN"/>
              </w:rPr>
            </w:pPr>
            <w:r w:rsidRPr="00CE1BB7">
              <w:rPr>
                <w:sz w:val="22"/>
                <w:lang w:eastAsia="zh-CN"/>
              </w:rPr>
              <w:t>__________________</w:t>
            </w:r>
          </w:p>
          <w:p w14:paraId="35AB8921" w14:textId="51F7A593"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10B87927" w14:textId="277E4507" w:rsidR="00B42EE5" w:rsidRPr="00460A41" w:rsidRDefault="00B42EE5" w:rsidP="0060425A">
            <w:pPr>
              <w:tabs>
                <w:tab w:val="left" w:pos="900"/>
              </w:tabs>
              <w:spacing w:before="60" w:after="60"/>
              <w:jc w:val="both"/>
              <w:rPr>
                <w:lang w:val="en-US" w:eastAsia="zh-CN"/>
              </w:rPr>
            </w:pPr>
            <w:r w:rsidRPr="0060425A">
              <w:rPr>
                <w:rFonts w:asciiTheme="minorHAnsi" w:eastAsia="STKaiti" w:hAnsiTheme="minorHAnsi" w:cstheme="minorHAnsi"/>
                <w:bCs/>
                <w:szCs w:val="24"/>
                <w:lang w:eastAsia="zh-CN"/>
              </w:rPr>
              <w:t>全权代表大会</w:t>
            </w:r>
            <w:hyperlink r:id="rId8" w:history="1">
              <w:r w:rsidRPr="0060425A">
                <w:rPr>
                  <w:rStyle w:val="Hyperlink"/>
                  <w:rFonts w:asciiTheme="minorHAnsi" w:eastAsia="STKaiti" w:hAnsiTheme="minorHAnsi" w:cstheme="minorHAnsi"/>
                  <w:bCs/>
                  <w:szCs w:val="24"/>
                  <w:lang w:val="en-US" w:eastAsia="zh-CN"/>
                </w:rPr>
                <w:t>第</w:t>
              </w:r>
              <w:r w:rsidRPr="0060425A">
                <w:rPr>
                  <w:rStyle w:val="Hyperlink"/>
                  <w:rFonts w:asciiTheme="minorHAnsi" w:eastAsia="STKaiti" w:hAnsiTheme="minorHAnsi" w:cstheme="minorHAnsi"/>
                  <w:bCs/>
                  <w:szCs w:val="24"/>
                  <w:lang w:eastAsia="zh-CN"/>
                </w:rPr>
                <w:t>77</w:t>
              </w:r>
              <w:r w:rsidRPr="0060425A">
                <w:rPr>
                  <w:rStyle w:val="Hyperlink"/>
                  <w:rFonts w:asciiTheme="minorHAnsi" w:eastAsia="STKaiti" w:hAnsiTheme="minorHAnsi" w:cstheme="minorHAnsi"/>
                  <w:bCs/>
                  <w:szCs w:val="24"/>
                  <w:lang w:val="en-US" w:eastAsia="zh-CN"/>
                </w:rPr>
                <w:t>号决议</w:t>
              </w:r>
            </w:hyperlink>
            <w:r w:rsidRPr="0060425A">
              <w:rPr>
                <w:rFonts w:asciiTheme="minorHAnsi" w:eastAsia="STKaiti" w:hAnsiTheme="minorHAnsi" w:cstheme="minorHAnsi"/>
                <w:bCs/>
                <w:szCs w:val="24"/>
                <w:lang w:eastAsia="zh-CN"/>
              </w:rPr>
              <w:t>（</w:t>
            </w:r>
            <w:r w:rsidRPr="0060425A">
              <w:rPr>
                <w:rFonts w:asciiTheme="minorHAnsi" w:eastAsia="STKaiti" w:hAnsiTheme="minorHAnsi" w:cstheme="minorHAnsi"/>
                <w:bCs/>
                <w:szCs w:val="24"/>
                <w:lang w:eastAsia="zh-CN"/>
              </w:rPr>
              <w:t>2022</w:t>
            </w:r>
            <w:r w:rsidRPr="0060425A">
              <w:rPr>
                <w:rFonts w:asciiTheme="minorHAnsi" w:eastAsia="STKaiti" w:hAnsiTheme="minorHAnsi" w:cstheme="minorHAnsi"/>
                <w:bCs/>
                <w:szCs w:val="24"/>
                <w:lang w:eastAsia="zh-CN"/>
              </w:rPr>
              <w:t>年，布加勒斯特，修订版）</w:t>
            </w:r>
            <w:r w:rsidR="0060425A">
              <w:rPr>
                <w:rFonts w:asciiTheme="minorHAnsi" w:eastAsia="STKaiti" w:hAnsiTheme="minorHAnsi" w:cstheme="minorHAnsi"/>
                <w:bCs/>
                <w:szCs w:val="24"/>
                <w:lang w:eastAsia="zh-CN"/>
              </w:rPr>
              <w:br/>
            </w:r>
            <w:r w:rsidRPr="0060425A">
              <w:rPr>
                <w:rFonts w:asciiTheme="minorHAnsi" w:eastAsia="STKaiti" w:hAnsiTheme="minorHAnsi" w:cstheme="minorHAnsi"/>
                <w:szCs w:val="24"/>
                <w:lang w:eastAsia="zh-CN"/>
              </w:rPr>
              <w:t>理事会</w:t>
            </w:r>
            <w:hyperlink r:id="rId9" w:history="1">
              <w:r w:rsidRPr="0060425A">
                <w:rPr>
                  <w:rStyle w:val="Hyperlink"/>
                  <w:rFonts w:asciiTheme="minorHAnsi" w:eastAsia="STKaiti" w:hAnsiTheme="minorHAnsi" w:cstheme="minorHAnsi"/>
                  <w:szCs w:val="24"/>
                  <w:lang w:eastAsia="zh-CN"/>
                </w:rPr>
                <w:t>C19/4</w:t>
              </w:r>
            </w:hyperlink>
            <w:r w:rsidRPr="0060425A">
              <w:rPr>
                <w:rFonts w:asciiTheme="minorHAnsi" w:eastAsia="STKaiti" w:hAnsiTheme="minorHAnsi" w:cstheme="minorHAnsi"/>
                <w:szCs w:val="24"/>
                <w:lang w:eastAsia="zh-CN"/>
              </w:rPr>
              <w:t>、</w:t>
            </w:r>
            <w:hyperlink r:id="rId10" w:history="1">
              <w:r w:rsidRPr="0060425A">
                <w:rPr>
                  <w:rStyle w:val="Hyperlink"/>
                  <w:rFonts w:asciiTheme="minorHAnsi" w:eastAsia="STKaiti" w:hAnsiTheme="minorHAnsi" w:cstheme="minorHAnsi"/>
                  <w:szCs w:val="24"/>
                  <w:lang w:eastAsia="zh-CN"/>
                </w:rPr>
                <w:t>C19/33</w:t>
              </w:r>
            </w:hyperlink>
            <w:r w:rsidRPr="0060425A">
              <w:rPr>
                <w:rFonts w:asciiTheme="minorHAnsi" w:eastAsia="STKaiti" w:hAnsiTheme="minorHAnsi" w:cstheme="minorHAnsi"/>
                <w:szCs w:val="24"/>
                <w:lang w:eastAsia="zh-CN"/>
              </w:rPr>
              <w:t>、</w:t>
            </w:r>
            <w:hyperlink r:id="rId11" w:history="1">
              <w:r w:rsidRPr="0060425A">
                <w:rPr>
                  <w:rStyle w:val="Hyperlink"/>
                  <w:rFonts w:asciiTheme="minorHAnsi" w:eastAsia="STKaiti" w:hAnsiTheme="minorHAnsi" w:cstheme="minorHAnsi"/>
                  <w:szCs w:val="24"/>
                  <w:lang w:eastAsia="zh-CN"/>
                </w:rPr>
                <w:t>C19/45</w:t>
              </w:r>
            </w:hyperlink>
            <w:r w:rsidRPr="0060425A">
              <w:rPr>
                <w:rFonts w:asciiTheme="minorHAnsi" w:eastAsia="STKaiti" w:hAnsiTheme="minorHAnsi" w:cstheme="minorHAnsi"/>
                <w:szCs w:val="24"/>
                <w:lang w:eastAsia="zh-CN"/>
              </w:rPr>
              <w:t>、</w:t>
            </w:r>
            <w:hyperlink r:id="rId12" w:history="1">
              <w:r w:rsidRPr="0060425A">
                <w:rPr>
                  <w:rStyle w:val="Hyperlink"/>
                  <w:rFonts w:asciiTheme="minorHAnsi" w:eastAsia="STKaiti" w:hAnsiTheme="minorHAnsi" w:cstheme="minorHAnsi"/>
                  <w:szCs w:val="24"/>
                  <w:lang w:eastAsia="zh-CN"/>
                </w:rPr>
                <w:t>C19/67</w:t>
              </w:r>
            </w:hyperlink>
            <w:r w:rsidRPr="0060425A">
              <w:rPr>
                <w:rFonts w:asciiTheme="minorHAnsi" w:eastAsia="STKaiti" w:hAnsiTheme="minorHAnsi" w:cstheme="minorHAnsi"/>
                <w:szCs w:val="24"/>
                <w:lang w:eastAsia="zh-CN"/>
              </w:rPr>
              <w:t>、</w:t>
            </w:r>
            <w:hyperlink r:id="rId13" w:history="1">
              <w:r w:rsidRPr="0060425A">
                <w:rPr>
                  <w:rStyle w:val="Hyperlink"/>
                  <w:rFonts w:asciiTheme="minorHAnsi" w:eastAsia="STKaiti" w:hAnsiTheme="minorHAnsi" w:cstheme="minorHAnsi"/>
                  <w:szCs w:val="24"/>
                  <w:lang w:eastAsia="zh-CN"/>
                </w:rPr>
                <w:t>C19/101</w:t>
              </w:r>
            </w:hyperlink>
            <w:r w:rsidRPr="0060425A">
              <w:rPr>
                <w:rFonts w:asciiTheme="minorHAnsi" w:eastAsia="STKaiti" w:hAnsiTheme="minorHAnsi" w:cstheme="minorHAnsi"/>
                <w:szCs w:val="24"/>
                <w:lang w:eastAsia="zh-CN"/>
              </w:rPr>
              <w:t>、</w:t>
            </w:r>
            <w:hyperlink r:id="rId14" w:history="1">
              <w:r w:rsidRPr="0060425A">
                <w:rPr>
                  <w:rStyle w:val="Hyperlink"/>
                  <w:rFonts w:asciiTheme="minorHAnsi" w:eastAsia="STKaiti" w:hAnsiTheme="minorHAnsi" w:cstheme="minorHAnsi"/>
                  <w:szCs w:val="24"/>
                  <w:lang w:eastAsia="zh-CN"/>
                </w:rPr>
                <w:t>C21/13</w:t>
              </w:r>
            </w:hyperlink>
            <w:r w:rsidRPr="0060425A">
              <w:rPr>
                <w:rFonts w:asciiTheme="minorHAnsi" w:eastAsia="STKaiti" w:hAnsiTheme="minorHAnsi" w:cstheme="minorHAnsi"/>
                <w:szCs w:val="24"/>
                <w:lang w:eastAsia="zh-CN"/>
              </w:rPr>
              <w:t>、</w:t>
            </w:r>
            <w:hyperlink r:id="rId15" w:history="1">
              <w:r w:rsidRPr="0060425A">
                <w:rPr>
                  <w:rStyle w:val="Hyperlink"/>
                  <w:rFonts w:asciiTheme="minorHAnsi" w:eastAsia="STKaiti" w:hAnsiTheme="minorHAnsi" w:cstheme="minorHAnsi"/>
                  <w:szCs w:val="24"/>
                  <w:lang w:eastAsia="zh-CN"/>
                </w:rPr>
                <w:t>C22/4</w:t>
              </w:r>
            </w:hyperlink>
            <w:r w:rsidRPr="0060425A">
              <w:rPr>
                <w:rFonts w:asciiTheme="minorHAnsi" w:eastAsia="STKaiti" w:hAnsiTheme="minorHAnsi" w:cstheme="minorHAnsi"/>
                <w:szCs w:val="24"/>
                <w:lang w:eastAsia="zh-CN"/>
              </w:rPr>
              <w:t>、</w:t>
            </w:r>
            <w:hyperlink r:id="rId16" w:history="1">
              <w:r w:rsidRPr="0060425A">
                <w:rPr>
                  <w:rStyle w:val="Hyperlink"/>
                  <w:rFonts w:asciiTheme="minorHAnsi" w:eastAsia="STKaiti" w:hAnsiTheme="minorHAnsi" w:cstheme="minorHAnsi"/>
                  <w:szCs w:val="24"/>
                  <w:lang w:eastAsia="zh-CN"/>
                </w:rPr>
                <w:t>C23/4</w:t>
              </w:r>
            </w:hyperlink>
            <w:r w:rsidRPr="0060425A">
              <w:rPr>
                <w:rFonts w:asciiTheme="minorHAnsi" w:eastAsia="STKaiti" w:hAnsiTheme="minorHAnsi" w:cstheme="minorHAnsi"/>
                <w:szCs w:val="24"/>
                <w:lang w:eastAsia="zh-CN"/>
              </w:rPr>
              <w:t>、</w:t>
            </w:r>
            <w:hyperlink r:id="rId17" w:history="1">
              <w:r w:rsidRPr="0060425A">
                <w:rPr>
                  <w:rStyle w:val="Hyperlink"/>
                  <w:rFonts w:asciiTheme="minorHAnsi" w:eastAsia="STKaiti" w:hAnsiTheme="minorHAnsi" w:cstheme="minorHAnsi"/>
                  <w:szCs w:val="24"/>
                  <w:lang w:eastAsia="zh-CN"/>
                </w:rPr>
                <w:t>C23/84</w:t>
              </w:r>
            </w:hyperlink>
            <w:r w:rsidR="005E7239" w:rsidRPr="0060425A">
              <w:rPr>
                <w:rStyle w:val="Hyperlink"/>
                <w:rFonts w:asciiTheme="minorHAnsi" w:eastAsia="STKaiti" w:hAnsiTheme="minorHAnsi" w:cstheme="minorHAnsi"/>
                <w:color w:val="auto"/>
                <w:szCs w:val="24"/>
                <w:u w:val="none"/>
                <w:lang w:eastAsia="zh-CN"/>
              </w:rPr>
              <w:t>号</w:t>
            </w:r>
            <w:r w:rsidRPr="0060425A">
              <w:rPr>
                <w:rFonts w:asciiTheme="minorHAnsi" w:eastAsia="STKaiti" w:hAnsiTheme="minorHAnsi" w:cstheme="minorHAnsi"/>
                <w:szCs w:val="24"/>
                <w:lang w:eastAsia="zh-CN"/>
              </w:rPr>
              <w:t>文件</w:t>
            </w:r>
            <w:r w:rsidR="0060425A">
              <w:rPr>
                <w:rFonts w:asciiTheme="minorHAnsi" w:eastAsia="STKaiti" w:hAnsiTheme="minorHAnsi" w:cstheme="minorHAnsi"/>
                <w:szCs w:val="24"/>
                <w:lang w:eastAsia="zh-CN"/>
              </w:rPr>
              <w:br/>
            </w:r>
            <w:r w:rsidRPr="0060425A">
              <w:rPr>
                <w:rFonts w:asciiTheme="minorHAnsi" w:eastAsia="STKaiti" w:hAnsiTheme="minorHAnsi" w:cstheme="minorHAnsi"/>
                <w:szCs w:val="24"/>
                <w:lang w:eastAsia="zh-CN"/>
              </w:rPr>
              <w:t>总秘书处问卷</w:t>
            </w:r>
            <w:hyperlink r:id="rId18" w:history="1">
              <w:r w:rsidRPr="0060425A">
                <w:rPr>
                  <w:rStyle w:val="Hyperlink"/>
                  <w:rFonts w:asciiTheme="minorHAnsi" w:eastAsia="STKaiti" w:hAnsiTheme="minorHAnsi" w:cstheme="minorHAnsi"/>
                  <w:szCs w:val="24"/>
                  <w:lang w:eastAsia="zh-CN"/>
                </w:rPr>
                <w:t>CL-19/57</w:t>
              </w:r>
            </w:hyperlink>
            <w:r w:rsidRPr="0060425A">
              <w:rPr>
                <w:rFonts w:asciiTheme="minorHAnsi" w:eastAsia="STKaiti" w:hAnsiTheme="minorHAnsi" w:cstheme="minorHAnsi"/>
                <w:szCs w:val="24"/>
                <w:lang w:eastAsia="zh-CN"/>
              </w:rPr>
              <w:t>、</w:t>
            </w:r>
            <w:hyperlink r:id="rId19" w:history="1">
              <w:r w:rsidRPr="0060425A">
                <w:rPr>
                  <w:rStyle w:val="Hyperlink"/>
                  <w:rFonts w:asciiTheme="minorHAnsi" w:eastAsia="STKaiti" w:hAnsiTheme="minorHAnsi" w:cstheme="minorHAnsi"/>
                  <w:szCs w:val="24"/>
                  <w:lang w:eastAsia="zh-CN"/>
                </w:rPr>
                <w:t>CL-24/11</w:t>
              </w:r>
            </w:hyperlink>
          </w:p>
        </w:tc>
      </w:tr>
      <w:bookmarkEnd w:id="2"/>
      <w:bookmarkEnd w:id="6"/>
    </w:tbl>
    <w:p w14:paraId="4CEC11E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1776AFAB"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163D9477" w14:textId="5B988B35" w:rsidR="00B42EE5" w:rsidRDefault="00B42EE5" w:rsidP="00147814">
      <w:pPr>
        <w:pStyle w:val="Headingb"/>
        <w:rPr>
          <w:lang w:eastAsia="zh-CN"/>
        </w:rPr>
      </w:pPr>
      <w:r>
        <w:rPr>
          <w:rFonts w:hint="eastAsia"/>
          <w:lang w:eastAsia="zh-CN"/>
        </w:rPr>
        <w:lastRenderedPageBreak/>
        <w:t>背景</w:t>
      </w:r>
    </w:p>
    <w:p w14:paraId="537562F6" w14:textId="77777777" w:rsidR="00B42EE5" w:rsidRPr="00E27A67" w:rsidRDefault="00B42EE5" w:rsidP="00B42EE5">
      <w:pPr>
        <w:ind w:firstLineChars="200" w:firstLine="480"/>
        <w:rPr>
          <w:lang w:eastAsia="zh-CN"/>
        </w:rPr>
      </w:pPr>
      <w:r w:rsidRPr="00E27A67">
        <w:rPr>
          <w:rFonts w:hint="eastAsia"/>
          <w:lang w:eastAsia="zh-CN"/>
        </w:rPr>
        <w:t>全权代表大会</w:t>
      </w:r>
      <w:r w:rsidRPr="00E27A67">
        <w:rPr>
          <w:rFonts w:hint="eastAsia"/>
          <w:lang w:eastAsia="zh-CN"/>
        </w:rPr>
        <w:t>77</w:t>
      </w:r>
      <w:r w:rsidRPr="00E27A67">
        <w:rPr>
          <w:rFonts w:hint="eastAsia"/>
          <w:lang w:eastAsia="zh-CN"/>
        </w:rPr>
        <w:t>号决议（</w:t>
      </w:r>
      <w:r w:rsidRPr="00E27A67">
        <w:rPr>
          <w:rFonts w:hint="eastAsia"/>
          <w:lang w:eastAsia="zh-CN"/>
        </w:rPr>
        <w:t>2022</w:t>
      </w:r>
      <w:r w:rsidRPr="00E27A67">
        <w:rPr>
          <w:rFonts w:hint="eastAsia"/>
          <w:lang w:eastAsia="zh-CN"/>
        </w:rPr>
        <w:t>年，布加勒斯特，修订版）责成秘书长</w:t>
      </w:r>
      <w:r w:rsidRPr="00E27A67">
        <w:rPr>
          <w:lang w:eastAsia="zh-CN"/>
        </w:rPr>
        <w:t>向理事会报告</w:t>
      </w:r>
      <w:r w:rsidRPr="00E27A67">
        <w:rPr>
          <w:rFonts w:hint="eastAsia"/>
          <w:lang w:eastAsia="zh-CN"/>
        </w:rPr>
        <w:t>关于国际电联大会和全会</w:t>
      </w:r>
      <w:r w:rsidRPr="00E27A67">
        <w:rPr>
          <w:lang w:eastAsia="zh-CN"/>
        </w:rPr>
        <w:t>的落实情况并酌情提出进一步改进意见</w:t>
      </w:r>
      <w:r w:rsidRPr="00E27A67">
        <w:rPr>
          <w:rFonts w:hint="eastAsia"/>
          <w:lang w:eastAsia="zh-CN"/>
        </w:rPr>
        <w:t>，理事会</w:t>
      </w:r>
      <w:r w:rsidRPr="00E27A67">
        <w:rPr>
          <w:lang w:eastAsia="zh-CN"/>
        </w:rPr>
        <w:t>采取适当措施，向未来各届全权代表大会报告</w:t>
      </w:r>
      <w:r w:rsidRPr="00E27A67">
        <w:rPr>
          <w:rFonts w:hint="eastAsia"/>
          <w:lang w:eastAsia="zh-CN"/>
        </w:rPr>
        <w:t>相关</w:t>
      </w:r>
      <w:r w:rsidRPr="00E27A67">
        <w:rPr>
          <w:lang w:eastAsia="zh-CN"/>
        </w:rPr>
        <w:t>可进行改进</w:t>
      </w:r>
      <w:r w:rsidRPr="00E27A67">
        <w:rPr>
          <w:rFonts w:hint="eastAsia"/>
          <w:lang w:eastAsia="zh-CN"/>
        </w:rPr>
        <w:t>的意见。</w:t>
      </w:r>
    </w:p>
    <w:p w14:paraId="59624704" w14:textId="77777777" w:rsidR="00B42EE5" w:rsidRPr="00E27A67" w:rsidRDefault="00B42EE5" w:rsidP="00B42EE5">
      <w:pPr>
        <w:ind w:firstLineChars="200" w:firstLine="480"/>
        <w:rPr>
          <w:lang w:eastAsia="zh-CN"/>
        </w:rPr>
      </w:pPr>
      <w:r w:rsidRPr="00E27A67">
        <w:rPr>
          <w:rFonts w:hint="eastAsia"/>
          <w:lang w:eastAsia="zh-CN"/>
        </w:rPr>
        <w:t>PP-18</w:t>
      </w:r>
      <w:r w:rsidRPr="00E27A67">
        <w:rPr>
          <w:rFonts w:hint="eastAsia"/>
          <w:lang w:eastAsia="zh-CN"/>
        </w:rPr>
        <w:t>和</w:t>
      </w:r>
      <w:r w:rsidRPr="00E27A67">
        <w:rPr>
          <w:rFonts w:hint="eastAsia"/>
          <w:lang w:eastAsia="zh-CN"/>
        </w:rPr>
        <w:t>PP-22</w:t>
      </w:r>
      <w:r w:rsidRPr="00E27A67">
        <w:rPr>
          <w:rFonts w:hint="eastAsia"/>
          <w:lang w:eastAsia="zh-CN"/>
        </w:rPr>
        <w:t>的主办国分别向</w:t>
      </w:r>
      <w:r w:rsidRPr="00E27A67">
        <w:rPr>
          <w:rFonts w:hint="eastAsia"/>
          <w:lang w:eastAsia="zh-CN"/>
        </w:rPr>
        <w:t>2019</w:t>
      </w:r>
      <w:r w:rsidRPr="00E27A67">
        <w:rPr>
          <w:rFonts w:hint="eastAsia"/>
          <w:lang w:eastAsia="zh-CN"/>
        </w:rPr>
        <w:t>年和</w:t>
      </w:r>
      <w:r w:rsidRPr="00E27A67">
        <w:rPr>
          <w:rFonts w:hint="eastAsia"/>
          <w:lang w:eastAsia="zh-CN"/>
        </w:rPr>
        <w:t>2023</w:t>
      </w:r>
      <w:r w:rsidRPr="00E27A67">
        <w:rPr>
          <w:rFonts w:hint="eastAsia"/>
          <w:lang w:eastAsia="zh-CN"/>
        </w:rPr>
        <w:t>年理事会报告了其举办大会的经验和改进建议，随后总秘书处基于建议，以问卷形式进一步征求理事国意见。其中，</w:t>
      </w:r>
      <w:r w:rsidRPr="00E27A67">
        <w:rPr>
          <w:rFonts w:hint="eastAsia"/>
          <w:lang w:eastAsia="zh-CN"/>
        </w:rPr>
        <w:t>2019</w:t>
      </w:r>
      <w:r w:rsidRPr="00E27A67">
        <w:rPr>
          <w:rFonts w:hint="eastAsia"/>
          <w:lang w:eastAsia="zh-CN"/>
        </w:rPr>
        <w:t>年的问卷主要从加强跨区域筹备、环保办会、加强对参会代表培训等方面征求意见。</w:t>
      </w:r>
      <w:r w:rsidRPr="00E27A67">
        <w:rPr>
          <w:rFonts w:hint="eastAsia"/>
          <w:lang w:eastAsia="zh-CN"/>
        </w:rPr>
        <w:t>2024</w:t>
      </w:r>
      <w:r w:rsidRPr="00E27A67">
        <w:rPr>
          <w:rFonts w:hint="eastAsia"/>
          <w:lang w:eastAsia="zh-CN"/>
        </w:rPr>
        <w:t>年发出的问卷在</w:t>
      </w:r>
      <w:r w:rsidRPr="00E27A67">
        <w:rPr>
          <w:rFonts w:hint="eastAsia"/>
          <w:lang w:eastAsia="zh-CN"/>
        </w:rPr>
        <w:t>2019</w:t>
      </w:r>
      <w:r w:rsidRPr="00E27A67">
        <w:rPr>
          <w:rFonts w:hint="eastAsia"/>
          <w:lang w:eastAsia="zh-CN"/>
        </w:rPr>
        <w:t>版问卷的基础上，提出丰富提高与会者参会体验、提高妇女和青年代表性等建议，同时请理事国考虑缩短文稿、精简决议、对提案的财务影响进行预先评估、对表决和决策流程进行电子化改进、对现行竞选规则增加道德评估等建议。</w:t>
      </w:r>
    </w:p>
    <w:p w14:paraId="2A4B4184" w14:textId="71D1DEE6" w:rsidR="00B42EE5" w:rsidRDefault="00B42EE5" w:rsidP="00147814">
      <w:pPr>
        <w:pStyle w:val="Headingb"/>
        <w:rPr>
          <w:lang w:eastAsia="zh-CN"/>
        </w:rPr>
      </w:pPr>
      <w:r>
        <w:rPr>
          <w:rFonts w:hint="eastAsia"/>
          <w:lang w:eastAsia="zh-CN"/>
        </w:rPr>
        <w:t>讨论</w:t>
      </w:r>
    </w:p>
    <w:p w14:paraId="241D2F5C" w14:textId="359AC86B" w:rsidR="00B42EE5" w:rsidRDefault="00B42EE5" w:rsidP="00B42EE5">
      <w:pPr>
        <w:ind w:firstLineChars="200" w:firstLine="480"/>
        <w:rPr>
          <w:b/>
          <w:bCs/>
          <w:lang w:eastAsia="zh-CN"/>
        </w:rPr>
      </w:pPr>
      <w:r>
        <w:rPr>
          <w:rFonts w:hint="eastAsia"/>
          <w:lang w:eastAsia="zh-CN"/>
        </w:rPr>
        <w:t>全权代表大会是国际电</w:t>
      </w:r>
      <w:proofErr w:type="gramStart"/>
      <w:r>
        <w:rPr>
          <w:rFonts w:hint="eastAsia"/>
          <w:lang w:eastAsia="zh-CN"/>
        </w:rPr>
        <w:t>联最高</w:t>
      </w:r>
      <w:proofErr w:type="gramEnd"/>
      <w:r>
        <w:rPr>
          <w:rFonts w:hint="eastAsia"/>
          <w:lang w:eastAsia="zh-CN"/>
        </w:rPr>
        <w:t>权力机构，将研究确定国际电联发展方向、战略规划和重要政策。</w:t>
      </w:r>
      <w:r w:rsidR="003511AE">
        <w:rPr>
          <w:rFonts w:hint="eastAsia"/>
          <w:lang w:eastAsia="zh-CN"/>
        </w:rPr>
        <w:t>改进</w:t>
      </w:r>
      <w:r>
        <w:rPr>
          <w:rFonts w:hint="eastAsia"/>
          <w:lang w:eastAsia="zh-CN"/>
        </w:rPr>
        <w:t>全权代表大会应符合大会根本目标，并充分回应成员国的突出关切。</w:t>
      </w:r>
    </w:p>
    <w:p w14:paraId="0EAE9E10" w14:textId="77777777" w:rsidR="00B42EE5" w:rsidRDefault="00B42EE5" w:rsidP="00B42EE5">
      <w:pPr>
        <w:ind w:firstLineChars="200" w:firstLine="480"/>
        <w:rPr>
          <w:lang w:eastAsia="zh-CN"/>
        </w:rPr>
      </w:pPr>
      <w:r>
        <w:rPr>
          <w:rFonts w:hint="eastAsia"/>
          <w:lang w:eastAsia="zh-CN"/>
        </w:rPr>
        <w:t>因此，所有代表团的公平参与应作为大会举办最基本的要求，促进所有成员充分讨论其关心的事项应作为大会举办的优先事项。在资源有限的情况下，这两项需求应摆在突出的位置。</w:t>
      </w:r>
    </w:p>
    <w:p w14:paraId="5BF283C8" w14:textId="77033B66" w:rsidR="00B42EE5" w:rsidRDefault="00B42EE5" w:rsidP="00147814">
      <w:pPr>
        <w:pStyle w:val="Headingb"/>
        <w:rPr>
          <w:lang w:eastAsia="zh-CN"/>
        </w:rPr>
      </w:pPr>
      <w:r>
        <w:rPr>
          <w:rFonts w:hint="eastAsia"/>
          <w:lang w:eastAsia="zh-CN"/>
        </w:rPr>
        <w:t>建议</w:t>
      </w:r>
    </w:p>
    <w:p w14:paraId="01B683CD" w14:textId="322AD524" w:rsidR="00B42EE5" w:rsidRDefault="00B42EE5" w:rsidP="00B42EE5">
      <w:pPr>
        <w:rPr>
          <w:lang w:eastAsia="zh-CN"/>
        </w:rPr>
      </w:pPr>
      <w:r>
        <w:rPr>
          <w:rFonts w:hint="eastAsia"/>
          <w:lang w:eastAsia="zh-CN"/>
        </w:rPr>
        <w:t>1</w:t>
      </w:r>
      <w:r>
        <w:rPr>
          <w:lang w:eastAsia="zh-CN"/>
        </w:rPr>
        <w:tab/>
      </w:r>
      <w:r>
        <w:rPr>
          <w:rFonts w:hint="eastAsia"/>
          <w:lang w:eastAsia="zh-CN"/>
        </w:rPr>
        <w:t>将加强区域代表性、保障所有代表团公平参与、促进成员国充分讨论涉及国际电联未来发展方向及战略规划等事项作为大会改进的优先事项。</w:t>
      </w:r>
    </w:p>
    <w:p w14:paraId="51EAF16A" w14:textId="303F9760" w:rsidR="00B42EE5" w:rsidRDefault="00B42EE5" w:rsidP="00B42EE5">
      <w:pPr>
        <w:rPr>
          <w:lang w:eastAsia="zh-CN"/>
        </w:rPr>
      </w:pPr>
      <w:r>
        <w:rPr>
          <w:rFonts w:hint="eastAsia"/>
          <w:lang w:eastAsia="zh-CN"/>
        </w:rPr>
        <w:t>2</w:t>
      </w:r>
      <w:r>
        <w:rPr>
          <w:lang w:eastAsia="zh-CN"/>
        </w:rPr>
        <w:tab/>
      </w:r>
      <w:r>
        <w:rPr>
          <w:rFonts w:hint="eastAsia"/>
          <w:lang w:eastAsia="zh-CN"/>
        </w:rPr>
        <w:t>在议程安排方面，应尽量减少同时举办的边会活动对大会正式议题讨论带来的影响，以避免分散各代表团的参会精力。</w:t>
      </w:r>
    </w:p>
    <w:p w14:paraId="3D3C5437" w14:textId="129F1ACA" w:rsidR="00B42EE5" w:rsidRDefault="00B42EE5" w:rsidP="00B42EE5">
      <w:pPr>
        <w:rPr>
          <w:lang w:eastAsia="zh-CN"/>
        </w:rPr>
      </w:pPr>
      <w:r>
        <w:rPr>
          <w:rFonts w:hint="eastAsia"/>
          <w:lang w:eastAsia="zh-CN"/>
        </w:rPr>
        <w:t>3</w:t>
      </w:r>
      <w:r>
        <w:rPr>
          <w:lang w:eastAsia="zh-CN"/>
        </w:rPr>
        <w:tab/>
      </w:r>
      <w:r>
        <w:rPr>
          <w:rFonts w:hint="eastAsia"/>
          <w:lang w:eastAsia="zh-CN"/>
        </w:rPr>
        <w:t>在网络安全风险日益增长背景下，应慎重考虑对正式的决策活动进行电子化改进，尤其是涉及投票和事项表决等活动。</w:t>
      </w:r>
    </w:p>
    <w:p w14:paraId="4E779141" w14:textId="7CD373D9" w:rsidR="00B42EE5" w:rsidRDefault="00B42EE5" w:rsidP="00B42EE5">
      <w:pPr>
        <w:rPr>
          <w:lang w:eastAsia="zh-CN"/>
        </w:rPr>
      </w:pPr>
      <w:r>
        <w:rPr>
          <w:rFonts w:hint="eastAsia"/>
          <w:lang w:eastAsia="zh-CN"/>
        </w:rPr>
        <w:t>4</w:t>
      </w:r>
      <w:r>
        <w:rPr>
          <w:lang w:eastAsia="zh-CN"/>
        </w:rPr>
        <w:tab/>
      </w:r>
      <w:r>
        <w:rPr>
          <w:rFonts w:hint="eastAsia"/>
          <w:lang w:eastAsia="zh-CN"/>
        </w:rPr>
        <w:t>应鼓励各成员国聚焦大会议程提交文稿，以尽量汇聚各成员国对国际电联工作的建议，建议不对大会文稿篇幅作出硬性限制。</w:t>
      </w:r>
    </w:p>
    <w:p w14:paraId="5C0C4B32" w14:textId="57103C13" w:rsidR="00B42EE5" w:rsidRDefault="00B42EE5" w:rsidP="00B42EE5">
      <w:pPr>
        <w:rPr>
          <w:lang w:val="fr-CH" w:eastAsia="zh-CN"/>
        </w:rPr>
      </w:pPr>
      <w:r>
        <w:rPr>
          <w:rFonts w:hint="eastAsia"/>
          <w:lang w:eastAsia="zh-CN"/>
        </w:rPr>
        <w:t>5</w:t>
      </w:r>
      <w:r>
        <w:rPr>
          <w:lang w:eastAsia="zh-CN"/>
        </w:rPr>
        <w:tab/>
      </w:r>
      <w:r>
        <w:rPr>
          <w:rFonts w:hint="eastAsia"/>
          <w:lang w:eastAsia="zh-CN"/>
        </w:rPr>
        <w:t>应鼓励开展面向参会代表的培训，尤其是加强向发展中成员国参与大会活动的培训。</w:t>
      </w:r>
    </w:p>
    <w:p w14:paraId="24CD64B1" w14:textId="77777777" w:rsidR="002E2547" w:rsidRPr="00B42EE5" w:rsidRDefault="002E2547" w:rsidP="00411C49">
      <w:pPr>
        <w:pStyle w:val="Reasons"/>
        <w:rPr>
          <w:lang w:val="fr-CH" w:eastAsia="zh-CN"/>
        </w:rPr>
      </w:pPr>
    </w:p>
    <w:p w14:paraId="769C9BEF" w14:textId="77777777" w:rsidR="002E2547" w:rsidRDefault="002E2547">
      <w:pPr>
        <w:jc w:val="center"/>
      </w:pPr>
      <w:r>
        <w:t>______________</w:t>
      </w:r>
    </w:p>
    <w:sectPr w:rsidR="002E2547" w:rsidSect="00E24D59">
      <w:footerReference w:type="default" r:id="rId20"/>
      <w:headerReference w:type="first" r:id="rId21"/>
      <w:footerReference w:type="first" r:id="rId2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46B18" w14:textId="77777777" w:rsidR="00E0474D" w:rsidRDefault="00E0474D">
      <w:r>
        <w:separator/>
      </w:r>
    </w:p>
  </w:endnote>
  <w:endnote w:type="continuationSeparator" w:id="0">
    <w:p w14:paraId="1CFC556F" w14:textId="77777777" w:rsidR="00E0474D" w:rsidRDefault="00E0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charset w:val="00"/>
    <w:family w:val="swiss"/>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005F7B8A" w:rsidR="00E24D59" w:rsidRPr="006F746E" w:rsidRDefault="006F746E" w:rsidP="00E24D59">
          <w:pPr>
            <w:pStyle w:val="Header"/>
            <w:jc w:val="left"/>
            <w:rPr>
              <w:rFonts w:eastAsiaTheme="minorEastAsia"/>
              <w:noProof/>
              <w:lang w:eastAsia="zh-CN"/>
            </w:rPr>
          </w:pPr>
          <w:r>
            <w:rPr>
              <w:rFonts w:eastAsiaTheme="minorEastAsia" w:hint="eastAsia"/>
              <w:noProof/>
              <w:lang w:eastAsia="zh-CN"/>
            </w:rPr>
            <w:t>R2400820</w:t>
          </w:r>
        </w:p>
      </w:tc>
      <w:tc>
        <w:tcPr>
          <w:tcW w:w="8261" w:type="dxa"/>
        </w:tcPr>
        <w:p w14:paraId="128C249C" w14:textId="65FDE296"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460A41">
            <w:rPr>
              <w:bCs/>
            </w:rPr>
            <w:t>8</w:t>
          </w:r>
          <w:r w:rsidR="00B42EE5">
            <w:rPr>
              <w:bCs/>
            </w:rPr>
            <w:t>6</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0977243F" w:rsidR="00E24D59" w:rsidRDefault="00E24D59" w:rsidP="00E24D59">
          <w:pPr>
            <w:pStyle w:val="Header"/>
            <w:jc w:val="left"/>
            <w:rPr>
              <w:noProof/>
            </w:rPr>
          </w:pPr>
          <w:r w:rsidRPr="00B93453">
            <w:rPr>
              <w:color w:val="0563C1"/>
              <w:szCs w:val="14"/>
            </w:rPr>
            <w:t>www.itu.int/council</w:t>
          </w:r>
        </w:p>
      </w:tc>
      <w:tc>
        <w:tcPr>
          <w:tcW w:w="8261" w:type="dxa"/>
        </w:tcPr>
        <w:p w14:paraId="5CB609DF" w14:textId="3D583410"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460A41">
            <w:rPr>
              <w:bCs/>
            </w:rPr>
            <w:t>8</w:t>
          </w:r>
          <w:r w:rsidR="00B42EE5">
            <w:rPr>
              <w:bCs/>
            </w:rPr>
            <w:t>6</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0F165" w14:textId="77777777" w:rsidR="00E0474D" w:rsidRDefault="00E0474D">
      <w:r>
        <w:t>____________________</w:t>
      </w:r>
    </w:p>
  </w:footnote>
  <w:footnote w:type="continuationSeparator" w:id="0">
    <w:p w14:paraId="0A523408" w14:textId="77777777" w:rsidR="00E0474D" w:rsidRDefault="00E04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4B888FB1" w:rsidR="00E24D59" w:rsidRPr="009621F8" w:rsidRDefault="00B93453" w:rsidP="00E24D59">
          <w:pPr>
            <w:pStyle w:val="Header"/>
            <w:jc w:val="left"/>
            <w:rPr>
              <w:rFonts w:ascii="Arial" w:hAnsi="Arial" w:cs="Arial"/>
              <w:b/>
              <w:bCs/>
              <w:color w:val="009CD6"/>
              <w:sz w:val="36"/>
              <w:szCs w:val="36"/>
            </w:rPr>
          </w:pPr>
          <w:bookmarkStart w:id="7" w:name="_Hlk133422111"/>
          <w:r>
            <w:rPr>
              <w:noProof/>
            </w:rPr>
            <w:drawing>
              <wp:inline distT="0" distB="0" distL="0" distR="0" wp14:anchorId="7D00D696" wp14:editId="7A28FD21">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DAF5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BBF117C"/>
    <w:multiLevelType w:val="hybridMultilevel"/>
    <w:tmpl w:val="B0B466D8"/>
    <w:lvl w:ilvl="0" w:tplc="5720ECA8">
      <w:start w:val="1"/>
      <w:numFmt w:val="decimal"/>
      <w:lvlText w:val="%1)"/>
      <w:lvlJc w:val="left"/>
      <w:pPr>
        <w:ind w:left="785" w:hanging="36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5" w15:restartNumberingAfterBreak="0">
    <w:nsid w:val="659B413C"/>
    <w:multiLevelType w:val="hybridMultilevel"/>
    <w:tmpl w:val="AC6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A56826"/>
    <w:multiLevelType w:val="hybridMultilevel"/>
    <w:tmpl w:val="A682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449368">
    <w:abstractNumId w:val="0"/>
  </w:num>
  <w:num w:numId="2" w16cid:durableId="501241818">
    <w:abstractNumId w:val="2"/>
  </w:num>
  <w:num w:numId="3" w16cid:durableId="371539808">
    <w:abstractNumId w:val="3"/>
  </w:num>
  <w:num w:numId="4" w16cid:durableId="1525828948">
    <w:abstractNumId w:val="6"/>
  </w:num>
  <w:num w:numId="5" w16cid:durableId="2033219779">
    <w:abstractNumId w:val="8"/>
  </w:num>
  <w:num w:numId="6" w16cid:durableId="349645790">
    <w:abstractNumId w:val="7"/>
  </w:num>
  <w:num w:numId="7" w16cid:durableId="1451586466">
    <w:abstractNumId w:val="1"/>
  </w:num>
  <w:num w:numId="8" w16cid:durableId="711198340">
    <w:abstractNumId w:val="4"/>
  </w:num>
  <w:num w:numId="9" w16cid:durableId="929505924">
    <w:abstractNumId w:val="5"/>
  </w:num>
  <w:num w:numId="10" w16cid:durableId="5496110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358F"/>
    <w:rsid w:val="0000517A"/>
    <w:rsid w:val="00031E72"/>
    <w:rsid w:val="000404D2"/>
    <w:rsid w:val="000853C0"/>
    <w:rsid w:val="0008675D"/>
    <w:rsid w:val="0009409E"/>
    <w:rsid w:val="000A1C21"/>
    <w:rsid w:val="000C0BC5"/>
    <w:rsid w:val="000C5383"/>
    <w:rsid w:val="000D15EA"/>
    <w:rsid w:val="000D382B"/>
    <w:rsid w:val="00100D84"/>
    <w:rsid w:val="00106F17"/>
    <w:rsid w:val="00124C9D"/>
    <w:rsid w:val="00133923"/>
    <w:rsid w:val="00147814"/>
    <w:rsid w:val="00157773"/>
    <w:rsid w:val="0018251A"/>
    <w:rsid w:val="00190272"/>
    <w:rsid w:val="001920C5"/>
    <w:rsid w:val="00193244"/>
    <w:rsid w:val="00195C6C"/>
    <w:rsid w:val="00195FED"/>
    <w:rsid w:val="001A4BD6"/>
    <w:rsid w:val="001D1D49"/>
    <w:rsid w:val="001D5A18"/>
    <w:rsid w:val="001E38FD"/>
    <w:rsid w:val="001E4737"/>
    <w:rsid w:val="001F4214"/>
    <w:rsid w:val="00224449"/>
    <w:rsid w:val="00280EB8"/>
    <w:rsid w:val="00286B44"/>
    <w:rsid w:val="00296E46"/>
    <w:rsid w:val="002A6670"/>
    <w:rsid w:val="002D7749"/>
    <w:rsid w:val="002E2547"/>
    <w:rsid w:val="002E2D34"/>
    <w:rsid w:val="002F1A0F"/>
    <w:rsid w:val="00303502"/>
    <w:rsid w:val="00325C25"/>
    <w:rsid w:val="003511AE"/>
    <w:rsid w:val="00372C8F"/>
    <w:rsid w:val="00380ECE"/>
    <w:rsid w:val="00393DDF"/>
    <w:rsid w:val="003966D7"/>
    <w:rsid w:val="00397F55"/>
    <w:rsid w:val="003B4454"/>
    <w:rsid w:val="003C2E37"/>
    <w:rsid w:val="003F1415"/>
    <w:rsid w:val="0040144C"/>
    <w:rsid w:val="00403EB7"/>
    <w:rsid w:val="00430BF0"/>
    <w:rsid w:val="00452737"/>
    <w:rsid w:val="00460A41"/>
    <w:rsid w:val="004672E6"/>
    <w:rsid w:val="00474ED1"/>
    <w:rsid w:val="00485B5F"/>
    <w:rsid w:val="00491D9A"/>
    <w:rsid w:val="00493085"/>
    <w:rsid w:val="004A36EC"/>
    <w:rsid w:val="004B741F"/>
    <w:rsid w:val="004D163F"/>
    <w:rsid w:val="004E4BFF"/>
    <w:rsid w:val="004F2598"/>
    <w:rsid w:val="005403F7"/>
    <w:rsid w:val="00540632"/>
    <w:rsid w:val="00541CF4"/>
    <w:rsid w:val="005451E8"/>
    <w:rsid w:val="005507F2"/>
    <w:rsid w:val="00550ACE"/>
    <w:rsid w:val="005759CC"/>
    <w:rsid w:val="005942BC"/>
    <w:rsid w:val="005A72E1"/>
    <w:rsid w:val="005B5EB9"/>
    <w:rsid w:val="005C6632"/>
    <w:rsid w:val="005D1C9E"/>
    <w:rsid w:val="005E7239"/>
    <w:rsid w:val="0060425A"/>
    <w:rsid w:val="00630DD5"/>
    <w:rsid w:val="00654257"/>
    <w:rsid w:val="0065435A"/>
    <w:rsid w:val="006A20C0"/>
    <w:rsid w:val="006A2DD3"/>
    <w:rsid w:val="006A5AF8"/>
    <w:rsid w:val="006C36CD"/>
    <w:rsid w:val="006F746E"/>
    <w:rsid w:val="00700D1F"/>
    <w:rsid w:val="007205CB"/>
    <w:rsid w:val="00726073"/>
    <w:rsid w:val="00734FE8"/>
    <w:rsid w:val="007360CE"/>
    <w:rsid w:val="00743429"/>
    <w:rsid w:val="00745E2F"/>
    <w:rsid w:val="00772315"/>
    <w:rsid w:val="00775157"/>
    <w:rsid w:val="007813AE"/>
    <w:rsid w:val="007A37DB"/>
    <w:rsid w:val="007B2553"/>
    <w:rsid w:val="007D5566"/>
    <w:rsid w:val="007E189D"/>
    <w:rsid w:val="007F0210"/>
    <w:rsid w:val="008030C3"/>
    <w:rsid w:val="00806E3F"/>
    <w:rsid w:val="00811259"/>
    <w:rsid w:val="00813AA2"/>
    <w:rsid w:val="008173A3"/>
    <w:rsid w:val="008418F5"/>
    <w:rsid w:val="0086059C"/>
    <w:rsid w:val="00864589"/>
    <w:rsid w:val="0087339F"/>
    <w:rsid w:val="00874C82"/>
    <w:rsid w:val="00890AFB"/>
    <w:rsid w:val="00890FC4"/>
    <w:rsid w:val="00895905"/>
    <w:rsid w:val="008C6B90"/>
    <w:rsid w:val="008D0E25"/>
    <w:rsid w:val="008F64AD"/>
    <w:rsid w:val="00911867"/>
    <w:rsid w:val="009164A9"/>
    <w:rsid w:val="00922239"/>
    <w:rsid w:val="009258CB"/>
    <w:rsid w:val="0093362E"/>
    <w:rsid w:val="00944563"/>
    <w:rsid w:val="00945506"/>
    <w:rsid w:val="00953160"/>
    <w:rsid w:val="009625D8"/>
    <w:rsid w:val="0098459B"/>
    <w:rsid w:val="00997185"/>
    <w:rsid w:val="009B584B"/>
    <w:rsid w:val="009C2458"/>
    <w:rsid w:val="009C4A7B"/>
    <w:rsid w:val="009C6123"/>
    <w:rsid w:val="009F1E3E"/>
    <w:rsid w:val="00A1213C"/>
    <w:rsid w:val="00A272FF"/>
    <w:rsid w:val="00A47779"/>
    <w:rsid w:val="00A5354B"/>
    <w:rsid w:val="00A66E62"/>
    <w:rsid w:val="00A71B57"/>
    <w:rsid w:val="00A92CDE"/>
    <w:rsid w:val="00AB3579"/>
    <w:rsid w:val="00AB42C1"/>
    <w:rsid w:val="00AB58EA"/>
    <w:rsid w:val="00AC516F"/>
    <w:rsid w:val="00AD7AEF"/>
    <w:rsid w:val="00AE195F"/>
    <w:rsid w:val="00AE2926"/>
    <w:rsid w:val="00AF1D7D"/>
    <w:rsid w:val="00B0184B"/>
    <w:rsid w:val="00B035CD"/>
    <w:rsid w:val="00B0769D"/>
    <w:rsid w:val="00B217F8"/>
    <w:rsid w:val="00B332EA"/>
    <w:rsid w:val="00B40A53"/>
    <w:rsid w:val="00B42EE5"/>
    <w:rsid w:val="00B45365"/>
    <w:rsid w:val="00B46A65"/>
    <w:rsid w:val="00B47AD0"/>
    <w:rsid w:val="00B56DB9"/>
    <w:rsid w:val="00B60184"/>
    <w:rsid w:val="00B62D20"/>
    <w:rsid w:val="00B64595"/>
    <w:rsid w:val="00B81E75"/>
    <w:rsid w:val="00B93453"/>
    <w:rsid w:val="00BD0954"/>
    <w:rsid w:val="00BD1A5A"/>
    <w:rsid w:val="00BD7A9B"/>
    <w:rsid w:val="00BD7BE1"/>
    <w:rsid w:val="00BE7AD7"/>
    <w:rsid w:val="00BF416B"/>
    <w:rsid w:val="00C45EB2"/>
    <w:rsid w:val="00C52EA5"/>
    <w:rsid w:val="00C617CE"/>
    <w:rsid w:val="00C64E4E"/>
    <w:rsid w:val="00C66E64"/>
    <w:rsid w:val="00C761A0"/>
    <w:rsid w:val="00C85F7E"/>
    <w:rsid w:val="00C90D53"/>
    <w:rsid w:val="00C927A1"/>
    <w:rsid w:val="00CA0B2E"/>
    <w:rsid w:val="00CA6EF7"/>
    <w:rsid w:val="00CD47F0"/>
    <w:rsid w:val="00CD5566"/>
    <w:rsid w:val="00CD64D7"/>
    <w:rsid w:val="00CE6F22"/>
    <w:rsid w:val="00CF41F6"/>
    <w:rsid w:val="00CF7D3E"/>
    <w:rsid w:val="00D02B4E"/>
    <w:rsid w:val="00D21F11"/>
    <w:rsid w:val="00D32C7F"/>
    <w:rsid w:val="00D36817"/>
    <w:rsid w:val="00D453EE"/>
    <w:rsid w:val="00D5666C"/>
    <w:rsid w:val="00D666BC"/>
    <w:rsid w:val="00D7619A"/>
    <w:rsid w:val="00D83542"/>
    <w:rsid w:val="00D92F45"/>
    <w:rsid w:val="00D94637"/>
    <w:rsid w:val="00D9725C"/>
    <w:rsid w:val="00DA7006"/>
    <w:rsid w:val="00DB3621"/>
    <w:rsid w:val="00DB7933"/>
    <w:rsid w:val="00DC6427"/>
    <w:rsid w:val="00DD0C62"/>
    <w:rsid w:val="00DD62F5"/>
    <w:rsid w:val="00DD66A1"/>
    <w:rsid w:val="00DE196D"/>
    <w:rsid w:val="00DF0167"/>
    <w:rsid w:val="00DF6B49"/>
    <w:rsid w:val="00E0474D"/>
    <w:rsid w:val="00E067C5"/>
    <w:rsid w:val="00E24D59"/>
    <w:rsid w:val="00E265BF"/>
    <w:rsid w:val="00E343A9"/>
    <w:rsid w:val="00E378D8"/>
    <w:rsid w:val="00E43A12"/>
    <w:rsid w:val="00E67C67"/>
    <w:rsid w:val="00E77476"/>
    <w:rsid w:val="00E8228B"/>
    <w:rsid w:val="00E860EA"/>
    <w:rsid w:val="00EE5706"/>
    <w:rsid w:val="00EF373D"/>
    <w:rsid w:val="00F07D44"/>
    <w:rsid w:val="00F11342"/>
    <w:rsid w:val="00F11595"/>
    <w:rsid w:val="00F13BC9"/>
    <w:rsid w:val="00F33790"/>
    <w:rsid w:val="00F357B2"/>
    <w:rsid w:val="00F36556"/>
    <w:rsid w:val="00F705DF"/>
    <w:rsid w:val="00F70622"/>
    <w:rsid w:val="00F85624"/>
    <w:rsid w:val="00F87C05"/>
    <w:rsid w:val="00F93191"/>
    <w:rsid w:val="00F93A17"/>
    <w:rsid w:val="00FA2AF6"/>
    <w:rsid w:val="00FB073D"/>
    <w:rsid w:val="00FB771F"/>
    <w:rsid w:val="00FC5386"/>
    <w:rsid w:val="00FC66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2E2547"/>
    <w:rPr>
      <w:color w:val="605E5C"/>
      <w:shd w:val="clear" w:color="auto" w:fill="E1DFDD"/>
    </w:rPr>
  </w:style>
  <w:style w:type="character" w:customStyle="1" w:styleId="normaltextrun">
    <w:name w:val="normaltextrun"/>
    <w:basedOn w:val="DefaultParagraphFont"/>
    <w:qFormat/>
    <w:rsid w:val="00460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77-C.pdf" TargetMode="External"/><Relationship Id="rId13" Type="http://schemas.openxmlformats.org/officeDocument/2006/relationships/hyperlink" Target="https://www.itu.int/md/S19-CL-C-0101/en" TargetMode="External"/><Relationship Id="rId18" Type="http://schemas.openxmlformats.org/officeDocument/2006/relationships/hyperlink" Target="https://www.itu.int/md/S19-SG-CIR-0057/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19-CL-C-0067/en" TargetMode="External"/><Relationship Id="rId17" Type="http://schemas.openxmlformats.org/officeDocument/2006/relationships/hyperlink" Target="https://www.itu.int/md/S23-CL-C-0084/en" TargetMode="External"/><Relationship Id="rId2" Type="http://schemas.openxmlformats.org/officeDocument/2006/relationships/numbering" Target="numbering.xml"/><Relationship Id="rId16" Type="http://schemas.openxmlformats.org/officeDocument/2006/relationships/hyperlink" Target="https://www.itu.int/md/S23-CL-C-0004/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045/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2-CL-C-0004/en" TargetMode="External"/><Relationship Id="rId23" Type="http://schemas.openxmlformats.org/officeDocument/2006/relationships/fontTable" Target="fontTable.xml"/><Relationship Id="rId10" Type="http://schemas.openxmlformats.org/officeDocument/2006/relationships/hyperlink" Target="https://www.itu.int/md/S19-CL-C-0033/en" TargetMode="External"/><Relationship Id="rId19" Type="http://schemas.openxmlformats.org/officeDocument/2006/relationships/hyperlink" Target="https://www.itu.int/md/S24-SG-CIR-0011/en" TargetMode="External"/><Relationship Id="rId4" Type="http://schemas.openxmlformats.org/officeDocument/2006/relationships/settings" Target="settings.xml"/><Relationship Id="rId9" Type="http://schemas.openxmlformats.org/officeDocument/2006/relationships/hyperlink" Target="https://www.itu.int/md/S19-CL-C-0004/en" TargetMode="External"/><Relationship Id="rId14" Type="http://schemas.openxmlformats.org/officeDocument/2006/relationships/hyperlink" Target="https://www.itu.int/md/S21-CL-C-0013/en"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ppData\Local\Microsoft\Windows\INetCache\Content.Outlook\ISBZTKHC\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1</TotalTime>
  <Pages>2</Pages>
  <Words>908</Words>
  <Characters>877</Characters>
  <Application>Microsoft Office Word</Application>
  <DocSecurity>0</DocSecurity>
  <Lines>7</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1782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cp:keywords>C2024, C24 Council-24</cp:keywords>
  <dc:description/>
  <cp:revision>2</cp:revision>
  <cp:lastPrinted>2015-02-24T13:23:00Z</cp:lastPrinted>
  <dcterms:created xsi:type="dcterms:W3CDTF">2024-08-28T11:45:00Z</dcterms:created>
  <dcterms:modified xsi:type="dcterms:W3CDTF">2024-08-28T11:45:00Z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