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4A0" w:firstRow="1" w:lastRow="0" w:firstColumn="1" w:lastColumn="0" w:noHBand="0" w:noVBand="1"/>
      </w:tblPr>
      <w:tblGrid>
        <w:gridCol w:w="3969"/>
        <w:gridCol w:w="5245"/>
      </w:tblGrid>
      <w:tr w:rsidR="00781A58" w:rsidRPr="008A3012" w14:paraId="18D51914" w14:textId="77777777">
        <w:trPr>
          <w:cantSplit/>
          <w:trHeight w:val="23"/>
        </w:trPr>
        <w:tc>
          <w:tcPr>
            <w:tcW w:w="3969" w:type="dxa"/>
            <w:vMerge w:val="restart"/>
            <w:tcMar>
              <w:left w:w="0" w:type="dxa"/>
            </w:tcMar>
          </w:tcPr>
          <w:p w14:paraId="36D89A54" w14:textId="77777777" w:rsidR="00781A58" w:rsidRPr="008A3012" w:rsidRDefault="00AB016E">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8A3012">
              <w:rPr>
                <w:b/>
              </w:rPr>
              <w:t>Agenda item: PL 2</w:t>
            </w:r>
          </w:p>
        </w:tc>
        <w:tc>
          <w:tcPr>
            <w:tcW w:w="5245" w:type="dxa"/>
          </w:tcPr>
          <w:p w14:paraId="2EA55C5D" w14:textId="0CF93422" w:rsidR="00781A58" w:rsidRPr="008A3012" w:rsidRDefault="008A3012">
            <w:pPr>
              <w:tabs>
                <w:tab w:val="left" w:pos="851"/>
              </w:tabs>
              <w:spacing w:before="0" w:line="240" w:lineRule="atLeast"/>
              <w:jc w:val="right"/>
              <w:rPr>
                <w:b/>
              </w:rPr>
            </w:pPr>
            <w:r w:rsidRPr="008A3012">
              <w:rPr>
                <w:b/>
              </w:rPr>
              <w:t>Revision 1 to</w:t>
            </w:r>
            <w:r w:rsidRPr="008A3012">
              <w:rPr>
                <w:b/>
              </w:rPr>
              <w:br/>
            </w:r>
            <w:r w:rsidR="00AB016E" w:rsidRPr="008A3012">
              <w:rPr>
                <w:b/>
              </w:rPr>
              <w:t>Document C24/85-E</w:t>
            </w:r>
          </w:p>
        </w:tc>
      </w:tr>
      <w:tr w:rsidR="00781A58" w:rsidRPr="008A3012" w14:paraId="2E88EA79" w14:textId="77777777">
        <w:trPr>
          <w:cantSplit/>
        </w:trPr>
        <w:tc>
          <w:tcPr>
            <w:tcW w:w="3969" w:type="dxa"/>
            <w:vMerge/>
          </w:tcPr>
          <w:p w14:paraId="422FDE12" w14:textId="77777777" w:rsidR="00781A58" w:rsidRPr="008A3012" w:rsidRDefault="00781A58">
            <w:pPr>
              <w:tabs>
                <w:tab w:val="left" w:pos="851"/>
              </w:tabs>
              <w:spacing w:line="240" w:lineRule="atLeast"/>
              <w:rPr>
                <w:b/>
              </w:rPr>
            </w:pPr>
            <w:bookmarkStart w:id="6" w:name="ddate" w:colFirst="1" w:colLast="1"/>
            <w:bookmarkEnd w:id="0"/>
            <w:bookmarkEnd w:id="1"/>
          </w:p>
        </w:tc>
        <w:tc>
          <w:tcPr>
            <w:tcW w:w="5245" w:type="dxa"/>
          </w:tcPr>
          <w:p w14:paraId="41672F28" w14:textId="6F45864F" w:rsidR="00781A58" w:rsidRPr="008A3012" w:rsidRDefault="008A3012">
            <w:pPr>
              <w:tabs>
                <w:tab w:val="left" w:pos="851"/>
              </w:tabs>
              <w:spacing w:before="0"/>
              <w:jc w:val="right"/>
              <w:rPr>
                <w:b/>
              </w:rPr>
            </w:pPr>
            <w:r w:rsidRPr="008A3012">
              <w:rPr>
                <w:b/>
              </w:rPr>
              <w:t xml:space="preserve">10 June </w:t>
            </w:r>
            <w:r w:rsidR="00AB016E" w:rsidRPr="008A3012">
              <w:rPr>
                <w:b/>
              </w:rPr>
              <w:t>2024</w:t>
            </w:r>
          </w:p>
        </w:tc>
      </w:tr>
      <w:tr w:rsidR="00781A58" w:rsidRPr="008A3012" w14:paraId="02754A07" w14:textId="77777777">
        <w:trPr>
          <w:cantSplit/>
          <w:trHeight w:val="23"/>
        </w:trPr>
        <w:tc>
          <w:tcPr>
            <w:tcW w:w="3969" w:type="dxa"/>
            <w:vMerge/>
          </w:tcPr>
          <w:p w14:paraId="5597EEBC" w14:textId="77777777" w:rsidR="00781A58" w:rsidRPr="008A3012" w:rsidRDefault="00781A58">
            <w:pPr>
              <w:tabs>
                <w:tab w:val="left" w:pos="851"/>
              </w:tabs>
              <w:spacing w:line="240" w:lineRule="atLeast"/>
              <w:rPr>
                <w:b/>
              </w:rPr>
            </w:pPr>
            <w:bookmarkStart w:id="7" w:name="dorlang" w:colFirst="1" w:colLast="1"/>
            <w:bookmarkEnd w:id="6"/>
          </w:p>
        </w:tc>
        <w:tc>
          <w:tcPr>
            <w:tcW w:w="5245" w:type="dxa"/>
          </w:tcPr>
          <w:p w14:paraId="40AE86C7" w14:textId="77777777" w:rsidR="00781A58" w:rsidRPr="008A3012" w:rsidRDefault="00AB016E">
            <w:pPr>
              <w:tabs>
                <w:tab w:val="left" w:pos="851"/>
              </w:tabs>
              <w:spacing w:before="0" w:line="240" w:lineRule="atLeast"/>
              <w:jc w:val="right"/>
              <w:rPr>
                <w:b/>
              </w:rPr>
            </w:pPr>
            <w:r w:rsidRPr="008A3012">
              <w:rPr>
                <w:b/>
              </w:rPr>
              <w:t>Original: Chinese</w:t>
            </w:r>
          </w:p>
        </w:tc>
      </w:tr>
      <w:tr w:rsidR="00781A58" w:rsidRPr="008A3012" w14:paraId="2DD149AD" w14:textId="77777777">
        <w:trPr>
          <w:cantSplit/>
          <w:trHeight w:val="23"/>
        </w:trPr>
        <w:tc>
          <w:tcPr>
            <w:tcW w:w="3969" w:type="dxa"/>
          </w:tcPr>
          <w:p w14:paraId="68A597D4" w14:textId="77777777" w:rsidR="00781A58" w:rsidRPr="008A3012" w:rsidRDefault="00781A58">
            <w:pPr>
              <w:tabs>
                <w:tab w:val="left" w:pos="851"/>
              </w:tabs>
              <w:spacing w:line="240" w:lineRule="atLeast"/>
              <w:rPr>
                <w:b/>
              </w:rPr>
            </w:pPr>
          </w:p>
        </w:tc>
        <w:tc>
          <w:tcPr>
            <w:tcW w:w="5245" w:type="dxa"/>
          </w:tcPr>
          <w:p w14:paraId="33BE7D14" w14:textId="77777777" w:rsidR="00781A58" w:rsidRPr="008A3012" w:rsidRDefault="00781A58">
            <w:pPr>
              <w:tabs>
                <w:tab w:val="left" w:pos="851"/>
              </w:tabs>
              <w:spacing w:before="0" w:line="240" w:lineRule="atLeast"/>
              <w:jc w:val="right"/>
              <w:rPr>
                <w:b/>
              </w:rPr>
            </w:pPr>
          </w:p>
        </w:tc>
      </w:tr>
      <w:tr w:rsidR="00781A58" w:rsidRPr="008A3012" w14:paraId="27DC2A08" w14:textId="77777777">
        <w:trPr>
          <w:cantSplit/>
        </w:trPr>
        <w:tc>
          <w:tcPr>
            <w:tcW w:w="9214" w:type="dxa"/>
            <w:gridSpan w:val="2"/>
            <w:tcMar>
              <w:left w:w="0" w:type="dxa"/>
            </w:tcMar>
          </w:tcPr>
          <w:p w14:paraId="51042A6B" w14:textId="116496FB" w:rsidR="00781A58" w:rsidRPr="008A3012" w:rsidRDefault="00AB016E">
            <w:pPr>
              <w:pStyle w:val="Source"/>
              <w:framePr w:hSpace="0" w:wrap="auto" w:vAnchor="margin" w:hAnchor="text" w:xAlign="left" w:yAlign="inline"/>
            </w:pPr>
            <w:bookmarkStart w:id="8" w:name="lt_pId008"/>
            <w:bookmarkStart w:id="9" w:name="dsource" w:colFirst="0" w:colLast="0"/>
            <w:bookmarkEnd w:id="7"/>
            <w:r w:rsidRPr="008A3012">
              <w:t xml:space="preserve">Contribution from </w:t>
            </w:r>
            <w:bookmarkEnd w:id="8"/>
            <w:r w:rsidR="008A3012" w:rsidRPr="008A3012">
              <w:t>China (People's Republic of) and</w:t>
            </w:r>
            <w:r w:rsidRPr="008A3012">
              <w:t xml:space="preserve"> Brazil (Federative Republic of), Cuba</w:t>
            </w:r>
            <w:r w:rsidRPr="008A3012">
              <w:rPr>
                <w:lang w:eastAsia="zh-CN"/>
              </w:rPr>
              <w:t xml:space="preserve">, </w:t>
            </w:r>
            <w:r w:rsidR="008A3012" w:rsidRPr="008A3012">
              <w:t>Russian Federation</w:t>
            </w:r>
            <w:r w:rsidR="008A3012" w:rsidRPr="008A3012">
              <w:rPr>
                <w:lang w:eastAsia="zh-CN"/>
              </w:rPr>
              <w:t xml:space="preserve"> and </w:t>
            </w:r>
            <w:r w:rsidR="008A3012" w:rsidRPr="008A3012">
              <w:rPr>
                <w:lang w:eastAsia="zh-CN"/>
              </w:rPr>
              <w:br/>
            </w:r>
            <w:r w:rsidRPr="008A3012">
              <w:rPr>
                <w:lang w:eastAsia="zh-CN"/>
              </w:rPr>
              <w:t>Pakistan (Islamic Republic of)</w:t>
            </w:r>
          </w:p>
        </w:tc>
      </w:tr>
      <w:tr w:rsidR="00781A58" w:rsidRPr="008A3012" w14:paraId="30191C03" w14:textId="77777777">
        <w:trPr>
          <w:cantSplit/>
        </w:trPr>
        <w:tc>
          <w:tcPr>
            <w:tcW w:w="9214" w:type="dxa"/>
            <w:gridSpan w:val="2"/>
            <w:tcMar>
              <w:left w:w="0" w:type="dxa"/>
            </w:tcMar>
          </w:tcPr>
          <w:p w14:paraId="4445429B" w14:textId="77777777" w:rsidR="00781A58" w:rsidRPr="008A3012" w:rsidRDefault="00AB016E">
            <w:pPr>
              <w:pStyle w:val="Subtitle"/>
              <w:framePr w:hSpace="0" w:wrap="auto" w:xAlign="left" w:yAlign="inline"/>
            </w:pPr>
            <w:bookmarkStart w:id="10" w:name="dtitle1" w:colFirst="0" w:colLast="0"/>
            <w:bookmarkEnd w:id="9"/>
            <w:r w:rsidRPr="008A3012">
              <w:t xml:space="preserve">PROPOSAL TO ESTABLISH A </w:t>
            </w:r>
            <w:r w:rsidRPr="008A3012">
              <w:t>COUNCIL WORKING GROUP ON ARTIFICIAL INTELLIGENCE</w:t>
            </w:r>
          </w:p>
        </w:tc>
      </w:tr>
      <w:tr w:rsidR="00781A58" w:rsidRPr="008A3012" w14:paraId="7214CAEB" w14:textId="77777777">
        <w:trPr>
          <w:cantSplit/>
        </w:trPr>
        <w:tc>
          <w:tcPr>
            <w:tcW w:w="9214" w:type="dxa"/>
            <w:gridSpan w:val="2"/>
            <w:tcBorders>
              <w:top w:val="single" w:sz="4" w:space="0" w:color="auto"/>
              <w:bottom w:val="single" w:sz="4" w:space="0" w:color="auto"/>
            </w:tcBorders>
            <w:tcMar>
              <w:left w:w="0" w:type="dxa"/>
            </w:tcMar>
          </w:tcPr>
          <w:p w14:paraId="4E54618D" w14:textId="77777777" w:rsidR="00781A58" w:rsidRPr="008A3012" w:rsidRDefault="00AB016E">
            <w:pPr>
              <w:spacing w:before="160"/>
              <w:rPr>
                <w:b/>
                <w:bCs/>
                <w:sz w:val="26"/>
                <w:szCs w:val="26"/>
              </w:rPr>
            </w:pPr>
            <w:r w:rsidRPr="008A3012">
              <w:rPr>
                <w:b/>
                <w:bCs/>
                <w:sz w:val="26"/>
                <w:szCs w:val="26"/>
              </w:rPr>
              <w:t>Purpose</w:t>
            </w:r>
          </w:p>
          <w:p w14:paraId="162F3C7C" w14:textId="77777777" w:rsidR="00781A58" w:rsidRPr="008A3012" w:rsidRDefault="00AB016E">
            <w:r w:rsidRPr="008A3012">
              <w:t>This document proposes the creation of a Council working group on artificial intelligence.</w:t>
            </w:r>
          </w:p>
          <w:p w14:paraId="2D3027DB" w14:textId="77777777" w:rsidR="00781A58" w:rsidRPr="008A3012" w:rsidRDefault="00AB016E">
            <w:pPr>
              <w:spacing w:before="160"/>
              <w:rPr>
                <w:b/>
                <w:bCs/>
                <w:sz w:val="26"/>
                <w:szCs w:val="26"/>
              </w:rPr>
            </w:pPr>
            <w:r w:rsidRPr="008A3012">
              <w:rPr>
                <w:b/>
                <w:bCs/>
                <w:sz w:val="26"/>
                <w:szCs w:val="26"/>
              </w:rPr>
              <w:t>Action required by the Council</w:t>
            </w:r>
          </w:p>
          <w:p w14:paraId="2B75C8FD" w14:textId="77777777" w:rsidR="00781A58" w:rsidRPr="008A3012" w:rsidRDefault="00AB016E">
            <w:bookmarkStart w:id="11" w:name="lt_pId013"/>
            <w:r w:rsidRPr="008A3012">
              <w:t>The Council is invited to discuss the need and feasibility of establishing a working group on artificial intelligence and to take appropriate action.</w:t>
            </w:r>
            <w:bookmarkEnd w:id="11"/>
          </w:p>
          <w:p w14:paraId="60AC4FE0" w14:textId="77777777" w:rsidR="00781A58" w:rsidRPr="008A3012" w:rsidRDefault="00AB016E">
            <w:pPr>
              <w:spacing w:before="160"/>
              <w:rPr>
                <w:caps/>
                <w:sz w:val="22"/>
              </w:rPr>
            </w:pPr>
            <w:r w:rsidRPr="008A3012">
              <w:rPr>
                <w:sz w:val="22"/>
              </w:rPr>
              <w:t>__________________</w:t>
            </w:r>
          </w:p>
          <w:p w14:paraId="4D812688" w14:textId="77777777" w:rsidR="00781A58" w:rsidRPr="008A3012" w:rsidRDefault="00AB016E">
            <w:pPr>
              <w:spacing w:before="160"/>
              <w:rPr>
                <w:b/>
                <w:bCs/>
                <w:sz w:val="26"/>
                <w:szCs w:val="26"/>
              </w:rPr>
            </w:pPr>
            <w:r w:rsidRPr="008A3012">
              <w:rPr>
                <w:b/>
                <w:bCs/>
                <w:sz w:val="26"/>
                <w:szCs w:val="26"/>
              </w:rPr>
              <w:t>References</w:t>
            </w:r>
          </w:p>
          <w:p w14:paraId="6EB0074B" w14:textId="27FE773B" w:rsidR="00781A58" w:rsidRPr="008A3012" w:rsidRDefault="00AB016E">
            <w:pPr>
              <w:spacing w:after="160"/>
              <w:rPr>
                <w:szCs w:val="24"/>
              </w:rPr>
            </w:pPr>
            <w:hyperlink r:id="rId8" w:history="1">
              <w:r w:rsidRPr="008A3012">
                <w:rPr>
                  <w:rStyle w:val="Hyperlink"/>
                  <w:rFonts w:cstheme="minorHAnsi"/>
                  <w:bCs/>
                  <w:i/>
                  <w:iCs/>
                  <w:szCs w:val="24"/>
                  <w:lang w:eastAsia="zh-CN"/>
                </w:rPr>
                <w:t>Resolution 214 (Rev. Bucharest, 2022)</w:t>
              </w:r>
            </w:hyperlink>
            <w:r w:rsidRPr="008A3012">
              <w:rPr>
                <w:rFonts w:cstheme="minorHAnsi"/>
                <w:bCs/>
                <w:i/>
                <w:iCs/>
                <w:szCs w:val="24"/>
                <w:lang w:eastAsia="zh-CN"/>
              </w:rPr>
              <w:t xml:space="preserve"> of the Plenipotentiary Conference; </w:t>
            </w:r>
            <w:r w:rsidR="008A3012">
              <w:rPr>
                <w:rFonts w:cstheme="minorHAnsi"/>
                <w:bCs/>
                <w:i/>
                <w:iCs/>
                <w:szCs w:val="24"/>
                <w:lang w:eastAsia="zh-CN"/>
              </w:rPr>
              <w:br/>
            </w:r>
            <w:r w:rsidRPr="008A3012">
              <w:rPr>
                <w:rFonts w:cstheme="minorHAnsi"/>
                <w:bCs/>
                <w:i/>
                <w:iCs/>
                <w:szCs w:val="24"/>
                <w:lang w:eastAsia="zh-CN"/>
              </w:rPr>
              <w:t xml:space="preserve">Council documents </w:t>
            </w:r>
            <w:hyperlink r:id="rId9" w:history="1">
              <w:r w:rsidRPr="008A3012">
                <w:rPr>
                  <w:rStyle w:val="Hyperlink"/>
                  <w:rFonts w:asciiTheme="minorHAnsi" w:hAnsiTheme="minorHAnsi" w:cstheme="minorHAnsi"/>
                  <w:bCs/>
                  <w:i/>
                  <w:iCs/>
                  <w:szCs w:val="24"/>
                </w:rPr>
                <w:t>C24/67</w:t>
              </w:r>
            </w:hyperlink>
            <w:r w:rsidRPr="008A3012">
              <w:rPr>
                <w:rFonts w:asciiTheme="minorHAnsi" w:hAnsiTheme="minorHAnsi" w:cstheme="minorHAnsi"/>
                <w:bCs/>
                <w:i/>
                <w:iCs/>
                <w:szCs w:val="24"/>
                <w:lang w:eastAsia="zh-CN"/>
              </w:rPr>
              <w:t xml:space="preserve">, </w:t>
            </w:r>
            <w:hyperlink r:id="rId10" w:history="1">
              <w:r w:rsidRPr="008A3012">
                <w:rPr>
                  <w:rStyle w:val="Hyperlink"/>
                  <w:bCs/>
                  <w:i/>
                  <w:iCs/>
                  <w:szCs w:val="24"/>
                </w:rPr>
                <w:t>C24/INF/15</w:t>
              </w:r>
            </w:hyperlink>
            <w:r w:rsidRPr="008A3012">
              <w:rPr>
                <w:bCs/>
                <w:i/>
                <w:iCs/>
                <w:szCs w:val="24"/>
              </w:rPr>
              <w:t xml:space="preserve">; </w:t>
            </w:r>
            <w:hyperlink r:id="rId11" w:history="1">
              <w:r w:rsidRPr="008A3012">
                <w:rPr>
                  <w:rStyle w:val="Hyperlink"/>
                  <w:bCs/>
                  <w:i/>
                  <w:iCs/>
                  <w:szCs w:val="24"/>
                  <w:lang w:eastAsia="zh-CN"/>
                </w:rPr>
                <w:t xml:space="preserve">UN </w:t>
              </w:r>
              <w:r w:rsidRPr="008A3012">
                <w:rPr>
                  <w:rStyle w:val="Hyperlink"/>
                  <w:rFonts w:asciiTheme="minorHAnsi" w:hAnsiTheme="minorHAnsi" w:cstheme="minorBidi"/>
                  <w:i/>
                  <w:iCs/>
                  <w:szCs w:val="24"/>
                  <w:shd w:val="clear" w:color="auto" w:fill="FFFFFF"/>
                </w:rPr>
                <w:t>A/78/L.49</w:t>
              </w:r>
            </w:hyperlink>
          </w:p>
        </w:tc>
      </w:tr>
    </w:tbl>
    <w:p w14:paraId="22B9912F" w14:textId="77777777" w:rsidR="00781A58" w:rsidRPr="008A3012" w:rsidRDefault="00781A58">
      <w:pPr>
        <w:tabs>
          <w:tab w:val="clear" w:pos="567"/>
          <w:tab w:val="clear" w:pos="1134"/>
          <w:tab w:val="clear" w:pos="1701"/>
          <w:tab w:val="clear" w:pos="2268"/>
          <w:tab w:val="clear" w:pos="2835"/>
        </w:tabs>
        <w:overflowPunct/>
        <w:autoSpaceDE/>
        <w:autoSpaceDN/>
        <w:adjustRightInd/>
        <w:spacing w:before="0"/>
        <w:textAlignment w:val="auto"/>
      </w:pPr>
      <w:bookmarkStart w:id="12" w:name="_Hlk133421428"/>
      <w:bookmarkEnd w:id="2"/>
      <w:bookmarkEnd w:id="10"/>
    </w:p>
    <w:bookmarkEnd w:id="3"/>
    <w:bookmarkEnd w:id="4"/>
    <w:p w14:paraId="44037CA2" w14:textId="77777777" w:rsidR="00781A58" w:rsidRPr="008A3012" w:rsidRDefault="00AB016E">
      <w:pPr>
        <w:tabs>
          <w:tab w:val="clear" w:pos="567"/>
          <w:tab w:val="clear" w:pos="1134"/>
          <w:tab w:val="clear" w:pos="1701"/>
          <w:tab w:val="clear" w:pos="2268"/>
          <w:tab w:val="clear" w:pos="2835"/>
        </w:tabs>
        <w:overflowPunct/>
        <w:autoSpaceDE/>
        <w:autoSpaceDN/>
        <w:adjustRightInd/>
        <w:spacing w:before="0"/>
        <w:textAlignment w:val="auto"/>
        <w:rPr>
          <w:b/>
        </w:rPr>
      </w:pPr>
      <w:r w:rsidRPr="008A3012">
        <w:br w:type="page"/>
      </w:r>
    </w:p>
    <w:p w14:paraId="54D13468" w14:textId="77777777" w:rsidR="00781A58" w:rsidRPr="008A3012" w:rsidRDefault="00AB016E">
      <w:pPr>
        <w:pStyle w:val="Heading1"/>
      </w:pPr>
      <w:bookmarkStart w:id="13" w:name="lt_pId019"/>
      <w:bookmarkEnd w:id="5"/>
      <w:bookmarkEnd w:id="12"/>
      <w:r w:rsidRPr="008A3012">
        <w:lastRenderedPageBreak/>
        <w:t>1</w:t>
      </w:r>
      <w:r w:rsidRPr="008A3012">
        <w:tab/>
        <w:t>Background</w:t>
      </w:r>
      <w:bookmarkEnd w:id="13"/>
    </w:p>
    <w:p w14:paraId="78D466A6" w14:textId="77777777" w:rsidR="00781A58" w:rsidRPr="008A3012" w:rsidRDefault="00AB016E">
      <w:r w:rsidRPr="008A3012">
        <w:t xml:space="preserve">Artificial intelligence (AI) technologies have significant potential to advance digital transformation and accelerate the 2030 Agenda for Sustainable Development. In 2022, the Plenipotentiary Conference adopted </w:t>
      </w:r>
      <w:hyperlink r:id="rId12" w:history="1">
        <w:r w:rsidRPr="008A3012">
          <w:rPr>
            <w:rStyle w:val="Hyperlink"/>
          </w:rPr>
          <w:t>Resolution 214</w:t>
        </w:r>
      </w:hyperlink>
      <w:r w:rsidRPr="008A3012">
        <w:t xml:space="preserve"> on AI technologies and telecommunications/information and communication technologies, which requests the Union to continue the work on AI, including studies, information-sharing and capacity building on AI technologies. It instructs the Secretary-General, in consultation with the Directors of the three Bureaux, to coordinate the activities of the Union to implement that resolution; to foster information-sharing to build understanding, particularly for developing countries, related to the associated opportu</w:t>
      </w:r>
      <w:r w:rsidRPr="008A3012">
        <w:t>nities and challenges; to identify opportunities, as appropriate, for coordination and cooperation with other relevant organizations and collaboration with relevant stakeholders with regard to the resolution.</w:t>
      </w:r>
    </w:p>
    <w:p w14:paraId="0772EB97" w14:textId="026641FF" w:rsidR="00781A58" w:rsidRPr="008A3012" w:rsidRDefault="00AB016E">
      <w:r w:rsidRPr="008A3012">
        <w:t>Currently, ITU has carried out or is carrying out a series of AI-related activities. Documents</w:t>
      </w:r>
      <w:r w:rsidR="008A3012">
        <w:t> </w:t>
      </w:r>
      <w:hyperlink r:id="rId13" w:history="1">
        <w:r w:rsidRPr="008A3012">
          <w:rPr>
            <w:rStyle w:val="Hyperlink"/>
          </w:rPr>
          <w:t>C24/67</w:t>
        </w:r>
      </w:hyperlink>
      <w:r w:rsidRPr="008A3012">
        <w:t xml:space="preserve"> and </w:t>
      </w:r>
      <w:hyperlink r:id="rId14" w:history="1">
        <w:r w:rsidRPr="008A3012">
          <w:rPr>
            <w:rStyle w:val="Hyperlink"/>
          </w:rPr>
          <w:t>C24/INF/15</w:t>
        </w:r>
      </w:hyperlink>
      <w:r w:rsidRPr="008A3012">
        <w:t xml:space="preserve"> take stock of the progress made in this regard, with</w:t>
      </w:r>
      <w:r w:rsidR="008A3012">
        <w:t> </w:t>
      </w:r>
      <w:r w:rsidRPr="008A3012">
        <w:t>particular emphasis on:</w:t>
      </w:r>
    </w:p>
    <w:p w14:paraId="5EC4A7F1" w14:textId="77777777" w:rsidR="00781A58" w:rsidRPr="008A3012" w:rsidRDefault="00AB016E">
      <w:pPr>
        <w:pStyle w:val="enumlev1"/>
      </w:pPr>
      <w:r w:rsidRPr="008A3012">
        <w:t>–</w:t>
      </w:r>
      <w:r w:rsidRPr="008A3012">
        <w:tab/>
        <w:t>studies on the development of AI standards;</w:t>
      </w:r>
    </w:p>
    <w:p w14:paraId="396BA936" w14:textId="77777777" w:rsidR="00781A58" w:rsidRPr="008A3012" w:rsidRDefault="00AB016E">
      <w:pPr>
        <w:pStyle w:val="enumlev1"/>
      </w:pPr>
      <w:r w:rsidRPr="008A3012">
        <w:t>–</w:t>
      </w:r>
      <w:r w:rsidRPr="008A3012">
        <w:tab/>
        <w:t>capacity building on AI (e.g. the ongoing Impact Initiative);</w:t>
      </w:r>
    </w:p>
    <w:p w14:paraId="72473C3B" w14:textId="77777777" w:rsidR="00781A58" w:rsidRPr="008A3012" w:rsidRDefault="00AB016E">
      <w:pPr>
        <w:pStyle w:val="enumlev1"/>
      </w:pPr>
      <w:r w:rsidRPr="008A3012">
        <w:t>–</w:t>
      </w:r>
      <w:r w:rsidRPr="008A3012">
        <w:tab/>
        <w:t>AI governance, policy and regulatory assistance (e.g. the upcoming AI Governance Day event);</w:t>
      </w:r>
    </w:p>
    <w:p w14:paraId="31DE8571" w14:textId="77777777" w:rsidR="00781A58" w:rsidRPr="008A3012" w:rsidRDefault="00AB016E">
      <w:pPr>
        <w:pStyle w:val="enumlev1"/>
      </w:pPr>
      <w:r w:rsidRPr="008A3012">
        <w:t>–</w:t>
      </w:r>
      <w:r w:rsidRPr="008A3012">
        <w:tab/>
        <w:t>collaboration with other UN agencies and multi-stakeholders (e.g. jointly leading the UN system-wide coordination on AI, advising the Global Digital Compact and the United Nations Secretary-General’s High-level Advisory Body on Artificial Intelligence, etc.).</w:t>
      </w:r>
    </w:p>
    <w:p w14:paraId="40B20A01" w14:textId="77777777" w:rsidR="00781A58" w:rsidRPr="008A3012" w:rsidRDefault="00AB016E">
      <w:r w:rsidRPr="008A3012">
        <w:t xml:space="preserve">By its Resolution </w:t>
      </w:r>
      <w:hyperlink r:id="rId15" w:history="1">
        <w:r w:rsidRPr="008A3012">
          <w:rPr>
            <w:rStyle w:val="Hyperlink"/>
          </w:rPr>
          <w:t>A/78/L.49</w:t>
        </w:r>
      </w:hyperlink>
      <w:r w:rsidRPr="008A3012">
        <w:t>, the United Nations General Assembly (UNGA) called upon UN specialized agencies to continue to assess and enhance their response to leverage the opportunities and address the challenges posed by AI systems in a collaborative, coordinated and inclusive manner, including by conducting research, mapping and analysis on the potential impacts and applications. The UNGA resolution highlighted, inter alia, that there also exist AI and other digital divides and varying levels of technological development between a</w:t>
      </w:r>
      <w:r w:rsidRPr="008A3012">
        <w:t xml:space="preserve">nd within countries, that developing countries face unique challenges in keeping pace with this rapid acceleration, and that there is an urgent need for enhanced assistance for capacity building and technical and financial assistance to developing countries. It also promoted cooperation between UN agencies and developing countries in capacity building. </w:t>
      </w:r>
    </w:p>
    <w:p w14:paraId="0936ACEC" w14:textId="77777777" w:rsidR="00781A58" w:rsidRPr="008A3012" w:rsidRDefault="00AB016E">
      <w:pPr>
        <w:pStyle w:val="Heading1"/>
      </w:pPr>
      <w:r w:rsidRPr="008A3012">
        <w:t>2</w:t>
      </w:r>
      <w:r w:rsidRPr="008A3012">
        <w:tab/>
        <w:t>Discussion</w:t>
      </w:r>
    </w:p>
    <w:p w14:paraId="11948412" w14:textId="77777777" w:rsidR="00781A58" w:rsidRPr="008A3012" w:rsidRDefault="00AB016E">
      <w:r w:rsidRPr="008A3012">
        <w:t>Resolution 214 of the Plenipotentiary Conference charts a course for ITU's work in the area of AI. Despite the fact that the Union has undertaken a number of activities, it is necessary to establish a mechanism for the effective participation of Member States and timely follow-up discussions on AI-related work across the ITU sectors, enabling the Union to implement Resolution 214 in a comprehensive manner.</w:t>
      </w:r>
    </w:p>
    <w:p w14:paraId="099B7212" w14:textId="77777777" w:rsidR="00781A58" w:rsidRPr="008A3012" w:rsidRDefault="00AB016E">
      <w:r w:rsidRPr="008A3012">
        <w:t>1</w:t>
      </w:r>
      <w:r w:rsidRPr="008A3012">
        <w:tab/>
        <w:t xml:space="preserve">AI is becoming a key subject on the agenda of international cooperation. As indicated in documents C24/67 and C24/INF/15, ITU's work in the area of AI standards and project initiatives has grown rapidly in recent years. It is important to take full stock and review the </w:t>
      </w:r>
      <w:r w:rsidRPr="008A3012">
        <w:lastRenderedPageBreak/>
        <w:t>work already undertaken by ITU. Member States should have in-depth and timely discussions on key issues such as strategic direction, priorities, and potential financial implications of AI to enable the Bureaux and the membership to clearly u</w:t>
      </w:r>
      <w:r w:rsidRPr="008A3012">
        <w:t>nderstand the way forward, effectively mobilize resources, actively submit inputs, and promote more productive AI-related work within ITU to increase the visibility of the Union.</w:t>
      </w:r>
    </w:p>
    <w:p w14:paraId="2B73D39D" w14:textId="77777777" w:rsidR="00781A58" w:rsidRPr="008A3012" w:rsidRDefault="00AB016E">
      <w:r w:rsidRPr="008A3012">
        <w:t>2</w:t>
      </w:r>
      <w:r w:rsidRPr="008A3012">
        <w:tab/>
        <w:t>International governance of AI is being widely discussed in various international processes, such as the Global Digital Compact facilitated by the Office of the UN Secretary-General’s Envoy on Technology and the High-Level Advisory Body on AI. ITU should leverage its unique expertise in digital technologies and partnerships, strengthen its coordination and cooperation with ongoing international processes, and play an active role in global AI governance.</w:t>
      </w:r>
    </w:p>
    <w:p w14:paraId="1589F4EC" w14:textId="77777777" w:rsidR="00781A58" w:rsidRPr="008A3012" w:rsidRDefault="00AB016E">
      <w:r w:rsidRPr="008A3012">
        <w:t>3</w:t>
      </w:r>
      <w:r w:rsidRPr="008A3012">
        <w:tab/>
        <w:t>Developing countries face a larger disparity with regard to AI development resources such as infrastructure, technology, data, and computing power. The imbalance in development resources is becoming an important constraint on sustainable development. A number of capacity-building efforts have been undertaken by the ITU Telecommunication Standardization Bureau with positive results. However, in order to achieve full implementation of Resolution 214, the Union should fully mobilize resources from all Sectors</w:t>
      </w:r>
      <w:r w:rsidRPr="008A3012">
        <w:t>, and in particular give full play to the role of the ITU Telecommunication Development Bureau, to strengthen synergies and collaboration so as to increase support.</w:t>
      </w:r>
    </w:p>
    <w:p w14:paraId="6885AEC4" w14:textId="77777777" w:rsidR="00781A58" w:rsidRPr="008A3012" w:rsidRDefault="00AB016E">
      <w:pPr>
        <w:pStyle w:val="Heading1"/>
      </w:pPr>
      <w:bookmarkStart w:id="14" w:name="lt_pId021"/>
      <w:r w:rsidRPr="008A3012">
        <w:t>3</w:t>
      </w:r>
      <w:r w:rsidRPr="008A3012">
        <w:tab/>
        <w:t>Proposal</w:t>
      </w:r>
      <w:bookmarkEnd w:id="14"/>
      <w:r w:rsidRPr="008A3012">
        <w:t>s</w:t>
      </w:r>
    </w:p>
    <w:p w14:paraId="6B8E7569" w14:textId="77777777" w:rsidR="00781A58" w:rsidRPr="008A3012" w:rsidRDefault="00AB016E">
      <w:bookmarkStart w:id="15" w:name="lt_pId038"/>
      <w:r w:rsidRPr="008A3012">
        <w:t>In order to implement Plenipotentiary Resolution 214, it is proposed that a Council working group on AI open to the Member States of the Union be established with the following main responsibilities:</w:t>
      </w:r>
    </w:p>
    <w:p w14:paraId="533B1FAD" w14:textId="77777777" w:rsidR="00781A58" w:rsidRPr="008A3012" w:rsidRDefault="00AB016E">
      <w:pPr>
        <w:pStyle w:val="enumlev1"/>
      </w:pPr>
      <w:r w:rsidRPr="008A3012">
        <w:t>1)</w:t>
      </w:r>
      <w:r w:rsidRPr="008A3012">
        <w:tab/>
        <w:t>to review the work carried out by the Union on AI, a future work programme and potential financial implications; to discuss strategic directions and priorities for ITU's work on AI, and make appropriate recommendations to the Council;</w:t>
      </w:r>
    </w:p>
    <w:p w14:paraId="1E3B044B" w14:textId="11D27BA5" w:rsidR="00781A58" w:rsidRPr="008A3012" w:rsidRDefault="00AB016E">
      <w:pPr>
        <w:pStyle w:val="enumlev1"/>
      </w:pPr>
      <w:r w:rsidRPr="008A3012">
        <w:t>2)</w:t>
      </w:r>
      <w:r w:rsidRPr="008A3012">
        <w:tab/>
        <w:t xml:space="preserve">to review the external cooperation conducted and resource commitments made by the Union in the field of AI; and to advise on key issues, including participation in the agenda of the United Nations on international governance of AI, to </w:t>
      </w:r>
      <w:r w:rsidRPr="008A3012">
        <w:rPr>
          <w:lang w:eastAsia="zh-CN"/>
        </w:rPr>
        <w:t>promote</w:t>
      </w:r>
      <w:r w:rsidRPr="008A3012">
        <w:t xml:space="preserve"> </w:t>
      </w:r>
      <w:r w:rsidRPr="008A3012">
        <w:t xml:space="preserve">ITU's </w:t>
      </w:r>
      <w:r w:rsidRPr="008A3012">
        <w:t>role in AI;</w:t>
      </w:r>
    </w:p>
    <w:p w14:paraId="59207FEB" w14:textId="77777777" w:rsidR="00781A58" w:rsidRPr="008A3012" w:rsidRDefault="00AB016E">
      <w:pPr>
        <w:pStyle w:val="enumlev1"/>
      </w:pPr>
      <w:r w:rsidRPr="008A3012">
        <w:t>3)</w:t>
      </w:r>
      <w:r w:rsidRPr="008A3012">
        <w:tab/>
        <w:t>to guide the Union in its AI capacity-building efforts, carry out studies on the capacity-building needs of countries, and make recommendations on capacity building centred on the coordination and mobilization of resources across the Sectors with a view to fully capitalizing on ITU's unique strengths to reduce the digital divide.</w:t>
      </w:r>
      <w:bookmarkEnd w:id="15"/>
      <w:r w:rsidRPr="008A3012">
        <w:t xml:space="preserve"> </w:t>
      </w:r>
    </w:p>
    <w:p w14:paraId="4ED84FEF" w14:textId="77777777" w:rsidR="00781A58" w:rsidRPr="008A3012" w:rsidRDefault="00781A58"/>
    <w:p w14:paraId="5B7F5D70" w14:textId="77777777" w:rsidR="00781A58" w:rsidRPr="008A3012" w:rsidRDefault="00AB016E">
      <w:pPr>
        <w:jc w:val="center"/>
      </w:pPr>
      <w:r w:rsidRPr="008A3012">
        <w:t>______________</w:t>
      </w:r>
    </w:p>
    <w:sectPr w:rsidR="00781A58" w:rsidRPr="008A3012">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15AE9" w14:textId="77777777" w:rsidR="00AB016E" w:rsidRDefault="00AB016E">
      <w:pPr>
        <w:spacing w:before="0"/>
      </w:pPr>
      <w:r>
        <w:separator/>
      </w:r>
    </w:p>
  </w:endnote>
  <w:endnote w:type="continuationSeparator" w:id="0">
    <w:p w14:paraId="6AB8161A" w14:textId="77777777" w:rsidR="00AB016E" w:rsidRDefault="00AB01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81A58" w14:paraId="17398E6F" w14:textId="77777777">
      <w:trPr>
        <w:jc w:val="center"/>
      </w:trPr>
      <w:tc>
        <w:tcPr>
          <w:tcW w:w="1803" w:type="dxa"/>
          <w:vAlign w:val="center"/>
        </w:tcPr>
        <w:p w14:paraId="0E33B2CF" w14:textId="4C18B9A5" w:rsidR="00781A58" w:rsidRDefault="00AB016E">
          <w:pPr>
            <w:pStyle w:val="Header"/>
            <w:jc w:val="left"/>
            <w:rPr>
              <w:rFonts w:eastAsiaTheme="minorHAnsi" w:cstheme="minorBidi"/>
              <w:color w:val="7F7F7F" w:themeColor="text1" w:themeTint="80"/>
            </w:rPr>
          </w:pPr>
          <w:r w:rsidRPr="00AB016E">
            <w:rPr>
              <w:rFonts w:eastAsiaTheme="minorHAnsi" w:cstheme="minorBidi"/>
              <w:color w:val="7F7F7F" w:themeColor="text1" w:themeTint="80"/>
            </w:rPr>
            <w:t>R2400986</w:t>
          </w:r>
        </w:p>
      </w:tc>
      <w:tc>
        <w:tcPr>
          <w:tcW w:w="8261" w:type="dxa"/>
        </w:tcPr>
        <w:p w14:paraId="705F6884" w14:textId="3B82F848" w:rsidR="00781A58" w:rsidRDefault="00AB016E" w:rsidP="008A3012">
          <w:pPr>
            <w:pStyle w:val="Header"/>
            <w:tabs>
              <w:tab w:val="left" w:pos="6459"/>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C24/85</w:t>
          </w:r>
          <w:r w:rsidR="008A3012">
            <w:rPr>
              <w:rFonts w:eastAsiaTheme="minorHAnsi" w:cstheme="minorBidi"/>
              <w:bCs/>
              <w:color w:val="7F7F7F" w:themeColor="text1" w:themeTint="80"/>
            </w:rPr>
            <w:t>(Rev.1)</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1</w:t>
          </w:r>
          <w:r>
            <w:rPr>
              <w:rFonts w:eastAsiaTheme="minorHAnsi" w:cstheme="minorBidi"/>
              <w:color w:val="7F7F7F" w:themeColor="text1" w:themeTint="80"/>
            </w:rPr>
            <w:fldChar w:fldCharType="end"/>
          </w:r>
        </w:p>
      </w:tc>
    </w:tr>
  </w:tbl>
  <w:p w14:paraId="161A032E" w14:textId="77777777" w:rsidR="00781A58" w:rsidRDefault="00781A58">
    <w:pPr>
      <w:pStyle w:val="Header"/>
      <w:tabs>
        <w:tab w:val="left" w:pos="8080"/>
        <w:tab w:val="right" w:pos="9072"/>
      </w:tabs>
      <w:jc w:val="left"/>
      <w:rPr>
        <w:bCs/>
        <w:color w:val="7F7F7F" w:themeColor="text1" w:themeTint="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781A58" w14:paraId="67F02FA2" w14:textId="77777777">
      <w:trPr>
        <w:jc w:val="center"/>
      </w:trPr>
      <w:tc>
        <w:tcPr>
          <w:tcW w:w="1803" w:type="dxa"/>
          <w:vAlign w:val="center"/>
        </w:tcPr>
        <w:p w14:paraId="2C4D2442" w14:textId="77777777" w:rsidR="00781A58" w:rsidRDefault="00AB016E">
          <w:pPr>
            <w:pStyle w:val="Header"/>
            <w:jc w:val="left"/>
            <w:rPr>
              <w:rFonts w:eastAsiaTheme="minorHAnsi" w:cstheme="minorBidi"/>
              <w:color w:val="7F7F7F" w:themeColor="text1" w:themeTint="80"/>
            </w:rPr>
          </w:pPr>
          <w:hyperlink r:id="rId1" w:history="1">
            <w:r>
              <w:rPr>
                <w:rStyle w:val="Hyperlink"/>
                <w:rFonts w:eastAsiaTheme="minorHAnsi" w:cstheme="minorBidi"/>
                <w:szCs w:val="14"/>
                <w:u w:val="none"/>
              </w:rPr>
              <w:t>www.itu.int/council</w:t>
            </w:r>
          </w:hyperlink>
        </w:p>
      </w:tc>
      <w:tc>
        <w:tcPr>
          <w:tcW w:w="8261" w:type="dxa"/>
        </w:tcPr>
        <w:p w14:paraId="2674BFD6" w14:textId="2A3C1523" w:rsidR="00781A58" w:rsidRDefault="00AB016E" w:rsidP="008A3012">
          <w:pPr>
            <w:pStyle w:val="Header"/>
            <w:tabs>
              <w:tab w:val="left" w:pos="6459"/>
              <w:tab w:val="right" w:pos="8505"/>
              <w:tab w:val="right" w:pos="9639"/>
            </w:tabs>
            <w:jc w:val="left"/>
            <w:rPr>
              <w:rFonts w:ascii="Arial" w:eastAsiaTheme="minorHAnsi" w:hAnsi="Arial" w:cs="Arial"/>
              <w:b/>
              <w:bCs/>
              <w:color w:val="7F7F7F" w:themeColor="text1" w:themeTint="80"/>
              <w:szCs w:val="18"/>
            </w:rPr>
          </w:pPr>
          <w:r>
            <w:rPr>
              <w:rFonts w:eastAsiaTheme="minorHAnsi" w:cstheme="minorBidi"/>
              <w:bCs/>
              <w:color w:val="7F7F7F" w:themeColor="text1" w:themeTint="80"/>
            </w:rPr>
            <w:tab/>
            <w:t>C24/85</w:t>
          </w:r>
          <w:r w:rsidR="008A3012">
            <w:rPr>
              <w:rFonts w:eastAsiaTheme="minorHAnsi" w:cstheme="minorBidi"/>
              <w:bCs/>
              <w:color w:val="7F7F7F" w:themeColor="text1" w:themeTint="80"/>
            </w:rPr>
            <w:t>(Rev.1)</w:t>
          </w:r>
          <w:r>
            <w:rPr>
              <w:rFonts w:eastAsiaTheme="minorHAnsi" w:cstheme="minorBidi"/>
              <w:bCs/>
              <w:color w:val="7F7F7F" w:themeColor="text1" w:themeTint="80"/>
            </w:rPr>
            <w:t>-E</w:t>
          </w:r>
          <w:r>
            <w:rPr>
              <w:rFonts w:eastAsiaTheme="minorHAnsi" w:cstheme="minorBidi"/>
              <w:bCs/>
              <w:color w:val="7F7F7F" w:themeColor="text1" w:themeTint="80"/>
            </w:rPr>
            <w:tab/>
          </w:r>
          <w:r>
            <w:rPr>
              <w:rFonts w:eastAsiaTheme="minorHAnsi" w:cstheme="minorBidi"/>
              <w:color w:val="7F7F7F" w:themeColor="text1" w:themeTint="80"/>
            </w:rPr>
            <w:fldChar w:fldCharType="begin"/>
          </w:r>
          <w:r>
            <w:rPr>
              <w:rFonts w:eastAsiaTheme="minorHAnsi" w:cstheme="minorBidi"/>
              <w:color w:val="7F7F7F" w:themeColor="text1" w:themeTint="80"/>
            </w:rPr>
            <w:instrText>PAGE</w:instrText>
          </w:r>
          <w:r>
            <w:rPr>
              <w:rFonts w:eastAsiaTheme="minorHAnsi" w:cstheme="minorBidi"/>
              <w:color w:val="7F7F7F" w:themeColor="text1" w:themeTint="80"/>
            </w:rPr>
            <w:fldChar w:fldCharType="separate"/>
          </w:r>
          <w:r>
            <w:rPr>
              <w:rFonts w:eastAsiaTheme="minorHAnsi" w:cstheme="minorBidi"/>
              <w:color w:val="7F7F7F" w:themeColor="text1" w:themeTint="80"/>
            </w:rPr>
            <w:t>1</w:t>
          </w:r>
          <w:r>
            <w:rPr>
              <w:rFonts w:eastAsiaTheme="minorHAnsi" w:cstheme="minorBidi"/>
              <w:color w:val="7F7F7F" w:themeColor="text1" w:themeTint="80"/>
            </w:rPr>
            <w:fldChar w:fldCharType="end"/>
          </w:r>
        </w:p>
      </w:tc>
    </w:tr>
  </w:tbl>
  <w:p w14:paraId="04605137" w14:textId="77777777" w:rsidR="00781A58" w:rsidRDefault="00781A58">
    <w:pPr>
      <w:pStyle w:val="Header"/>
      <w:tabs>
        <w:tab w:val="left" w:pos="8080"/>
        <w:tab w:val="right" w:pos="9072"/>
      </w:tabs>
      <w:jc w:val="right"/>
      <w:rPr>
        <w:bCs/>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55A97" w14:textId="77777777" w:rsidR="00781A58" w:rsidRDefault="00AB016E">
      <w:pPr>
        <w:spacing w:before="0"/>
      </w:pPr>
      <w:r>
        <w:separator/>
      </w:r>
    </w:p>
  </w:footnote>
  <w:footnote w:type="continuationSeparator" w:id="0">
    <w:p w14:paraId="539FC608" w14:textId="77777777" w:rsidR="00781A58" w:rsidRDefault="00AB016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781A58" w14:paraId="46091FA9" w14:textId="77777777">
      <w:trPr>
        <w:trHeight w:val="1104"/>
        <w:jc w:val="center"/>
      </w:trPr>
      <w:tc>
        <w:tcPr>
          <w:tcW w:w="4390" w:type="dxa"/>
          <w:vAlign w:val="center"/>
        </w:tcPr>
        <w:p w14:paraId="280917B8" w14:textId="77777777" w:rsidR="00781A58" w:rsidRDefault="00AB016E">
          <w:pPr>
            <w:pStyle w:val="Header"/>
            <w:jc w:val="left"/>
            <w:rPr>
              <w:rFonts w:ascii="Arial" w:eastAsiaTheme="minorHAnsi" w:hAnsi="Arial" w:cs="Arial"/>
              <w:b/>
              <w:bCs/>
              <w:color w:val="009CD6"/>
              <w:sz w:val="36"/>
              <w:szCs w:val="36"/>
              <w14:textFill>
                <w14:solidFill>
                  <w14:srgbClr w14:val="009CD6">
                    <w14:lumMod w14:val="50000"/>
                    <w14:lumOff w14:val="50000"/>
                  </w14:srgbClr>
                </w14:solidFill>
              </w14:textFill>
            </w:rPr>
          </w:pPr>
          <w:bookmarkStart w:id="16" w:name="_Hlk133422111"/>
          <w:r>
            <w:rPr>
              <w:rFonts w:eastAsiaTheme="minorHAnsi" w:cstheme="minorBidi"/>
              <w:noProof/>
              <w:color w:val="7F7F7F" w:themeColor="text1" w:themeTint="80"/>
            </w:rPr>
            <w:drawing>
              <wp:inline distT="0" distB="0" distL="0" distR="0" wp14:anchorId="0EC6F607" wp14:editId="01D91076">
                <wp:extent cx="2369820" cy="558165"/>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63625" cy="580396"/>
                        </a:xfrm>
                        <a:prstGeom prst="rect">
                          <a:avLst/>
                        </a:prstGeom>
                        <a:noFill/>
                        <a:ln>
                          <a:noFill/>
                        </a:ln>
                      </pic:spPr>
                    </pic:pic>
                  </a:graphicData>
                </a:graphic>
              </wp:inline>
            </w:drawing>
          </w:r>
        </w:p>
      </w:tc>
      <w:tc>
        <w:tcPr>
          <w:tcW w:w="5630" w:type="dxa"/>
        </w:tcPr>
        <w:p w14:paraId="7FDFBDF0" w14:textId="77777777" w:rsidR="00781A58" w:rsidRDefault="00781A58">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4586A70F" w14:textId="77777777" w:rsidR="00781A58" w:rsidRDefault="00781A58">
          <w:pPr>
            <w:pStyle w:val="Header"/>
            <w:jc w:val="right"/>
            <w:rPr>
              <w:rFonts w:ascii="Arial" w:eastAsiaTheme="minorHAnsi" w:hAnsi="Arial" w:cs="Arial"/>
              <w:b/>
              <w:bCs/>
              <w:color w:val="009CD6"/>
              <w:szCs w:val="18"/>
              <w14:textFill>
                <w14:solidFill>
                  <w14:srgbClr w14:val="009CD6">
                    <w14:lumMod w14:val="50000"/>
                    <w14:lumOff w14:val="50000"/>
                  </w14:srgbClr>
                </w14:solidFill>
              </w14:textFill>
            </w:rPr>
          </w:pPr>
        </w:p>
        <w:p w14:paraId="59C3C27D" w14:textId="77777777" w:rsidR="00781A58" w:rsidRDefault="00AB016E">
          <w:pPr>
            <w:pStyle w:val="Header"/>
            <w:jc w:val="right"/>
            <w:rPr>
              <w:rFonts w:ascii="Arial" w:eastAsiaTheme="minorHAnsi" w:hAnsi="Arial" w:cs="Arial"/>
              <w:color w:val="009CD6"/>
              <w:szCs w:val="18"/>
              <w14:textFill>
                <w14:solidFill>
                  <w14:srgbClr w14:val="009CD6">
                    <w14:lumMod w14:val="50000"/>
                    <w14:lumOff w14:val="50000"/>
                  </w14:srgbClr>
                </w14:solidFill>
              </w14:textFill>
            </w:rPr>
          </w:pPr>
          <w:r>
            <w:rPr>
              <w:rFonts w:ascii="Arial" w:eastAsiaTheme="minorHAnsi" w:hAnsi="Arial" w:cs="Arial"/>
              <w:b/>
              <w:bCs/>
              <w:color w:val="009CD6"/>
              <w:szCs w:val="18"/>
              <w14:textFill>
                <w14:solidFill>
                  <w14:srgbClr w14:val="009CD6">
                    <w14:lumMod w14:val="50000"/>
                    <w14:lumOff w14:val="50000"/>
                  </w14:srgbClr>
                </w14:solidFill>
              </w14:textFill>
            </w:rPr>
            <w:t xml:space="preserve"> </w:t>
          </w:r>
        </w:p>
      </w:tc>
    </w:tr>
  </w:tbl>
  <w:bookmarkEnd w:id="16"/>
  <w:p w14:paraId="67105F99" w14:textId="77777777" w:rsidR="00781A58" w:rsidRDefault="00AB016E">
    <w:pPr>
      <w:pStyle w:val="Header"/>
      <w:rPr>
        <w:color w:val="7F7F7F" w:themeColor="text1" w:themeTint="80"/>
      </w:rPr>
    </w:pPr>
    <w:r>
      <w:rPr>
        <w:rFonts w:ascii="Avenir Nxt2 W1G Medium" w:eastAsia="Avenir Nxt2 W1G Medium" w:hAnsi="Avenir Nxt2 W1G Medium" w:cs="Avenir Nxt2 W1G Medium"/>
        <w:noProof/>
        <w:color w:val="7F7F7F" w:themeColor="text1" w:themeTint="80"/>
      </w:rPr>
      <mc:AlternateContent>
        <mc:Choice Requires="wps">
          <w:drawing>
            <wp:anchor distT="0" distB="0" distL="114300" distR="114300" simplePos="0" relativeHeight="251659264" behindDoc="0" locked="0" layoutInCell="1" allowOverlap="1" wp14:anchorId="7F592EE5" wp14:editId="1B68F198">
              <wp:simplePos x="0" y="0"/>
              <wp:positionH relativeFrom="page">
                <wp:posOffset>12700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5" o:spid="_x0000_s1026" o:spt="1" style="position:absolute;left:0pt;margin-left:1pt;margin-top:50.8pt;height:28.4pt;width:7.25pt;mso-position-horizontal-relative:page;mso-position-vertical-relative:page;z-index:251659264;mso-width-relative:page;mso-height-relative:page;" fillcolor="#009CD5" filled="t" stroked="f" coordsize="21600,21600" o:gfxdata="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qNa7w2AAAAAgBAAAPAAAAAAAA&#10;AAEAIAAAACIAAABkcnMvZG93bnJldi54bWxQSwECFAAUAAAACACHTuJA1Y1bUxICAAAnBAAADgAA&#10;AAAAAAABACAAAAAnAQAAZHJzL2Uyb0RvYy54bWxQSwUGAAAAAAYABgBZAQAAqwUAAAAA&#10;">
              <v:fill on="t" focussize="0,0"/>
              <v:stroke on="f"/>
              <v:imagedata o:title=""/>
              <o:lock v:ext="edit" aspectratio="f"/>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E2OGM1NGNiN2NlMWZhM2M0MWE4MmIwNTdjMGJhYmYifQ=="/>
  </w:docVars>
  <w:rsids>
    <w:rsidRoot w:val="004016E2"/>
    <w:rsid w:val="000210D4"/>
    <w:rsid w:val="0004698E"/>
    <w:rsid w:val="00063016"/>
    <w:rsid w:val="00066795"/>
    <w:rsid w:val="00076AF6"/>
    <w:rsid w:val="00085CF2"/>
    <w:rsid w:val="000B1705"/>
    <w:rsid w:val="000D75B2"/>
    <w:rsid w:val="001121F5"/>
    <w:rsid w:val="001400DC"/>
    <w:rsid w:val="00140CE1"/>
    <w:rsid w:val="0017539C"/>
    <w:rsid w:val="00175AC2"/>
    <w:rsid w:val="0017609F"/>
    <w:rsid w:val="001A7D1D"/>
    <w:rsid w:val="001B51DD"/>
    <w:rsid w:val="001C628E"/>
    <w:rsid w:val="001E0F7B"/>
    <w:rsid w:val="001F192C"/>
    <w:rsid w:val="002119FD"/>
    <w:rsid w:val="002130E0"/>
    <w:rsid w:val="00264425"/>
    <w:rsid w:val="00265875"/>
    <w:rsid w:val="0027303B"/>
    <w:rsid w:val="0028109B"/>
    <w:rsid w:val="002A2188"/>
    <w:rsid w:val="002B1F58"/>
    <w:rsid w:val="002C1C7A"/>
    <w:rsid w:val="002C54E2"/>
    <w:rsid w:val="002C7961"/>
    <w:rsid w:val="0030160F"/>
    <w:rsid w:val="00320223"/>
    <w:rsid w:val="00322D0D"/>
    <w:rsid w:val="00361465"/>
    <w:rsid w:val="003877F5"/>
    <w:rsid w:val="003942D4"/>
    <w:rsid w:val="003958A8"/>
    <w:rsid w:val="003C2533"/>
    <w:rsid w:val="003D5A7F"/>
    <w:rsid w:val="004016E2"/>
    <w:rsid w:val="00403C87"/>
    <w:rsid w:val="0040435A"/>
    <w:rsid w:val="00416A24"/>
    <w:rsid w:val="00431D9E"/>
    <w:rsid w:val="00433C16"/>
    <w:rsid w:val="00433CE8"/>
    <w:rsid w:val="00434A5C"/>
    <w:rsid w:val="004544D9"/>
    <w:rsid w:val="00472BAD"/>
    <w:rsid w:val="00484009"/>
    <w:rsid w:val="00490E72"/>
    <w:rsid w:val="00491157"/>
    <w:rsid w:val="004921C8"/>
    <w:rsid w:val="00495B0B"/>
    <w:rsid w:val="004A1B8B"/>
    <w:rsid w:val="004D1851"/>
    <w:rsid w:val="004D599D"/>
    <w:rsid w:val="004E2EA5"/>
    <w:rsid w:val="004E3AEB"/>
    <w:rsid w:val="0050223C"/>
    <w:rsid w:val="005243FF"/>
    <w:rsid w:val="005468A2"/>
    <w:rsid w:val="00564FBC"/>
    <w:rsid w:val="005800BC"/>
    <w:rsid w:val="00582442"/>
    <w:rsid w:val="005F3269"/>
    <w:rsid w:val="00623AE3"/>
    <w:rsid w:val="0064737F"/>
    <w:rsid w:val="006535F1"/>
    <w:rsid w:val="0065557D"/>
    <w:rsid w:val="00660D50"/>
    <w:rsid w:val="00662984"/>
    <w:rsid w:val="006716BB"/>
    <w:rsid w:val="006850BE"/>
    <w:rsid w:val="006B1859"/>
    <w:rsid w:val="006B6680"/>
    <w:rsid w:val="006B6DCC"/>
    <w:rsid w:val="00702DEF"/>
    <w:rsid w:val="00706861"/>
    <w:rsid w:val="0075051B"/>
    <w:rsid w:val="00781A58"/>
    <w:rsid w:val="00793188"/>
    <w:rsid w:val="00794D34"/>
    <w:rsid w:val="00813E5E"/>
    <w:rsid w:val="0083581B"/>
    <w:rsid w:val="00863874"/>
    <w:rsid w:val="00864AFF"/>
    <w:rsid w:val="00865925"/>
    <w:rsid w:val="008A3012"/>
    <w:rsid w:val="008B4A6A"/>
    <w:rsid w:val="008C2D09"/>
    <w:rsid w:val="008C7E27"/>
    <w:rsid w:val="008F7448"/>
    <w:rsid w:val="0090147A"/>
    <w:rsid w:val="009173EF"/>
    <w:rsid w:val="00917CF3"/>
    <w:rsid w:val="00932906"/>
    <w:rsid w:val="00961B0B"/>
    <w:rsid w:val="00962D33"/>
    <w:rsid w:val="0099665C"/>
    <w:rsid w:val="009B38C3"/>
    <w:rsid w:val="009C1ADC"/>
    <w:rsid w:val="009E17BD"/>
    <w:rsid w:val="009E485A"/>
    <w:rsid w:val="00A04CEC"/>
    <w:rsid w:val="00A27F92"/>
    <w:rsid w:val="00A32257"/>
    <w:rsid w:val="00A36D20"/>
    <w:rsid w:val="00A514A4"/>
    <w:rsid w:val="00A55622"/>
    <w:rsid w:val="00A83502"/>
    <w:rsid w:val="00AB016E"/>
    <w:rsid w:val="00AD15B3"/>
    <w:rsid w:val="00AD3606"/>
    <w:rsid w:val="00AD4A3D"/>
    <w:rsid w:val="00AE17E6"/>
    <w:rsid w:val="00AF6E49"/>
    <w:rsid w:val="00B04A67"/>
    <w:rsid w:val="00B0583C"/>
    <w:rsid w:val="00B40A81"/>
    <w:rsid w:val="00B44910"/>
    <w:rsid w:val="00B72267"/>
    <w:rsid w:val="00B76EB6"/>
    <w:rsid w:val="00B7737B"/>
    <w:rsid w:val="00B824C8"/>
    <w:rsid w:val="00B84409"/>
    <w:rsid w:val="00B84B9D"/>
    <w:rsid w:val="00BC251A"/>
    <w:rsid w:val="00BD032B"/>
    <w:rsid w:val="00BE2640"/>
    <w:rsid w:val="00C01189"/>
    <w:rsid w:val="00C374DE"/>
    <w:rsid w:val="00C47AD4"/>
    <w:rsid w:val="00C52D81"/>
    <w:rsid w:val="00C55198"/>
    <w:rsid w:val="00C667E9"/>
    <w:rsid w:val="00CA6393"/>
    <w:rsid w:val="00CB18FF"/>
    <w:rsid w:val="00CD0C08"/>
    <w:rsid w:val="00CE03FB"/>
    <w:rsid w:val="00CE433C"/>
    <w:rsid w:val="00CF0161"/>
    <w:rsid w:val="00CF33F3"/>
    <w:rsid w:val="00D06183"/>
    <w:rsid w:val="00D22C42"/>
    <w:rsid w:val="00D510B7"/>
    <w:rsid w:val="00D65041"/>
    <w:rsid w:val="00DB1936"/>
    <w:rsid w:val="00DB384B"/>
    <w:rsid w:val="00DF0189"/>
    <w:rsid w:val="00E06FD5"/>
    <w:rsid w:val="00E10E80"/>
    <w:rsid w:val="00E124F0"/>
    <w:rsid w:val="00E227F3"/>
    <w:rsid w:val="00E23618"/>
    <w:rsid w:val="00E462E9"/>
    <w:rsid w:val="00E545C6"/>
    <w:rsid w:val="00E60F04"/>
    <w:rsid w:val="00E65B24"/>
    <w:rsid w:val="00E854E4"/>
    <w:rsid w:val="00E86DBF"/>
    <w:rsid w:val="00EB0D6F"/>
    <w:rsid w:val="00EB2232"/>
    <w:rsid w:val="00EC5337"/>
    <w:rsid w:val="00ED6EA2"/>
    <w:rsid w:val="00EE49E8"/>
    <w:rsid w:val="00F16BAB"/>
    <w:rsid w:val="00F2150A"/>
    <w:rsid w:val="00F231D8"/>
    <w:rsid w:val="00F44C00"/>
    <w:rsid w:val="00F45D2C"/>
    <w:rsid w:val="00F46C5F"/>
    <w:rsid w:val="00F632C0"/>
    <w:rsid w:val="00F74710"/>
    <w:rsid w:val="00F94A63"/>
    <w:rsid w:val="00FA1C28"/>
    <w:rsid w:val="00FB1279"/>
    <w:rsid w:val="00FB6B76"/>
    <w:rsid w:val="00FB7596"/>
    <w:rsid w:val="00FE4077"/>
    <w:rsid w:val="00FE500D"/>
    <w:rsid w:val="00FE77D2"/>
    <w:rsid w:val="783F30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883E5"/>
  <w15:docId w15:val="{3DB0BED4-D504-4C10-979B-B431891F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unhideWhenUsed="1"/>
    <w:lsdException w:name="index 9" w:semiHidden="1" w:unhideWhenUsed="1"/>
    <w:lsdException w:name="toc 5" w:qFormat="1"/>
    <w:lsdException w:name="Normal Indent" w:qFormat="1"/>
    <w:lsdException w:name="footnote text" w:qFormat="1"/>
    <w:lsdException w:name="annotation text" w:semiHidden="1" w:unhideWhenUsed="1"/>
    <w:lsdException w:name="head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NormalIndent">
    <w:name w:val="Normal Indent"/>
    <w:basedOn w:val="Normal"/>
    <w:qFormat/>
    <w:pPr>
      <w:ind w:left="567"/>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4">
    <w:name w:val="index 4"/>
    <w:basedOn w:val="Normal"/>
    <w:next w:val="Normal"/>
    <w:pPr>
      <w:ind w:left="849"/>
    </w:pPr>
  </w:style>
  <w:style w:type="paragraph" w:styleId="TOC5">
    <w:name w:val="toc 5"/>
    <w:basedOn w:val="Normal"/>
    <w:next w:val="Normal"/>
    <w:qFormat/>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3">
    <w:name w:val="index 3"/>
    <w:basedOn w:val="Normal"/>
    <w:next w:val="Normal"/>
    <w:pPr>
      <w:ind w:left="566"/>
    </w:pPr>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sz w:val="16"/>
    </w:rPr>
  </w:style>
  <w:style w:type="paragraph" w:styleId="Header">
    <w:name w:val="header"/>
    <w:basedOn w:val="Normal"/>
    <w:link w:val="HeaderChar"/>
    <w:uiPriority w:val="99"/>
    <w:pPr>
      <w:tabs>
        <w:tab w:val="clear" w:pos="567"/>
        <w:tab w:val="clear" w:pos="1134"/>
        <w:tab w:val="clear" w:pos="1701"/>
        <w:tab w:val="clear" w:pos="2268"/>
        <w:tab w:val="clear" w:pos="2835"/>
      </w:tabs>
      <w:spacing w:before="0"/>
      <w:jc w:val="center"/>
    </w:pPr>
    <w:rPr>
      <w:color w:val="7F7F7F" w:themeColor="text1" w:themeTint="80"/>
      <w:sz w:val="18"/>
    </w:r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IndexHeading">
    <w:name w:val="index heading"/>
    <w:basedOn w:val="Normal"/>
    <w:next w:val="Index1"/>
  </w:style>
  <w:style w:type="paragraph" w:styleId="Index1">
    <w:name w:val="index 1"/>
    <w:basedOn w:val="Normal"/>
    <w:next w:val="Normal"/>
  </w:style>
  <w:style w:type="paragraph" w:styleId="List">
    <w:name w:val="List"/>
    <w:basedOn w:val="Normal"/>
    <w:qFormat/>
    <w:pPr>
      <w:tabs>
        <w:tab w:val="left" w:pos="2127"/>
      </w:tabs>
      <w:ind w:left="2127" w:hanging="2127"/>
    </w:pPr>
  </w:style>
  <w:style w:type="paragraph" w:styleId="FootnoteText">
    <w:name w:val="footnote text"/>
    <w:basedOn w:val="Normal"/>
    <w:qFormat/>
    <w:pPr>
      <w:keepLines/>
      <w:tabs>
        <w:tab w:val="left" w:pos="256"/>
      </w:tabs>
      <w:ind w:left="256" w:hanging="256"/>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9">
    <w:name w:val="toc 9"/>
    <w:basedOn w:val="TOC4"/>
  </w:style>
  <w:style w:type="paragraph" w:styleId="Index2">
    <w:name w:val="index 2"/>
    <w:basedOn w:val="Normal"/>
    <w:next w:val="Normal"/>
    <w:pPr>
      <w:ind w:left="283"/>
    </w:pPr>
  </w:style>
  <w:style w:type="table" w:styleId="TableGrid">
    <w:name w:val="Table Grid"/>
    <w:basedOn w:val="TableNormal"/>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Pr>
      <w:rFonts w:ascii="Calibri" w:hAnsi="Calibri"/>
    </w:rPr>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character" w:styleId="Hyperlink">
    <w:name w:val="Hyperlink"/>
    <w:basedOn w:val="DefaultParagraphFont"/>
    <w:rPr>
      <w:color w:val="0563C1"/>
      <w:u w:val="single"/>
    </w:rPr>
  </w:style>
  <w:style w:type="character" w:styleId="FootnoteReference">
    <w:name w:val="footnote reference"/>
    <w:basedOn w:val="DefaultParagraphFont"/>
    <w:rPr>
      <w:rFonts w:ascii="Calibri" w:hAnsi="Calibri"/>
      <w:position w:val="6"/>
      <w:sz w:val="16"/>
    </w:rPr>
  </w:style>
  <w:style w:type="paragraph" w:customStyle="1" w:styleId="enumlev1">
    <w:name w:val="enumlev1"/>
    <w:basedOn w:val="Normal"/>
    <w:pPr>
      <w:spacing w:before="86"/>
      <w:ind w:left="567" w:hanging="567"/>
    </w:pPr>
  </w:style>
  <w:style w:type="paragraph" w:customStyle="1" w:styleId="enumlev2">
    <w:name w:val="enumlev2"/>
    <w:basedOn w:val="enumlev1"/>
    <w:qFormat/>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qFormat/>
    <w:pPr>
      <w:spacing w:before="240"/>
    </w:pPr>
  </w:style>
  <w:style w:type="character" w:customStyle="1" w:styleId="HeaderChar">
    <w:name w:val="Header Char"/>
    <w:basedOn w:val="DefaultParagraphFont"/>
    <w:link w:val="Header"/>
    <w:uiPriority w:val="99"/>
    <w:qFormat/>
    <w:rPr>
      <w:rFonts w:ascii="Calibri" w:hAnsi="Calibri"/>
      <w:color w:val="7F7F7F" w:themeColor="text1" w:themeTint="80"/>
      <w:sz w:val="18"/>
      <w:lang w:val="en-GB" w:eastAsia="en-US"/>
    </w:rPr>
  </w:style>
  <w:style w:type="paragraph" w:customStyle="1" w:styleId="Head">
    <w:name w:val="Head"/>
    <w:basedOn w:val="Normal"/>
    <w:qFormat/>
    <w:pPr>
      <w:tabs>
        <w:tab w:val="left" w:pos="6663"/>
      </w:tabs>
      <w:overflowPunct/>
      <w:autoSpaceDE/>
      <w:autoSpaceDN/>
      <w:adjustRightInd/>
      <w:spacing w:before="0"/>
      <w:textAlignment w:val="auto"/>
    </w:pPr>
  </w:style>
  <w:style w:type="paragraph" w:customStyle="1" w:styleId="toc0">
    <w:name w:val="toc 0"/>
    <w:basedOn w:val="Normal"/>
    <w:next w:val="TOC1"/>
    <w:qFormat/>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qFormat/>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qFormat/>
    <w:pPr>
      <w:framePr w:hSpace="180" w:wrap="around" w:vAnchor="page" w:hAnchor="page" w:x="1821" w:y="2317"/>
      <w:spacing w:before="840"/>
    </w:pPr>
    <w:rPr>
      <w:b/>
      <w:sz w:val="32"/>
      <w:szCs w:val="32"/>
    </w:rPr>
  </w:style>
  <w:style w:type="paragraph" w:customStyle="1" w:styleId="Title1">
    <w:name w:val="Title 1"/>
    <w:basedOn w:val="Source"/>
    <w:next w:val="Title2"/>
    <w:pPr>
      <w:framePr w:wrap="around"/>
      <w:spacing w:before="240"/>
    </w:pPr>
    <w:rPr>
      <w:b w:val="0"/>
    </w:rPr>
  </w:style>
  <w:style w:type="paragraph" w:customStyle="1" w:styleId="Title2">
    <w:name w:val="Title 2"/>
    <w:basedOn w:val="Source"/>
    <w:next w:val="Title3"/>
    <w:pPr>
      <w:framePr w:wrap="around"/>
      <w:spacing w:before="240"/>
    </w:pPr>
    <w:rPr>
      <w:b w:val="0"/>
      <w:caps/>
    </w:rPr>
  </w:style>
  <w:style w:type="paragraph" w:customStyle="1" w:styleId="Title3">
    <w:name w:val="Title 3"/>
    <w:basedOn w:val="Title2"/>
    <w:next w:val="Normalaftertitle"/>
    <w:pPr>
      <w:framePr w:wrap="around"/>
    </w:pPr>
    <w:rPr>
      <w:caps w:val="0"/>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customStyle="1" w:styleId="Headingb">
    <w:name w:val="Heading_b"/>
    <w:basedOn w:val="Heading3"/>
    <w:next w:val="Normal"/>
    <w:pPr>
      <w:spacing w:before="160"/>
      <w:outlineLvl w:val="0"/>
    </w:pPr>
  </w:style>
  <w:style w:type="paragraph" w:customStyle="1" w:styleId="Title4">
    <w:name w:val="Title 4"/>
    <w:basedOn w:val="Title3"/>
    <w:next w:val="Heading1"/>
    <w:pPr>
      <w:framePr w:wrap="around"/>
    </w:pPr>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qFormat/>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pPr>
      <w:spacing w:before="720"/>
      <w:jc w:val="center"/>
    </w:pPr>
    <w:rPr>
      <w:caps/>
      <w:sz w:val="28"/>
    </w:rPr>
  </w:style>
  <w:style w:type="paragraph" w:customStyle="1" w:styleId="Annexref">
    <w:name w:val="Annex_ref"/>
    <w:basedOn w:val="Normal"/>
    <w:next w:val="Annextitle"/>
    <w:pPr>
      <w:jc w:val="center"/>
    </w:pPr>
  </w:style>
  <w:style w:type="paragraph" w:customStyle="1" w:styleId="Annextitle">
    <w:name w:val="Annex_title"/>
    <w:basedOn w:val="Normal"/>
    <w:next w:val="Normal"/>
    <w:pPr>
      <w:spacing w:before="240" w:after="240"/>
      <w:jc w:val="center"/>
    </w:pPr>
    <w:rPr>
      <w:b/>
      <w:sz w:val="28"/>
    </w:rPr>
  </w:style>
  <w:style w:type="paragraph" w:customStyle="1" w:styleId="AppendixNo">
    <w:name w:val="Appendix_No"/>
    <w:basedOn w:val="AnnexNo"/>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pPr>
      <w:framePr w:wrap="around" w:vAnchor="margin" w:hAnchor="text"/>
      <w:spacing w:before="120" w:after="160"/>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qFormat/>
    <w:pPr>
      <w:spacing w:before="240" w:after="480"/>
    </w:pPr>
  </w:style>
  <w:style w:type="paragraph" w:customStyle="1" w:styleId="Tabletitle">
    <w:name w:val="Table_title"/>
    <w:basedOn w:val="TableNo"/>
    <w:next w:val="Tabletext"/>
    <w:pPr>
      <w:tabs>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qFormat/>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qFormat/>
    <w:pPr>
      <w:spacing w:before="160"/>
      <w:outlineLvl w:val="0"/>
    </w:pPr>
    <w:rPr>
      <w:rFonts w:asciiTheme="minorHAnsi" w:hAnsiTheme="minorHAnsi"/>
      <w:b w:val="0"/>
      <w:i/>
    </w:rPr>
  </w:style>
  <w:style w:type="paragraph" w:customStyle="1" w:styleId="PartNo">
    <w:name w:val="Part_No"/>
    <w:basedOn w:val="AnnexNo"/>
    <w:next w:val="Parttitle"/>
  </w:style>
  <w:style w:type="paragraph" w:customStyle="1" w:styleId="Parttitle">
    <w:name w:val="Part_title"/>
    <w:basedOn w:val="Annextitle"/>
    <w:next w:val="Partref"/>
    <w:qFormat/>
  </w:style>
  <w:style w:type="paragraph" w:customStyle="1" w:styleId="Partref">
    <w:name w:val="Part_ref"/>
    <w:basedOn w:val="Annexref"/>
    <w:next w:val="Normalaftertitle"/>
    <w:qFormat/>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qFormat/>
    <w:pPr>
      <w:spacing w:before="240"/>
      <w:jc w:val="center"/>
    </w:pPr>
    <w:rPr>
      <w:b/>
      <w:sz w:val="28"/>
    </w:rPr>
  </w:style>
  <w:style w:type="paragraph" w:customStyle="1" w:styleId="Recref">
    <w:name w:val="Rec_ref"/>
    <w:basedOn w:val="Rectitle"/>
    <w:next w:val="Recdate"/>
    <w:qFormat/>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qFormat/>
  </w:style>
  <w:style w:type="paragraph" w:customStyle="1" w:styleId="Questiontitle">
    <w:name w:val="Question_title"/>
    <w:basedOn w:val="Rectitle"/>
    <w:next w:val="Questionref"/>
  </w:style>
  <w:style w:type="paragraph" w:customStyle="1" w:styleId="Questionref">
    <w:name w:val="Question_ref"/>
    <w:basedOn w:val="Recref"/>
    <w:next w:val="Questiondate"/>
    <w:qFormat/>
  </w:style>
  <w:style w:type="paragraph" w:customStyle="1" w:styleId="Reftext">
    <w:name w:val="Ref_text"/>
    <w:basedOn w:val="Normal"/>
    <w:qFormat/>
    <w:pPr>
      <w:ind w:left="567" w:hanging="567"/>
    </w:pPr>
  </w:style>
  <w:style w:type="paragraph" w:customStyle="1" w:styleId="Reftitle">
    <w:name w:val="Ref_title"/>
    <w:basedOn w:val="Normal"/>
    <w:next w:val="Reftext"/>
    <w:qFormat/>
    <w:pPr>
      <w:spacing w:before="480"/>
      <w:jc w:val="center"/>
    </w:pPr>
    <w:rPr>
      <w:caps/>
      <w:sz w:val="28"/>
    </w:rPr>
  </w:style>
  <w:style w:type="paragraph" w:customStyle="1" w:styleId="Resdate">
    <w:name w:val="Res_date"/>
    <w:basedOn w:val="Recdate"/>
    <w:next w:val="Normalaftertitle"/>
    <w:qFormat/>
  </w:style>
  <w:style w:type="paragraph" w:customStyle="1" w:styleId="ResNo">
    <w:name w:val="Res_No"/>
    <w:basedOn w:val="AnnexNo"/>
    <w:next w:val="Restitle"/>
    <w:qFormat/>
  </w:style>
  <w:style w:type="paragraph" w:customStyle="1" w:styleId="Restitle">
    <w:name w:val="Res_title"/>
    <w:basedOn w:val="Annextitle"/>
    <w:next w:val="Normal"/>
  </w:style>
  <w:style w:type="paragraph" w:customStyle="1" w:styleId="Resref">
    <w:name w:val="Res_ref"/>
    <w:basedOn w:val="Recref"/>
    <w:next w:val="Resdate"/>
    <w:qFormat/>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Tablehead">
    <w:name w:val="Table_head"/>
    <w:basedOn w:val="Tabletext"/>
    <w:qFormat/>
    <w:pPr>
      <w:spacing w:before="120" w:after="120"/>
      <w:jc w:val="center"/>
    </w:pPr>
    <w:rPr>
      <w:b/>
    </w:rPr>
  </w:style>
  <w:style w:type="paragraph" w:customStyle="1" w:styleId="Tablelegend">
    <w:name w:val="Table_legend"/>
    <w:basedOn w:val="Tabletext"/>
    <w:qFormat/>
    <w:pPr>
      <w:spacing w:before="120"/>
    </w:pPr>
  </w:style>
  <w:style w:type="paragraph" w:customStyle="1" w:styleId="Tableref">
    <w:name w:val="Table_ref"/>
    <w:basedOn w:val="Normal"/>
    <w:next w:val="Tabletitle"/>
    <w:qFormat/>
    <w:pPr>
      <w:keepNext/>
      <w:spacing w:before="567"/>
      <w:jc w:val="center"/>
    </w:pPr>
  </w:style>
  <w:style w:type="paragraph" w:customStyle="1" w:styleId="Artheading">
    <w:name w:val="Art_heading"/>
    <w:basedOn w:val="Normal"/>
    <w:next w:val="Normalaftertitle"/>
    <w:qFormat/>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qFormat/>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qFormat/>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qFormat/>
  </w:style>
  <w:style w:type="paragraph" w:customStyle="1" w:styleId="Chaptitle">
    <w:name w:val="Chap_title"/>
    <w:basedOn w:val="Arttitle"/>
    <w:next w:val="Normal"/>
    <w:qFormat/>
  </w:style>
  <w:style w:type="paragraph" w:customStyle="1" w:styleId="Reasons">
    <w:name w:val="Reasons"/>
    <w:basedOn w:val="Normal"/>
    <w:qFormat/>
    <w:pPr>
      <w:tabs>
        <w:tab w:val="clear" w:pos="567"/>
        <w:tab w:val="clear" w:pos="1134"/>
        <w:tab w:val="clear" w:pos="1701"/>
        <w:tab w:val="clear" w:pos="2268"/>
        <w:tab w:val="clear" w:pos="2835"/>
      </w:tabs>
      <w:overflowPunct/>
      <w:autoSpaceDE/>
      <w:autoSpaceDN/>
      <w:adjustRightInd/>
      <w:spacing w:before="0"/>
      <w:textAlignment w:val="auto"/>
    </w:pPr>
    <w:rPr>
      <w:rFonts w:ascii="Times New Roman" w:hAnsi="Times New Roman"/>
      <w:lang w:val="en-US"/>
    </w:rPr>
  </w:style>
  <w:style w:type="paragraph" w:customStyle="1" w:styleId="Revision1">
    <w:name w:val="Revision1"/>
    <w:hidden/>
    <w:uiPriority w:val="99"/>
    <w:semiHidden/>
    <w:qFormat/>
    <w:rPr>
      <w:rFonts w:ascii="Calibri" w:hAnsi="Calibri"/>
      <w:sz w:val="24"/>
      <w:lang w:eastAsia="en-US"/>
    </w:rPr>
  </w:style>
  <w:style w:type="paragraph" w:styleId="Revision">
    <w:name w:val="Revision"/>
    <w:hidden/>
    <w:uiPriority w:val="99"/>
    <w:unhideWhenUsed/>
    <w:rsid w:val="00C667E9"/>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214-E.pdf" TargetMode="External"/><Relationship Id="rId13" Type="http://schemas.openxmlformats.org/officeDocument/2006/relationships/hyperlink" Target="https://www.itu.int/md/S24-CL-C-0067/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council/Documents/basic-texts-2023/RES-214-E.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78%2FL.49&amp;Language=E&amp;DeviceType=Desktop&amp;LangRequested=False" TargetMode="External"/><Relationship Id="rId5" Type="http://schemas.openxmlformats.org/officeDocument/2006/relationships/webSettings" Target="webSettings.xml"/><Relationship Id="rId15" Type="http://schemas.openxmlformats.org/officeDocument/2006/relationships/hyperlink" Target="https://undocs.org/Home/Mobile?FinalSymbol=A%2F78%2FL.49&amp;Language=E&amp;DeviceType=Desktop&amp;LangRequested=False" TargetMode="External"/><Relationship Id="rId10" Type="http://schemas.openxmlformats.org/officeDocument/2006/relationships/hyperlink" Target="https://www.itu.int/md/S24-CL-INF-0015/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4-CL-C-0067/en" TargetMode="External"/><Relationship Id="rId14" Type="http://schemas.openxmlformats.org/officeDocument/2006/relationships/hyperlink" Target="https://www.itu.int/md/S24-CL-INF-001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602B4DE-FC73-46C6-BFF6-6457901D364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PE_Council23.dotx</Template>
  <TotalTime>48</TotalTime>
  <Pages>3</Pages>
  <Words>947</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kt</dc:creator>
  <cp:lastModifiedBy>LRT</cp:lastModifiedBy>
  <cp:revision>4</cp:revision>
  <cp:lastPrinted>2000-07-18T13:30:00Z</cp:lastPrinted>
  <dcterms:created xsi:type="dcterms:W3CDTF">2024-06-10T06:15:00Z</dcterms:created>
  <dcterms:modified xsi:type="dcterms:W3CDTF">2024-06-10T07:01:00Z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KSOProductBuildVer">
    <vt:lpwstr>2052-12.1.0.16929</vt:lpwstr>
  </property>
  <property fmtid="{D5CDD505-2E9C-101B-9397-08002B2CF9AE}" pid="9" name="ICV">
    <vt:lpwstr>A015A3290F944CCB93FA782E27B22D60_12</vt:lpwstr>
  </property>
</Properties>
</file>