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1F02DB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5379FA5B" w:rsidR="00D72F49" w:rsidRPr="001F02DB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1F02DB">
              <w:rPr>
                <w:b/>
              </w:rPr>
              <w:t>Point de l</w:t>
            </w:r>
            <w:r w:rsidR="002F5CCA">
              <w:rPr>
                <w:b/>
              </w:rPr>
              <w:t>'</w:t>
            </w:r>
            <w:r w:rsidRPr="001F02DB">
              <w:rPr>
                <w:b/>
              </w:rPr>
              <w:t>ordre du jour:</w:t>
            </w:r>
            <w:r w:rsidR="001F02DB" w:rsidRPr="001F02DB">
              <w:rPr>
                <w:b/>
              </w:rPr>
              <w:t xml:space="preserve"> PL 2</w:t>
            </w:r>
          </w:p>
        </w:tc>
        <w:tc>
          <w:tcPr>
            <w:tcW w:w="5245" w:type="dxa"/>
          </w:tcPr>
          <w:p w14:paraId="27B6A98A" w14:textId="06D49370" w:rsidR="00D72F49" w:rsidRPr="001F02DB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F02DB">
              <w:rPr>
                <w:b/>
              </w:rPr>
              <w:t>Document C2</w:t>
            </w:r>
            <w:r w:rsidR="0073275D" w:rsidRPr="001F02DB">
              <w:rPr>
                <w:b/>
              </w:rPr>
              <w:t>4</w:t>
            </w:r>
            <w:r w:rsidRPr="001F02DB">
              <w:rPr>
                <w:b/>
              </w:rPr>
              <w:t>/</w:t>
            </w:r>
            <w:r w:rsidR="001F02DB" w:rsidRPr="001F02DB">
              <w:rPr>
                <w:b/>
              </w:rPr>
              <w:t>82</w:t>
            </w:r>
            <w:r w:rsidRPr="001F02DB">
              <w:rPr>
                <w:b/>
              </w:rPr>
              <w:t>-F</w:t>
            </w:r>
          </w:p>
        </w:tc>
      </w:tr>
      <w:tr w:rsidR="00D72F49" w:rsidRPr="001F02DB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1F02DB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2A5CDFCD" w:rsidR="00D72F49" w:rsidRPr="001F02DB" w:rsidRDefault="001F02DB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F02DB">
              <w:rPr>
                <w:b/>
              </w:rPr>
              <w:t>21 mai</w:t>
            </w:r>
            <w:r w:rsidR="00D72F49" w:rsidRPr="001F02DB">
              <w:rPr>
                <w:b/>
              </w:rPr>
              <w:t xml:space="preserve"> 202</w:t>
            </w:r>
            <w:r w:rsidR="0073275D" w:rsidRPr="001F02DB">
              <w:rPr>
                <w:b/>
              </w:rPr>
              <w:t>4</w:t>
            </w:r>
          </w:p>
        </w:tc>
      </w:tr>
      <w:tr w:rsidR="00D72F49" w:rsidRPr="001F02DB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1F02DB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1E028E4D" w:rsidR="00D72F49" w:rsidRPr="001F02DB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F02DB">
              <w:rPr>
                <w:b/>
              </w:rPr>
              <w:t xml:space="preserve">Original: </w:t>
            </w:r>
            <w:r w:rsidR="001F02DB" w:rsidRPr="001F02DB">
              <w:rPr>
                <w:b/>
              </w:rPr>
              <w:t>russe</w:t>
            </w:r>
          </w:p>
        </w:tc>
      </w:tr>
      <w:tr w:rsidR="00D72F49" w:rsidRPr="001F02DB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1F02DB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1F02DB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1F02DB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0E098740" w:rsidR="00D72F49" w:rsidRPr="001F02DB" w:rsidRDefault="001F02DB" w:rsidP="006C28E8">
            <w:pPr>
              <w:pStyle w:val="Source"/>
              <w:spacing w:before="360"/>
              <w:jc w:val="left"/>
              <w:rPr>
                <w:sz w:val="34"/>
                <w:szCs w:val="34"/>
              </w:rPr>
            </w:pPr>
            <w:r w:rsidRPr="001F02DB">
              <w:rPr>
                <w:rFonts w:cstheme="minorHAnsi"/>
                <w:color w:val="000000"/>
                <w:sz w:val="34"/>
                <w:szCs w:val="34"/>
              </w:rPr>
              <w:t>Contribution de la Fédération de Russie</w:t>
            </w:r>
            <w:r w:rsidR="00E84E82">
              <w:rPr>
                <w:rFonts w:cstheme="minorHAnsi"/>
                <w:color w:val="000000"/>
                <w:sz w:val="34"/>
                <w:szCs w:val="34"/>
              </w:rPr>
              <w:t xml:space="preserve"> et du Bélarus (République du)</w:t>
            </w:r>
          </w:p>
        </w:tc>
      </w:tr>
      <w:tr w:rsidR="00D72F49" w:rsidRPr="001F02DB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692A900C" w:rsidR="00D72F49" w:rsidRPr="001F02DB" w:rsidRDefault="001F02DB" w:rsidP="00D72F49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1F02DB">
              <w:rPr>
                <w:rFonts w:cstheme="minorHAnsi"/>
                <w:lang w:val="fr-FR"/>
              </w:rPr>
              <w:t>OBSERVATIONS RELATIVES AU PROJET DE RAPPORT SUR LE SMSI+20: VINGT ANS DE CONTRIBUTION DE L</w:t>
            </w:r>
            <w:r w:rsidR="002F5CCA">
              <w:rPr>
                <w:rFonts w:cstheme="minorHAnsi"/>
                <w:lang w:val="fr-FR"/>
              </w:rPr>
              <w:t>'</w:t>
            </w:r>
            <w:r w:rsidRPr="001F02DB">
              <w:rPr>
                <w:rFonts w:cstheme="minorHAnsi"/>
                <w:lang w:val="fr-FR"/>
              </w:rPr>
              <w:t>UIT À LA MISE EN ŒUVRE ET AU SUIVI DES RÉSULTATS DU SMSI ET RÔLE DE L</w:t>
            </w:r>
            <w:r w:rsidR="002F5CCA">
              <w:rPr>
                <w:rFonts w:cstheme="minorHAnsi"/>
                <w:lang w:val="fr-FR"/>
              </w:rPr>
              <w:t>'</w:t>
            </w:r>
            <w:r w:rsidRPr="001F02DB">
              <w:rPr>
                <w:rFonts w:cstheme="minorHAnsi"/>
                <w:lang w:val="fr-FR"/>
              </w:rPr>
              <w:t>UIT DANS LA RÉALISATION DES ODD</w:t>
            </w:r>
          </w:p>
        </w:tc>
      </w:tr>
      <w:tr w:rsidR="00D72F49" w:rsidRPr="001F02DB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4F1930CB" w:rsidR="00D72F49" w:rsidRPr="001F02DB" w:rsidRDefault="00F37FE5" w:rsidP="006C28E8">
            <w:pPr>
              <w:rPr>
                <w:b/>
                <w:bCs/>
                <w:sz w:val="26"/>
                <w:szCs w:val="26"/>
              </w:rPr>
            </w:pPr>
            <w:r w:rsidRPr="001F02DB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5C1D1952" w:rsidR="00D72F49" w:rsidRPr="001F02DB" w:rsidRDefault="001F02DB" w:rsidP="006C28E8">
            <w:pPr>
              <w:spacing w:before="80"/>
            </w:pPr>
            <w:r w:rsidRPr="001F02DB">
              <w:t>On trouvera dans la présente contribution des propositions qui pourraient compléter la contribution de la Secrétaire générale "Projet de rapport sur le SMSI+20: Vingt ans de contribution de l</w:t>
            </w:r>
            <w:r w:rsidR="002F5CCA">
              <w:t>'</w:t>
            </w:r>
            <w:r w:rsidRPr="001F02DB">
              <w:t>UIT à la mise en œuvre et au suivi des résultats du SMSI et rôle de l</w:t>
            </w:r>
            <w:r w:rsidR="002F5CCA">
              <w:t>'</w:t>
            </w:r>
            <w:r w:rsidRPr="001F02DB">
              <w:t>UIT dans la réalisation des ODD". Le rapport final sera présenté par la Secrétaire générale de l</w:t>
            </w:r>
            <w:r w:rsidR="002F5CCA">
              <w:t>'</w:t>
            </w:r>
            <w:r w:rsidRPr="001F02DB">
              <w:t>UIT lors des sessions 2025 de la CSTD de l</w:t>
            </w:r>
            <w:r w:rsidR="002F5CCA">
              <w:t>'</w:t>
            </w:r>
            <w:r w:rsidRPr="001F02DB">
              <w:t>ONU et de l</w:t>
            </w:r>
            <w:r w:rsidR="002F5CCA">
              <w:t>'</w:t>
            </w:r>
            <w:r w:rsidRPr="001F02DB">
              <w:t>Assemblée générale des Nations Unies, et soumis au Conseil de l</w:t>
            </w:r>
            <w:r w:rsidR="002F5CCA">
              <w:t>'</w:t>
            </w:r>
            <w:r w:rsidRPr="001F02DB">
              <w:t>UIT en 2025 par l</w:t>
            </w:r>
            <w:r w:rsidR="002F5CCA">
              <w:t>'</w:t>
            </w:r>
            <w:r w:rsidRPr="001F02DB">
              <w:t>intermédiaire du GTC-SMSI&amp;ODD.</w:t>
            </w:r>
          </w:p>
          <w:p w14:paraId="0B950982" w14:textId="77777777" w:rsidR="00D72F49" w:rsidRPr="001F02DB" w:rsidRDefault="00D72F49" w:rsidP="006C28E8">
            <w:pPr>
              <w:rPr>
                <w:b/>
                <w:bCs/>
                <w:sz w:val="26"/>
                <w:szCs w:val="26"/>
              </w:rPr>
            </w:pPr>
            <w:r w:rsidRPr="001F02DB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243C24DC" w:rsidR="00D72F49" w:rsidRPr="001F02DB" w:rsidRDefault="001F02DB" w:rsidP="006C28E8">
            <w:pPr>
              <w:spacing w:before="80"/>
            </w:pPr>
            <w:r w:rsidRPr="001F02DB">
              <w:t>Le Conseil est invité à examiner les propositions figurant dans la présente contribution et à formuler des recommandations à l</w:t>
            </w:r>
            <w:r w:rsidR="002F5CCA">
              <w:t>'</w:t>
            </w:r>
            <w:r w:rsidRPr="001F02DB">
              <w:t>intention de la Secrétaire générale quant à la nécessité de compléter le projet de rapport sur le SMSI+20.</w:t>
            </w:r>
          </w:p>
          <w:p w14:paraId="2E44E753" w14:textId="77777777" w:rsidR="00D72F49" w:rsidRPr="001F02DB" w:rsidRDefault="00D72F49" w:rsidP="006C28E8">
            <w:pPr>
              <w:rPr>
                <w:caps/>
                <w:sz w:val="22"/>
              </w:rPr>
            </w:pPr>
            <w:r w:rsidRPr="001F02DB">
              <w:rPr>
                <w:sz w:val="22"/>
              </w:rPr>
              <w:t>__________________</w:t>
            </w:r>
          </w:p>
          <w:p w14:paraId="246B160C" w14:textId="77777777" w:rsidR="00D72F49" w:rsidRPr="001F02DB" w:rsidRDefault="00D72F49" w:rsidP="006C28E8">
            <w:pPr>
              <w:rPr>
                <w:b/>
                <w:bCs/>
                <w:sz w:val="26"/>
                <w:szCs w:val="26"/>
              </w:rPr>
            </w:pPr>
            <w:r w:rsidRPr="001F02DB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0A447F5E" w:rsidR="00D72F49" w:rsidRPr="001F02DB" w:rsidRDefault="001F02DB" w:rsidP="006C28E8">
            <w:pPr>
              <w:keepNext/>
              <w:keepLines/>
              <w:spacing w:before="80" w:after="120"/>
            </w:pPr>
            <w:r w:rsidRPr="00AD2BE5">
              <w:rPr>
                <w:i/>
                <w:iCs/>
                <w:szCs w:val="24"/>
              </w:rPr>
              <w:t>Rés</w:t>
            </w:r>
            <w:r w:rsidRPr="006C28E8">
              <w:rPr>
                <w:i/>
                <w:iCs/>
                <w:sz w:val="22"/>
                <w:szCs w:val="22"/>
              </w:rPr>
              <w:t xml:space="preserve">olutions </w:t>
            </w:r>
            <w:hyperlink r:id="rId7" w:history="1"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A/RES/70/125</w:t>
              </w:r>
            </w:hyperlink>
            <w:r w:rsidR="00E56CAF" w:rsidRPr="006C28E8">
              <w:rPr>
                <w:i/>
                <w:iCs/>
                <w:sz w:val="22"/>
                <w:szCs w:val="22"/>
              </w:rPr>
              <w:t>,</w:t>
            </w:r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hyperlink r:id="rId8" w:history="1"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A/RES/70/1</w:t>
              </w:r>
            </w:hyperlink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9" w:tgtFrame="_blank" w:history="1"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A/RES/77/150</w:t>
              </w:r>
            </w:hyperlink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10" w:history="1"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A/RES/71/212</w:t>
              </w:r>
            </w:hyperlink>
            <w:r w:rsidRPr="006C28E8">
              <w:rPr>
                <w:i/>
                <w:iCs/>
                <w:sz w:val="22"/>
                <w:szCs w:val="22"/>
              </w:rPr>
              <w:t>,</w:t>
            </w:r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hyperlink r:id="rId11" w:history="1"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A/RES/70/299</w:t>
              </w:r>
            </w:hyperlink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12" w:history="1"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A/70/684</w:t>
              </w:r>
            </w:hyperlink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13" w:history="1"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A/RES/73/218</w:t>
              </w:r>
            </w:hyperlink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 l</w:t>
            </w:r>
            <w:r w:rsidR="002F5CCA"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'</w:t>
            </w:r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Assemblée générale des Nations Unies; Résolution</w:t>
            </w:r>
            <w:r w:rsidR="00E56CAF"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hyperlink r:id="rId14" w:history="1"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E/RES/2023/3</w:t>
              </w:r>
            </w:hyperlink>
            <w:r w:rsidRPr="006C28E8">
              <w:rPr>
                <w:i/>
                <w:iCs/>
                <w:sz w:val="22"/>
                <w:szCs w:val="22"/>
              </w:rPr>
              <w:t xml:space="preserve"> du Conseil économique et social des Nations Unies; </w:t>
            </w:r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Résolutions </w:t>
            </w:r>
            <w:hyperlink r:id="rId15" w:history="1">
              <w:r w:rsidRPr="006C28E8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140 (Rév. Bucarest, 2022)</w:t>
              </w:r>
            </w:hyperlink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16" w:history="1"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172 (Rév. Guadalajara, 2010)</w:t>
              </w:r>
            </w:hyperlink>
            <w:r w:rsidRPr="006C28E8">
              <w:rPr>
                <w:i/>
                <w:iCs/>
                <w:sz w:val="22"/>
                <w:szCs w:val="22"/>
              </w:rPr>
              <w:t xml:space="preserve">, </w:t>
            </w:r>
            <w:hyperlink r:id="rId17" w:history="1"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71 (Rév. Bucarest, 2022)</w:t>
              </w:r>
            </w:hyperlink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 la Conférence de plénipotentiaires; Résolutions </w:t>
            </w:r>
            <w:hyperlink r:id="rId18" w:history="1"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1332 (modifiée en 2023)</w:t>
              </w:r>
            </w:hyperlink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19" w:history="1"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1334 (modifiée en</w:t>
              </w:r>
              <w:r w:rsidR="00E56CAF" w:rsidRPr="006C28E8">
                <w:rPr>
                  <w:rStyle w:val="Hyperlink"/>
                  <w:i/>
                  <w:iCs/>
                  <w:sz w:val="22"/>
                  <w:szCs w:val="22"/>
                </w:rPr>
                <w:t> </w:t>
              </w:r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2023)</w:t>
              </w:r>
            </w:hyperlink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du Conseil; Résolution </w:t>
            </w:r>
            <w:hyperlink r:id="rId20" w:history="1"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30 (Rév. Kigali, 2022)</w:t>
              </w:r>
            </w:hyperlink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 la CMDT; Résolution</w:t>
            </w:r>
            <w:r w:rsidR="00480C71"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hyperlink r:id="rId21" w:history="1"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75</w:t>
              </w:r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 xml:space="preserve"> </w:t>
              </w:r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(Rév.</w:t>
              </w:r>
              <w:r w:rsidR="00E56CAF" w:rsidRPr="006C28E8">
                <w:rPr>
                  <w:rStyle w:val="Hyperlink"/>
                  <w:i/>
                  <w:iCs/>
                  <w:sz w:val="22"/>
                  <w:szCs w:val="22"/>
                </w:rPr>
                <w:t> </w:t>
              </w:r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Genève, 2022)</w:t>
              </w:r>
            </w:hyperlink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 l</w:t>
            </w:r>
            <w:r w:rsidR="002F5CCA"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'</w:t>
            </w:r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AMNT; </w:t>
            </w:r>
            <w:r w:rsidRPr="006C28E8">
              <w:rPr>
                <w:i/>
                <w:iCs/>
                <w:sz w:val="22"/>
                <w:szCs w:val="22"/>
              </w:rPr>
              <w:t xml:space="preserve">Résolution </w:t>
            </w:r>
            <w:hyperlink r:id="rId22" w:history="1"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 xml:space="preserve">UIT-R </w:t>
              </w:r>
              <w:r w:rsidRPr="006C28E8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61-2 (modifiée en 2019)</w:t>
              </w:r>
            </w:hyperlink>
            <w:r w:rsidRPr="006C28E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hyperlink r:id="rId23" w:history="1"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>Déclaration du</w:t>
              </w:r>
              <w:r w:rsidR="002F5CCA" w:rsidRPr="006C28E8">
                <w:rPr>
                  <w:rStyle w:val="Hyperlink"/>
                  <w:i/>
                  <w:iCs/>
                  <w:sz w:val="22"/>
                  <w:szCs w:val="22"/>
                </w:rPr>
                <w:t> </w:t>
              </w:r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>SMSI+10 sur la mise en œuvre des résultats du SMSI</w:t>
              </w:r>
            </w:hyperlink>
            <w:r w:rsidR="00480C71" w:rsidRPr="006C28E8">
              <w:rPr>
                <w:i/>
                <w:iCs/>
                <w:sz w:val="22"/>
                <w:szCs w:val="22"/>
              </w:rPr>
              <w:t xml:space="preserve">; </w:t>
            </w:r>
            <w:hyperlink r:id="rId24" w:anchor="page=21" w:history="1"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>Vision du SMSI+10 pour l</w:t>
              </w:r>
              <w:r w:rsidR="002F5CCA" w:rsidRPr="006C28E8">
                <w:rPr>
                  <w:rStyle w:val="Hyperlink"/>
                  <w:i/>
                  <w:iCs/>
                  <w:sz w:val="22"/>
                  <w:szCs w:val="22"/>
                </w:rPr>
                <w:t>'</w:t>
              </w:r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>après-2015</w:t>
              </w:r>
            </w:hyperlink>
            <w:r w:rsidR="00480C71" w:rsidRPr="006C28E8">
              <w:rPr>
                <w:i/>
                <w:iCs/>
                <w:sz w:val="22"/>
                <w:szCs w:val="22"/>
              </w:rPr>
              <w:t xml:space="preserve">; </w:t>
            </w:r>
            <w:hyperlink r:id="rId25" w:history="1"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>Examen final des cibles du SMSI</w:t>
              </w:r>
            </w:hyperlink>
            <w:r w:rsidR="00480C71" w:rsidRPr="006C28E8">
              <w:rPr>
                <w:i/>
                <w:iCs/>
                <w:sz w:val="22"/>
                <w:szCs w:val="22"/>
              </w:rPr>
              <w:t xml:space="preserve">; </w:t>
            </w:r>
            <w:hyperlink r:id="rId26" w:history="1"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>Rapport SMSI+10: Contribution de l</w:t>
              </w:r>
              <w:r w:rsidR="002F5CCA" w:rsidRPr="006C28E8">
                <w:rPr>
                  <w:rStyle w:val="Hyperlink"/>
                  <w:i/>
                  <w:iCs/>
                  <w:sz w:val="22"/>
                  <w:szCs w:val="22"/>
                </w:rPr>
                <w:t>'</w:t>
              </w:r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>UIT sur dix ans à la mise en œuvre et au suivi des résultats du SMSI (2005-2014)</w:t>
              </w:r>
            </w:hyperlink>
            <w:r w:rsidR="00480C71" w:rsidRPr="006C28E8">
              <w:rPr>
                <w:i/>
                <w:iCs/>
                <w:sz w:val="22"/>
                <w:szCs w:val="22"/>
              </w:rPr>
              <w:t xml:space="preserve">; </w:t>
            </w:r>
            <w:hyperlink r:id="rId27" w:history="1"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>Rapport sur les résultats des réunions du GTC-SMSI&amp;ODD tenues depuis la PP-18</w:t>
              </w:r>
            </w:hyperlink>
            <w:r w:rsidR="00480C71" w:rsidRPr="006C28E8">
              <w:rPr>
                <w:i/>
                <w:iCs/>
                <w:sz w:val="22"/>
                <w:szCs w:val="22"/>
              </w:rPr>
              <w:t xml:space="preserve">; </w:t>
            </w:r>
            <w:hyperlink r:id="rId28" w:history="1"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>Rapport sur les résultats des réunions du GTC</w:t>
              </w:r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noBreakHyphen/>
                <w:t>SMSI&amp;ODD tenues depuis la session de 2021 du Conseil</w:t>
              </w:r>
            </w:hyperlink>
            <w:r w:rsidR="00480C71" w:rsidRPr="006C28E8">
              <w:rPr>
                <w:i/>
                <w:iCs/>
                <w:sz w:val="22"/>
                <w:szCs w:val="22"/>
              </w:rPr>
              <w:t xml:space="preserve">; </w:t>
            </w:r>
            <w:hyperlink r:id="rId29" w:history="1"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>Feuille de route pour les activités de l</w:t>
              </w:r>
              <w:r w:rsidR="002F5CCA" w:rsidRPr="006C28E8">
                <w:rPr>
                  <w:rStyle w:val="Hyperlink"/>
                  <w:i/>
                  <w:iCs/>
                  <w:sz w:val="22"/>
                  <w:szCs w:val="22"/>
                </w:rPr>
                <w:t>'</w:t>
              </w:r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>UIT visant à contribuer à la réalisation du Programme de développement durable à l</w:t>
              </w:r>
              <w:r w:rsidR="002F5CCA" w:rsidRPr="006C28E8">
                <w:rPr>
                  <w:rStyle w:val="Hyperlink"/>
                  <w:i/>
                  <w:iCs/>
                  <w:sz w:val="22"/>
                  <w:szCs w:val="22"/>
                </w:rPr>
                <w:t>'</w:t>
              </w:r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>horizon 2030</w:t>
              </w:r>
            </w:hyperlink>
            <w:r w:rsidR="00480C71" w:rsidRPr="006C28E8">
              <w:rPr>
                <w:i/>
                <w:iCs/>
                <w:sz w:val="22"/>
                <w:szCs w:val="22"/>
              </w:rPr>
              <w:t xml:space="preserve">; </w:t>
            </w:r>
            <w:hyperlink r:id="rId30" w:history="1"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>Sommet mondial sur la société de l</w:t>
              </w:r>
              <w:r w:rsidR="002F5CCA" w:rsidRPr="006C28E8">
                <w:rPr>
                  <w:rStyle w:val="Hyperlink"/>
                  <w:i/>
                  <w:iCs/>
                  <w:sz w:val="22"/>
                  <w:szCs w:val="22"/>
                </w:rPr>
                <w:t>'</w:t>
              </w:r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>information (SMSI)+20: le SMSI après 2025 – Feuille de route pour le SMSI+20</w:t>
              </w:r>
            </w:hyperlink>
            <w:r w:rsidR="00480C71" w:rsidRPr="006C28E8">
              <w:rPr>
                <w:i/>
                <w:iCs/>
                <w:sz w:val="22"/>
                <w:szCs w:val="22"/>
              </w:rPr>
              <w:t xml:space="preserve">; </w:t>
            </w:r>
            <w:hyperlink r:id="rId31" w:history="1"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 xml:space="preserve">Résumé de </w:t>
              </w:r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lastRenderedPageBreak/>
                <w:t>la 39ème réunion du GTC</w:t>
              </w:r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noBreakHyphen/>
                <w:t>SMSI&amp;ODD</w:t>
              </w:r>
            </w:hyperlink>
            <w:r w:rsidR="00480C71" w:rsidRPr="006C28E8">
              <w:rPr>
                <w:i/>
                <w:iCs/>
                <w:sz w:val="22"/>
                <w:szCs w:val="22"/>
              </w:rPr>
              <w:t xml:space="preserve">; </w:t>
            </w:r>
            <w:hyperlink r:id="rId32" w:history="1"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>Résumé de la 40ème réunion du GTC-SMSI&amp;ODD</w:t>
              </w:r>
            </w:hyperlink>
            <w:r w:rsidR="00480C71" w:rsidRPr="006C28E8">
              <w:rPr>
                <w:i/>
                <w:iCs/>
                <w:sz w:val="22"/>
                <w:szCs w:val="22"/>
              </w:rPr>
              <w:t xml:space="preserve">; </w:t>
            </w:r>
            <w:hyperlink r:id="rId33" w:history="1"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t>site web du GTC</w:t>
              </w:r>
              <w:r w:rsidR="00480C71" w:rsidRPr="006C28E8">
                <w:rPr>
                  <w:rStyle w:val="Hyperlink"/>
                  <w:i/>
                  <w:iCs/>
                  <w:sz w:val="22"/>
                  <w:szCs w:val="22"/>
                </w:rPr>
                <w:noBreakHyphen/>
                <w:t>SMSI&amp;ODD</w:t>
              </w:r>
            </w:hyperlink>
            <w:r w:rsidRPr="006C28E8">
              <w:rPr>
                <w:sz w:val="22"/>
                <w:szCs w:val="22"/>
              </w:rPr>
              <w:t xml:space="preserve">; </w:t>
            </w:r>
            <w:r w:rsidRPr="006C28E8">
              <w:rPr>
                <w:i/>
                <w:iCs/>
                <w:sz w:val="22"/>
                <w:szCs w:val="22"/>
              </w:rPr>
              <w:t xml:space="preserve">Document </w:t>
            </w:r>
            <w:hyperlink r:id="rId34" w:history="1">
              <w:r w:rsidRPr="006C28E8">
                <w:rPr>
                  <w:rStyle w:val="Hyperlink"/>
                  <w:i/>
                  <w:iCs/>
                  <w:sz w:val="22"/>
                  <w:szCs w:val="22"/>
                </w:rPr>
                <w:t>C24/60</w:t>
              </w:r>
            </w:hyperlink>
            <w:r w:rsidR="00480C71" w:rsidRPr="006C28E8">
              <w:rPr>
                <w:sz w:val="22"/>
                <w:szCs w:val="22"/>
              </w:rPr>
              <w:t>.</w:t>
            </w:r>
          </w:p>
        </w:tc>
      </w:tr>
    </w:tbl>
    <w:p w14:paraId="5EBE6F31" w14:textId="69E3CA5C" w:rsidR="001F02DB" w:rsidRDefault="001F02DB" w:rsidP="001F02DB">
      <w:pPr>
        <w:pStyle w:val="Heading1"/>
      </w:pPr>
      <w:r>
        <w:lastRenderedPageBreak/>
        <w:t>1</w:t>
      </w:r>
      <w:r>
        <w:tab/>
        <w:t>Introduction</w:t>
      </w:r>
    </w:p>
    <w:p w14:paraId="4ABC84F0" w14:textId="21D9D189" w:rsidR="001F02DB" w:rsidRPr="00FA0300" w:rsidRDefault="001F02DB" w:rsidP="001F02DB">
      <w:pPr>
        <w:rPr>
          <w:spacing w:val="-2"/>
        </w:rPr>
      </w:pPr>
      <w:r w:rsidRPr="00FA0300">
        <w:rPr>
          <w:spacing w:val="-2"/>
        </w:rPr>
        <w:t xml:space="preserve">La contribution intitulée "Projet de </w:t>
      </w:r>
      <w:r w:rsidR="002F5CCA" w:rsidRPr="00FA0300">
        <w:rPr>
          <w:spacing w:val="-2"/>
        </w:rPr>
        <w:t>r</w:t>
      </w:r>
      <w:r w:rsidRPr="00FA0300">
        <w:rPr>
          <w:spacing w:val="-2"/>
        </w:rPr>
        <w:t>apport sur le SMSI+20: Vingt ans de contribution de l</w:t>
      </w:r>
      <w:r w:rsidR="002F5CCA" w:rsidRPr="00FA0300">
        <w:rPr>
          <w:spacing w:val="-2"/>
        </w:rPr>
        <w:t>'</w:t>
      </w:r>
      <w:r w:rsidRPr="00FA0300">
        <w:rPr>
          <w:spacing w:val="-2"/>
        </w:rPr>
        <w:t>UIT à la mise en œuvre et au suivi des résultats du SMSI et rôle de l</w:t>
      </w:r>
      <w:r w:rsidR="002F5CCA" w:rsidRPr="00FA0300">
        <w:rPr>
          <w:spacing w:val="-2"/>
        </w:rPr>
        <w:t>'</w:t>
      </w:r>
      <w:r w:rsidRPr="00FA0300">
        <w:rPr>
          <w:spacing w:val="-2"/>
        </w:rPr>
        <w:t>UIT dans la réalisation des</w:t>
      </w:r>
      <w:r w:rsidR="002F5CCA" w:rsidRPr="00FA0300">
        <w:rPr>
          <w:spacing w:val="-2"/>
        </w:rPr>
        <w:t> </w:t>
      </w:r>
      <w:r w:rsidRPr="00FA0300">
        <w:rPr>
          <w:spacing w:val="-2"/>
        </w:rPr>
        <w:t>ODD" (</w:t>
      </w:r>
      <w:r w:rsidR="002F5CCA" w:rsidRPr="00FA0300">
        <w:rPr>
          <w:spacing w:val="-2"/>
        </w:rPr>
        <w:t>Document</w:t>
      </w:r>
      <w:r w:rsidRPr="00FA0300">
        <w:rPr>
          <w:spacing w:val="-2"/>
        </w:rPr>
        <w:t xml:space="preserve"> </w:t>
      </w:r>
      <w:hyperlink r:id="rId35" w:history="1">
        <w:r w:rsidRPr="00FA0300">
          <w:rPr>
            <w:rStyle w:val="Hyperlink"/>
            <w:spacing w:val="-2"/>
          </w:rPr>
          <w:t>C24/60</w:t>
        </w:r>
      </w:hyperlink>
      <w:r w:rsidRPr="00FA0300">
        <w:rPr>
          <w:spacing w:val="-2"/>
        </w:rPr>
        <w:t>) présentée par la Secrétaire générale ne contient que des informations sommaires sur la contribution de l</w:t>
      </w:r>
      <w:r w:rsidR="002F5CCA" w:rsidRPr="00FA0300">
        <w:rPr>
          <w:spacing w:val="-2"/>
        </w:rPr>
        <w:t>'</w:t>
      </w:r>
      <w:r w:rsidRPr="00FA0300">
        <w:rPr>
          <w:spacing w:val="-2"/>
        </w:rPr>
        <w:t>UIT à la mise en œuvre des résultats du</w:t>
      </w:r>
      <w:r w:rsidR="002F5CCA" w:rsidRPr="00FA0300">
        <w:rPr>
          <w:spacing w:val="-2"/>
        </w:rPr>
        <w:t> </w:t>
      </w:r>
      <w:r w:rsidRPr="00FA0300">
        <w:rPr>
          <w:spacing w:val="-2"/>
        </w:rPr>
        <w:t>SMSI.</w:t>
      </w:r>
    </w:p>
    <w:p w14:paraId="3D44D8BC" w14:textId="03C2C70D" w:rsidR="001F02DB" w:rsidRDefault="001F02DB" w:rsidP="001F02DB">
      <w:r>
        <w:t>Ce document ne reflète pas la somme des travaux, passés et en cours, menés par l</w:t>
      </w:r>
      <w:r w:rsidR="002F5CCA">
        <w:t>'</w:t>
      </w:r>
      <w:r>
        <w:t>UIT en vue de mettre en œuvre les résultats du SMSI et ne fait même pas mention des rapports annuels détaillés produits par l</w:t>
      </w:r>
      <w:r w:rsidR="002F5CCA">
        <w:t>'</w:t>
      </w:r>
      <w:r>
        <w:t xml:space="preserve">Union, le Partenariat sur la mesure des TIC au service du développement et la Commission sur le large bande. </w:t>
      </w:r>
    </w:p>
    <w:p w14:paraId="153B6D34" w14:textId="0E67AAF7" w:rsidR="001F02DB" w:rsidRDefault="001F02DB" w:rsidP="001F02DB">
      <w:r>
        <w:t>Ce projet de rapport ne contient pas non plus de renseignements concernant la réalisation des 10 cibles définies dans le Plan d</w:t>
      </w:r>
      <w:r w:rsidR="002F5CCA">
        <w:t>'</w:t>
      </w:r>
      <w:r>
        <w:t>action de Genève, les difficultés rencontrées dans la mise en œuvre des grandes orientations et les objectifs qu</w:t>
      </w:r>
      <w:r w:rsidR="002F5CCA">
        <w:t>'</w:t>
      </w:r>
      <w:r>
        <w:t>il n</w:t>
      </w:r>
      <w:r w:rsidR="002F5CCA">
        <w:t>'</w:t>
      </w:r>
      <w:r>
        <w:t>a pas été possible d</w:t>
      </w:r>
      <w:r w:rsidR="002F5CCA">
        <w:t>'</w:t>
      </w:r>
      <w:r>
        <w:t xml:space="preserve">atteindre (du moins pour ce qui est des grandes orientations C2, C4, C5 et C6). </w:t>
      </w:r>
    </w:p>
    <w:p w14:paraId="23D9339E" w14:textId="3C48277F" w:rsidR="001F02DB" w:rsidRDefault="001F02DB" w:rsidP="001F02DB">
      <w:r>
        <w:t>Il importe de formuler des propositions concernant la vision pour le SMSI après</w:t>
      </w:r>
      <w:r w:rsidR="002F5CCA">
        <w:t> </w:t>
      </w:r>
      <w:r>
        <w:t>2025,</w:t>
      </w:r>
      <w:r w:rsidR="002F5CCA">
        <w:t xml:space="preserve"> </w:t>
      </w:r>
      <w:r>
        <w:t>principalement en vue de faciliter la mise en œuvre du Programme de développement durable à l</w:t>
      </w:r>
      <w:r w:rsidR="002F5CCA">
        <w:t>'</w:t>
      </w:r>
      <w:r>
        <w:t>horizon 2030.</w:t>
      </w:r>
    </w:p>
    <w:p w14:paraId="5E9DF210" w14:textId="15A984D8" w:rsidR="001F02DB" w:rsidRDefault="001F02DB" w:rsidP="001F02DB">
      <w:r>
        <w:t>Malheureusement, ce document n</w:t>
      </w:r>
      <w:r w:rsidR="002F5CCA">
        <w:t>'</w:t>
      </w:r>
      <w:r>
        <w:t>a pas été soumis au GTC-SMSI&amp;ODD pour examen.</w:t>
      </w:r>
    </w:p>
    <w:p w14:paraId="6C5C3C75" w14:textId="5590FE84" w:rsidR="001F02DB" w:rsidRDefault="001F02DB" w:rsidP="002F5CCA">
      <w:pPr>
        <w:pStyle w:val="Heading1"/>
      </w:pPr>
      <w:r>
        <w:t>2</w:t>
      </w:r>
      <w:r>
        <w:tab/>
        <w:t>Propositions</w:t>
      </w:r>
    </w:p>
    <w:p w14:paraId="29883CE1" w14:textId="45D6834A" w:rsidR="001F02DB" w:rsidRDefault="001F02DB" w:rsidP="001F02DB">
      <w:r>
        <w:t>2.1</w:t>
      </w:r>
      <w:r>
        <w:tab/>
      </w:r>
      <w:r w:rsidRPr="002F5CCA">
        <w:rPr>
          <w:b/>
          <w:bCs/>
        </w:rPr>
        <w:t>Compléter le projet de rapport</w:t>
      </w:r>
      <w:r>
        <w:t xml:space="preserve"> sur le SMSI+20, en tenant compte des remarques ci</w:t>
      </w:r>
      <w:r w:rsidR="002F5CCA">
        <w:noBreakHyphen/>
      </w:r>
      <w:r>
        <w:t>dessus et des discussions qui auront lieu lors de la Manifestation de haut niveau WSIS+20 en mai 2024.</w:t>
      </w:r>
    </w:p>
    <w:p w14:paraId="10E850D2" w14:textId="73E8FB7E" w:rsidR="00A51849" w:rsidRDefault="001F02DB" w:rsidP="001F02DB">
      <w:r>
        <w:t>2.2</w:t>
      </w:r>
      <w:r>
        <w:tab/>
      </w:r>
      <w:r w:rsidRPr="002F5CCA">
        <w:rPr>
          <w:b/>
          <w:bCs/>
        </w:rPr>
        <w:t>Soumettre</w:t>
      </w:r>
      <w:r>
        <w:t xml:space="preserve"> le projet de rapport ainsi complété pour examen aux réunions du</w:t>
      </w:r>
      <w:r w:rsidR="002F5CCA">
        <w:t> </w:t>
      </w:r>
      <w:r>
        <w:t>GTC</w:t>
      </w:r>
      <w:r w:rsidR="002F5CCA">
        <w:noBreakHyphen/>
      </w:r>
      <w:r>
        <w:t>SMSI&amp;ODD programmées en octobre 2024 et en janvier 2025.</w:t>
      </w:r>
    </w:p>
    <w:p w14:paraId="04A24A28" w14:textId="77777777" w:rsidR="00FA0300" w:rsidRPr="001F02DB" w:rsidRDefault="00FA0300" w:rsidP="001F02DB"/>
    <w:p w14:paraId="581769DA" w14:textId="77777777" w:rsidR="002F5CCA" w:rsidRDefault="002F5CCA">
      <w:pPr>
        <w:jc w:val="center"/>
      </w:pPr>
      <w:r>
        <w:t>______________</w:t>
      </w:r>
    </w:p>
    <w:sectPr w:rsidR="002F5CCA" w:rsidSect="00D72F49">
      <w:headerReference w:type="even" r:id="rId36"/>
      <w:footerReference w:type="even" r:id="rId37"/>
      <w:footerReference w:type="default" r:id="rId38"/>
      <w:headerReference w:type="first" r:id="rId39"/>
      <w:footerReference w:type="first" r:id="rId40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FE31D" w14:textId="77777777" w:rsidR="00E37C7C" w:rsidRDefault="00E37C7C">
      <w:r>
        <w:separator/>
      </w:r>
    </w:p>
  </w:endnote>
  <w:endnote w:type="continuationSeparator" w:id="0">
    <w:p w14:paraId="6AA22FBB" w14:textId="77777777" w:rsidR="00E37C7C" w:rsidRDefault="00E3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F0A98" w14:textId="04E4BCA5" w:rsidR="00732045" w:rsidRDefault="00E84E82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4428F">
      <w:t>Document4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06.06.24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61893A78" w:rsidR="00A51849" w:rsidRDefault="002F5CCA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24-00816</w:t>
          </w:r>
        </w:p>
      </w:tc>
      <w:tc>
        <w:tcPr>
          <w:tcW w:w="8261" w:type="dxa"/>
        </w:tcPr>
        <w:p w14:paraId="0DB0A3C6" w14:textId="3DC0E2D2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73275D">
            <w:rPr>
              <w:bCs/>
            </w:rPr>
            <w:t>4</w:t>
          </w:r>
          <w:r w:rsidRPr="00623AE3">
            <w:rPr>
              <w:bCs/>
            </w:rPr>
            <w:t>/</w:t>
          </w:r>
          <w:r w:rsidR="002F5CCA">
            <w:rPr>
              <w:bCs/>
            </w:rPr>
            <w:t>82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6895069A" w:rsidR="00732045" w:rsidRPr="00A51849" w:rsidRDefault="00732045" w:rsidP="002F5C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Pr="0082299A" w:rsidRDefault="00E84E82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="00A51849" w:rsidRPr="0082299A">
              <w:rPr>
                <w:rStyle w:val="Hyperlink"/>
                <w:color w:val="0563C1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653DA67A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73275D">
            <w:rPr>
              <w:bCs/>
            </w:rPr>
            <w:t>4</w:t>
          </w:r>
          <w:r w:rsidRPr="00623AE3">
            <w:rPr>
              <w:bCs/>
            </w:rPr>
            <w:t>/</w:t>
          </w:r>
          <w:r w:rsidR="002F5CCA">
            <w:rPr>
              <w:bCs/>
            </w:rPr>
            <w:t>82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03C1DDC3" w:rsidR="00732045" w:rsidRPr="00A51849" w:rsidRDefault="00732045" w:rsidP="002F5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A7D3F" w14:textId="77777777" w:rsidR="00E37C7C" w:rsidRDefault="00E37C7C">
      <w:r>
        <w:t>____________________</w:t>
      </w:r>
    </w:p>
  </w:footnote>
  <w:footnote w:type="continuationSeparator" w:id="0">
    <w:p w14:paraId="05941CE7" w14:textId="77777777" w:rsidR="00E37C7C" w:rsidRDefault="00E3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00251A84" w:rsidR="00A51849" w:rsidRPr="009621F8" w:rsidRDefault="0082299A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8486828" wp14:editId="1DE66D1A">
                <wp:extent cx="2102400" cy="558000"/>
                <wp:effectExtent l="0" t="0" r="0" b="0"/>
                <wp:docPr id="230141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C4E1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4CEC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7CA0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4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24F7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E8E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BE79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26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30C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985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9679571">
    <w:abstractNumId w:val="9"/>
  </w:num>
  <w:num w:numId="2" w16cid:durableId="1798797444">
    <w:abstractNumId w:val="7"/>
  </w:num>
  <w:num w:numId="3" w16cid:durableId="6952982">
    <w:abstractNumId w:val="6"/>
  </w:num>
  <w:num w:numId="4" w16cid:durableId="1712419661">
    <w:abstractNumId w:val="5"/>
  </w:num>
  <w:num w:numId="5" w16cid:durableId="2064987869">
    <w:abstractNumId w:val="4"/>
  </w:num>
  <w:num w:numId="6" w16cid:durableId="1433938778">
    <w:abstractNumId w:val="8"/>
  </w:num>
  <w:num w:numId="7" w16cid:durableId="43599022">
    <w:abstractNumId w:val="3"/>
  </w:num>
  <w:num w:numId="8" w16cid:durableId="1249968434">
    <w:abstractNumId w:val="2"/>
  </w:num>
  <w:num w:numId="9" w16cid:durableId="319622751">
    <w:abstractNumId w:val="1"/>
  </w:num>
  <w:num w:numId="10" w16cid:durableId="1328172663">
    <w:abstractNumId w:val="0"/>
  </w:num>
  <w:num w:numId="11" w16cid:durableId="797332740">
    <w:abstractNumId w:val="8"/>
  </w:num>
  <w:num w:numId="12" w16cid:durableId="1418093629">
    <w:abstractNumId w:val="3"/>
  </w:num>
  <w:num w:numId="13" w16cid:durableId="1238318092">
    <w:abstractNumId w:val="2"/>
  </w:num>
  <w:num w:numId="14" w16cid:durableId="888759195">
    <w:abstractNumId w:val="1"/>
  </w:num>
  <w:num w:numId="15" w16cid:durableId="112003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76A2C"/>
    <w:rsid w:val="000D0D0A"/>
    <w:rsid w:val="00103163"/>
    <w:rsid w:val="00106B19"/>
    <w:rsid w:val="001133EF"/>
    <w:rsid w:val="00115D93"/>
    <w:rsid w:val="001247A8"/>
    <w:rsid w:val="001378C0"/>
    <w:rsid w:val="0018694A"/>
    <w:rsid w:val="001A3287"/>
    <w:rsid w:val="001A6508"/>
    <w:rsid w:val="001D4C31"/>
    <w:rsid w:val="001E4D21"/>
    <w:rsid w:val="001F02DB"/>
    <w:rsid w:val="00207CD1"/>
    <w:rsid w:val="00226657"/>
    <w:rsid w:val="002477A2"/>
    <w:rsid w:val="00263A51"/>
    <w:rsid w:val="00267E02"/>
    <w:rsid w:val="002A5D44"/>
    <w:rsid w:val="002C26C0"/>
    <w:rsid w:val="002E0BC4"/>
    <w:rsid w:val="002F1B76"/>
    <w:rsid w:val="002F5CCA"/>
    <w:rsid w:val="0033568E"/>
    <w:rsid w:val="00355FF5"/>
    <w:rsid w:val="00361350"/>
    <w:rsid w:val="00381054"/>
    <w:rsid w:val="003C3FAE"/>
    <w:rsid w:val="004038CB"/>
    <w:rsid w:val="0040546F"/>
    <w:rsid w:val="0042404A"/>
    <w:rsid w:val="0044618F"/>
    <w:rsid w:val="0046769A"/>
    <w:rsid w:val="00475FB3"/>
    <w:rsid w:val="00480C71"/>
    <w:rsid w:val="004C37A9"/>
    <w:rsid w:val="004D1D50"/>
    <w:rsid w:val="004F259E"/>
    <w:rsid w:val="00511F1D"/>
    <w:rsid w:val="00520F36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A11AE"/>
    <w:rsid w:val="006C28E8"/>
    <w:rsid w:val="006F0A53"/>
    <w:rsid w:val="007210CD"/>
    <w:rsid w:val="00732045"/>
    <w:rsid w:val="0073275D"/>
    <w:rsid w:val="007369DB"/>
    <w:rsid w:val="007956C2"/>
    <w:rsid w:val="007A187E"/>
    <w:rsid w:val="007C72C2"/>
    <w:rsid w:val="007D4436"/>
    <w:rsid w:val="007F257A"/>
    <w:rsid w:val="007F3665"/>
    <w:rsid w:val="00800037"/>
    <w:rsid w:val="0082299A"/>
    <w:rsid w:val="0083391C"/>
    <w:rsid w:val="00861D73"/>
    <w:rsid w:val="00897553"/>
    <w:rsid w:val="008A4E87"/>
    <w:rsid w:val="008D76E6"/>
    <w:rsid w:val="0092392D"/>
    <w:rsid w:val="0093234A"/>
    <w:rsid w:val="00956A78"/>
    <w:rsid w:val="0097363B"/>
    <w:rsid w:val="00973F53"/>
    <w:rsid w:val="00985850"/>
    <w:rsid w:val="009A6BAA"/>
    <w:rsid w:val="009C307F"/>
    <w:rsid w:val="009C353C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C258B"/>
    <w:rsid w:val="00AC5EA6"/>
    <w:rsid w:val="00AD24EC"/>
    <w:rsid w:val="00B309F9"/>
    <w:rsid w:val="00B32B60"/>
    <w:rsid w:val="00B61619"/>
    <w:rsid w:val="00BB4545"/>
    <w:rsid w:val="00BC0319"/>
    <w:rsid w:val="00BD5873"/>
    <w:rsid w:val="00BF4B60"/>
    <w:rsid w:val="00C04BE3"/>
    <w:rsid w:val="00C25D29"/>
    <w:rsid w:val="00C27A7C"/>
    <w:rsid w:val="00C42437"/>
    <w:rsid w:val="00CA08ED"/>
    <w:rsid w:val="00CF183B"/>
    <w:rsid w:val="00D375CD"/>
    <w:rsid w:val="00D553A2"/>
    <w:rsid w:val="00D65256"/>
    <w:rsid w:val="00D72F49"/>
    <w:rsid w:val="00D774D3"/>
    <w:rsid w:val="00D904E8"/>
    <w:rsid w:val="00DA08C3"/>
    <w:rsid w:val="00DB5A3E"/>
    <w:rsid w:val="00DC22AA"/>
    <w:rsid w:val="00DF74DD"/>
    <w:rsid w:val="00E25AD0"/>
    <w:rsid w:val="00E37C7C"/>
    <w:rsid w:val="00E4428F"/>
    <w:rsid w:val="00E56CAF"/>
    <w:rsid w:val="00E84E82"/>
    <w:rsid w:val="00E93668"/>
    <w:rsid w:val="00E95647"/>
    <w:rsid w:val="00EB6350"/>
    <w:rsid w:val="00F15B57"/>
    <w:rsid w:val="00F35EF4"/>
    <w:rsid w:val="00F37FE5"/>
    <w:rsid w:val="00F427DB"/>
    <w:rsid w:val="00FA0300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0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docs.org/Home/Mobile?FinalSymbol=A%2Fres%2F73%2F218&amp;Language=E&amp;DeviceType=Desktop&amp;LangRequested=False" TargetMode="External"/><Relationship Id="rId18" Type="http://schemas.openxmlformats.org/officeDocument/2006/relationships/hyperlink" Target="https://www.itu.int/md/S23-CL-C-0119/en" TargetMode="External"/><Relationship Id="rId26" Type="http://schemas.openxmlformats.org/officeDocument/2006/relationships/hyperlink" Target="https://www.itu.int/en/itu-wsis/Documents/WSIS+10Report.pdf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itu.int/pub/publications.aspx?lang=en&amp;parent=T-RES-T.75-2022" TargetMode="External"/><Relationship Id="rId34" Type="http://schemas.openxmlformats.org/officeDocument/2006/relationships/hyperlink" Target="https://www.itu.int/md/S24-CL-C-0060/en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ndocs.org/Home/Mobile?FinalSymbol=A%2FRES%2F70%2F125&amp;Language=E&amp;DeviceType=Desktop&amp;LangRequested=Fal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en/council/cwg-wsis/Documents/Resolution172-PP10.pdf" TargetMode="External"/><Relationship Id="rId20" Type="http://schemas.openxmlformats.org/officeDocument/2006/relationships/hyperlink" Target="https://www.itu.int/dms_pub/itu-d/opb/tdc/D-TDC-WTDC-2022-PDF-E.pdf" TargetMode="External"/><Relationship Id="rId29" Type="http://schemas.openxmlformats.org/officeDocument/2006/relationships/hyperlink" Target="https://www.itu.int/md/S22-CWGWSIS38-C-0014/en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ocs.org/Home/Mobile?FinalSymbol=A%2FRES%2F70%2F299&amp;Language=E&amp;DeviceType=Desktop&amp;LangRequested=False" TargetMode="External"/><Relationship Id="rId24" Type="http://schemas.openxmlformats.org/officeDocument/2006/relationships/hyperlink" Target="https://www.itu.int/net/wsis/implementation/2014/forum/inc/doc/outcome/362828V2F.pdf" TargetMode="External"/><Relationship Id="rId32" Type="http://schemas.openxmlformats.org/officeDocument/2006/relationships/hyperlink" Target="https://www.itu.int/dms_pub/itu-s/md/24/cwgwsis40/c/S24-CWGWSIS40-C-0015!!MSW-E.docx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council/Documents/basic-texts-2023/RES-140-E.pdf" TargetMode="External"/><Relationship Id="rId23" Type="http://schemas.openxmlformats.org/officeDocument/2006/relationships/hyperlink" Target="https://www.itu.int/net/wsis/implementation/2014/forum/inc/doc/outcome/362828V2F.pdf" TargetMode="External"/><Relationship Id="rId28" Type="http://schemas.openxmlformats.org/officeDocument/2006/relationships/hyperlink" Target="https://www.itu.int/md/S22-CWGWSIS38-C-0019/en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undocs.org/Home/Mobile?FinalSymbol=A%2FRES%2F71%2F212&amp;Language=E&amp;DeviceType=Desktop&amp;LangRequested=False" TargetMode="External"/><Relationship Id="rId19" Type="http://schemas.openxmlformats.org/officeDocument/2006/relationships/hyperlink" Target="https://www.itu.int/md/S23-CL-C-0120/en" TargetMode="External"/><Relationship Id="rId31" Type="http://schemas.openxmlformats.org/officeDocument/2006/relationships/hyperlink" Target="https://www.itu.int/dms_pub/itu-s/md/23/cwgwsis39/c/S23-CWGWSIS39-C-0022!!MSW-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docs.org/Home/Mobile?FinalSymbol=A%2FRES%2F77%2F150&amp;Language=E&amp;DeviceType=Desktop&amp;LangRequested=False" TargetMode="External"/><Relationship Id="rId14" Type="http://schemas.openxmlformats.org/officeDocument/2006/relationships/hyperlink" Target="https://undocs.org/E/RES/2023/3" TargetMode="External"/><Relationship Id="rId22" Type="http://schemas.openxmlformats.org/officeDocument/2006/relationships/hyperlink" Target="https://www.itu.int/pub/R-RES-R.61-2-2019/fr" TargetMode="External"/><Relationship Id="rId27" Type="http://schemas.openxmlformats.org/officeDocument/2006/relationships/hyperlink" Target="https://www.itu.int/md/S22-CWGWSIS38-C-0020/en" TargetMode="External"/><Relationship Id="rId30" Type="http://schemas.openxmlformats.org/officeDocument/2006/relationships/hyperlink" Target="https://www.itu.int/dms_pub/itu-s/md/22/cl/c/S22-CL-C-0059!!MSW-F.docx" TargetMode="External"/><Relationship Id="rId35" Type="http://schemas.openxmlformats.org/officeDocument/2006/relationships/hyperlink" Target="https://www.itu.int/md/S24-CL-C-0060/en" TargetMode="External"/><Relationship Id="rId8" Type="http://schemas.openxmlformats.org/officeDocument/2006/relationships/hyperlink" Target="https://undocs.org/Home/Mobile?FinalSymbol=A%2FRES%2F70%2F1&amp;Language=E&amp;DeviceType=Desktop&amp;LangRequested=Fal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ndocs.org/Home/Mobile?FinalSymbol=A%2F70%2F684&amp;Language=E&amp;DeviceType=Desktop&amp;LangRequested=False" TargetMode="External"/><Relationship Id="rId17" Type="http://schemas.openxmlformats.org/officeDocument/2006/relationships/hyperlink" Target="https://www.itu.int/en/council/Documents/basic-texts-2023/RES-071-E.pdf" TargetMode="External"/><Relationship Id="rId25" Type="http://schemas.openxmlformats.org/officeDocument/2006/relationships/hyperlink" Target="https://www.itu.int/en/ITU-D/Statistics/Documents/publications/wsisreview2014/WSIS2014_review.pdf" TargetMode="External"/><Relationship Id="rId33" Type="http://schemas.openxmlformats.org/officeDocument/2006/relationships/hyperlink" Target="https://www.itu.int/en/council/cwg-wsis/Pages/default.aspx" TargetMode="External"/><Relationship Id="rId38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6149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6817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2024 de l'UIT</dc:subject>
  <dc:creator>Xue, Kun</dc:creator>
  <cp:keywords>C2024, C24, Council-24</cp:keywords>
  <dc:description/>
  <cp:lastModifiedBy>Brouard, Ricarda</cp:lastModifiedBy>
  <cp:revision>2</cp:revision>
  <cp:lastPrinted>2000-07-18T08:55:00Z</cp:lastPrinted>
  <dcterms:created xsi:type="dcterms:W3CDTF">2024-09-10T09:24:00Z</dcterms:created>
  <dcterms:modified xsi:type="dcterms:W3CDTF">2024-09-10T09:24:00Z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