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C20F3A" w:rsidRPr="00813E5E" w14:paraId="16C8DD02" w14:textId="77777777" w:rsidTr="00C538FC">
        <w:trPr>
          <w:cantSplit/>
          <w:trHeight w:val="23"/>
        </w:trPr>
        <w:tc>
          <w:tcPr>
            <w:tcW w:w="3969" w:type="dxa"/>
            <w:vMerge w:val="restart"/>
            <w:tcMar>
              <w:left w:w="0" w:type="dxa"/>
            </w:tcMar>
          </w:tcPr>
          <w:p w14:paraId="380780FF" w14:textId="05002CCC" w:rsidR="00C20F3A" w:rsidRPr="00C20F3A" w:rsidRDefault="00C20F3A" w:rsidP="00C20F3A">
            <w:pPr>
              <w:tabs>
                <w:tab w:val="left" w:pos="851"/>
              </w:tabs>
              <w:spacing w:before="0" w:line="240" w:lineRule="atLeast"/>
              <w:rPr>
                <w:b/>
                <w:lang w:val="es-ES"/>
              </w:rPr>
            </w:pPr>
            <w:bookmarkStart w:id="0" w:name="_Hlk133421839"/>
            <w:r w:rsidRPr="00D43B85">
              <w:rPr>
                <w:b/>
              </w:rPr>
              <w:t>Punto del orden del día</w:t>
            </w:r>
            <w:r>
              <w:rPr>
                <w:b/>
              </w:rPr>
              <w:t>:</w:t>
            </w:r>
            <w:r>
              <w:rPr>
                <w:b/>
                <w:bCs/>
                <w:lang w:val="es-ES"/>
              </w:rPr>
              <w:t xml:space="preserve"> PL 2</w:t>
            </w:r>
          </w:p>
        </w:tc>
        <w:tc>
          <w:tcPr>
            <w:tcW w:w="5245" w:type="dxa"/>
          </w:tcPr>
          <w:p w14:paraId="12EC8577" w14:textId="2589F8EA" w:rsidR="00C20F3A" w:rsidRPr="00E85629" w:rsidRDefault="00C20F3A" w:rsidP="00C20F3A">
            <w:pPr>
              <w:tabs>
                <w:tab w:val="left" w:pos="851"/>
              </w:tabs>
              <w:spacing w:before="0" w:line="240" w:lineRule="atLeast"/>
              <w:jc w:val="right"/>
              <w:rPr>
                <w:b/>
              </w:rPr>
            </w:pPr>
            <w:r>
              <w:rPr>
                <w:b/>
                <w:bCs/>
                <w:lang w:val="es-ES"/>
              </w:rPr>
              <w:t>Documento C24/79-S</w:t>
            </w:r>
          </w:p>
        </w:tc>
      </w:tr>
      <w:tr w:rsidR="00C20F3A" w:rsidRPr="00813E5E" w14:paraId="2F7BAD0F" w14:textId="77777777" w:rsidTr="00C538FC">
        <w:trPr>
          <w:cantSplit/>
        </w:trPr>
        <w:tc>
          <w:tcPr>
            <w:tcW w:w="3969" w:type="dxa"/>
            <w:vMerge/>
          </w:tcPr>
          <w:p w14:paraId="32D340BD" w14:textId="77777777" w:rsidR="00C20F3A" w:rsidRPr="00813E5E" w:rsidRDefault="00C20F3A" w:rsidP="00C20F3A">
            <w:pPr>
              <w:tabs>
                <w:tab w:val="left" w:pos="851"/>
              </w:tabs>
              <w:spacing w:line="240" w:lineRule="atLeast"/>
              <w:rPr>
                <w:b/>
              </w:rPr>
            </w:pPr>
          </w:p>
        </w:tc>
        <w:tc>
          <w:tcPr>
            <w:tcW w:w="5245" w:type="dxa"/>
          </w:tcPr>
          <w:p w14:paraId="6D67502D" w14:textId="74FC792A" w:rsidR="00C20F3A" w:rsidRPr="00E85629" w:rsidRDefault="00C20F3A" w:rsidP="00C20F3A">
            <w:pPr>
              <w:tabs>
                <w:tab w:val="left" w:pos="851"/>
              </w:tabs>
              <w:spacing w:before="0"/>
              <w:jc w:val="right"/>
              <w:rPr>
                <w:b/>
              </w:rPr>
            </w:pPr>
            <w:r>
              <w:rPr>
                <w:b/>
                <w:bCs/>
                <w:lang w:val="es-ES"/>
              </w:rPr>
              <w:t>21 de mayo de 2024</w:t>
            </w:r>
          </w:p>
        </w:tc>
      </w:tr>
      <w:tr w:rsidR="00C20F3A" w:rsidRPr="00F24B71" w14:paraId="14ED61B8" w14:textId="77777777" w:rsidTr="00C538FC">
        <w:trPr>
          <w:cantSplit/>
          <w:trHeight w:val="23"/>
        </w:trPr>
        <w:tc>
          <w:tcPr>
            <w:tcW w:w="3969" w:type="dxa"/>
            <w:vMerge/>
          </w:tcPr>
          <w:p w14:paraId="36AAE2B4" w14:textId="77777777" w:rsidR="00C20F3A" w:rsidRPr="00813E5E" w:rsidRDefault="00C20F3A" w:rsidP="00C20F3A">
            <w:pPr>
              <w:tabs>
                <w:tab w:val="left" w:pos="851"/>
              </w:tabs>
              <w:spacing w:line="240" w:lineRule="atLeast"/>
              <w:rPr>
                <w:b/>
              </w:rPr>
            </w:pPr>
          </w:p>
        </w:tc>
        <w:tc>
          <w:tcPr>
            <w:tcW w:w="5245" w:type="dxa"/>
          </w:tcPr>
          <w:p w14:paraId="54C7ED74" w14:textId="55E3D467" w:rsidR="00C20F3A" w:rsidRPr="00F24B71" w:rsidRDefault="00C20F3A" w:rsidP="00C20F3A">
            <w:pPr>
              <w:tabs>
                <w:tab w:val="left" w:pos="851"/>
              </w:tabs>
              <w:spacing w:before="0" w:line="240" w:lineRule="atLeast"/>
              <w:jc w:val="right"/>
              <w:rPr>
                <w:b/>
                <w:bCs/>
              </w:rPr>
            </w:pPr>
            <w:r>
              <w:rPr>
                <w:b/>
                <w:bCs/>
                <w:lang w:val="es-ES"/>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47C8CCE5" w:rsidR="00FE57F6" w:rsidRPr="004B5D49" w:rsidRDefault="00C20F3A" w:rsidP="00C538FC">
            <w:pPr>
              <w:pStyle w:val="Source"/>
              <w:jc w:val="left"/>
              <w:rPr>
                <w:sz w:val="34"/>
                <w:szCs w:val="34"/>
                <w:lang w:val="es-ES"/>
              </w:rPr>
            </w:pPr>
            <w:r>
              <w:rPr>
                <w:bCs/>
                <w:lang w:val="es-ES"/>
              </w:rPr>
              <w:t>Contribución de Australia</w:t>
            </w:r>
          </w:p>
        </w:tc>
      </w:tr>
      <w:tr w:rsidR="00FE57F6" w:rsidRPr="00813E5E" w14:paraId="5E2B474A" w14:textId="77777777" w:rsidTr="00C538FC">
        <w:trPr>
          <w:cantSplit/>
        </w:trPr>
        <w:tc>
          <w:tcPr>
            <w:tcW w:w="9214" w:type="dxa"/>
            <w:gridSpan w:val="2"/>
            <w:tcMar>
              <w:left w:w="0" w:type="dxa"/>
            </w:tcMar>
          </w:tcPr>
          <w:p w14:paraId="75872F37" w14:textId="343195CC" w:rsidR="00FE57F6" w:rsidRPr="00C20F3A" w:rsidRDefault="00C20F3A" w:rsidP="00C538FC">
            <w:pPr>
              <w:pStyle w:val="Subtitle"/>
              <w:framePr w:hSpace="0" w:wrap="auto" w:hAnchor="text" w:xAlign="left" w:yAlign="inline"/>
              <w:rPr>
                <w:lang w:val="es-ES"/>
              </w:rPr>
            </w:pPr>
            <w:r>
              <w:rPr>
                <w:lang w:val="es-ES"/>
              </w:rPr>
              <w:t>PROMOCIÓN DE LA EFICIENCIA Y EFICACIA EN EL FUNCIONAMIENTO DE LAS OFICINAS REGIONALES Y ZONALES</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3FC83F83" w:rsidR="00FE57F6" w:rsidRPr="00F24B71" w:rsidRDefault="00F24B71" w:rsidP="00C538FC">
            <w:pPr>
              <w:spacing w:before="160"/>
              <w:rPr>
                <w:b/>
                <w:bCs/>
                <w:sz w:val="26"/>
                <w:szCs w:val="26"/>
                <w:lang w:val="es-ES"/>
              </w:rPr>
            </w:pPr>
            <w:r w:rsidRPr="00F24B71">
              <w:rPr>
                <w:b/>
                <w:bCs/>
                <w:sz w:val="26"/>
                <w:szCs w:val="26"/>
                <w:lang w:val="es-ES"/>
              </w:rPr>
              <w:t>Objetivo</w:t>
            </w:r>
          </w:p>
          <w:p w14:paraId="618C4414" w14:textId="50A62D1C" w:rsidR="00FE57F6" w:rsidRPr="00F24B71" w:rsidRDefault="00C20F3A" w:rsidP="00C538FC">
            <w:pPr>
              <w:rPr>
                <w:lang w:val="es-ES"/>
              </w:rPr>
            </w:pPr>
            <w:r>
              <w:rPr>
                <w:lang w:val="es-ES"/>
              </w:rPr>
              <w:t>En esta contribución se proponen mejoras administrativas para aumentar la eficacia de las Oficinas Regionales y Zonales basándose en la experiencia de Australia en la ejecución de proyectos en nuestra región. Se sugieren mejoras en las esferas de la contratación, la armonización estratégica de proyectos, la presentación de informes financieros y las delegaciones de ejecución de proyectos.</w:t>
            </w:r>
          </w:p>
          <w:p w14:paraId="7F395B86" w14:textId="77777777" w:rsidR="00C20F3A" w:rsidRPr="00093AD9" w:rsidRDefault="00C20F3A" w:rsidP="00C20F3A">
            <w:pPr>
              <w:spacing w:before="160"/>
              <w:rPr>
                <w:b/>
                <w:bCs/>
                <w:sz w:val="26"/>
                <w:szCs w:val="26"/>
                <w:lang w:val="es-ES"/>
              </w:rPr>
            </w:pPr>
            <w:r>
              <w:rPr>
                <w:b/>
                <w:bCs/>
                <w:lang w:val="es-ES"/>
              </w:rPr>
              <w:t>Acción solicitada al Consejo</w:t>
            </w:r>
          </w:p>
          <w:p w14:paraId="56792335" w14:textId="77777777" w:rsidR="00C20F3A" w:rsidRPr="00093AD9" w:rsidRDefault="00C20F3A" w:rsidP="00C20F3A">
            <w:pPr>
              <w:rPr>
                <w:lang w:val="es-ES"/>
              </w:rPr>
            </w:pPr>
            <w:r>
              <w:rPr>
                <w:lang w:val="es-ES"/>
              </w:rPr>
              <w:t xml:space="preserve">Se invita al Consejo a </w:t>
            </w:r>
            <w:r>
              <w:rPr>
                <w:b/>
                <w:bCs/>
                <w:lang w:val="es-ES"/>
              </w:rPr>
              <w:t>examinar</w:t>
            </w:r>
            <w:r>
              <w:rPr>
                <w:lang w:val="es-ES"/>
              </w:rPr>
              <w:t xml:space="preserve"> esta propuesta y </w:t>
            </w:r>
            <w:r>
              <w:rPr>
                <w:b/>
                <w:bCs/>
                <w:lang w:val="es-ES"/>
              </w:rPr>
              <w:t>encarga</w:t>
            </w:r>
            <w:r>
              <w:rPr>
                <w:lang w:val="es-ES"/>
              </w:rPr>
              <w:t xml:space="preserve"> a la Secretaria General de la UIT que, en colaboración con el Director de la Oficina de Desarrollo de las Telecomunicaciones (BDT), </w:t>
            </w:r>
            <w:r w:rsidRPr="00093AD9">
              <w:rPr>
                <w:b/>
                <w:bCs/>
                <w:lang w:val="es-ES"/>
              </w:rPr>
              <w:t>consideren</w:t>
            </w:r>
            <w:r>
              <w:rPr>
                <w:lang w:val="es-ES"/>
              </w:rPr>
              <w:t xml:space="preserve"> diversas maneras en que podrían aplicarse estas mejoras a las Oficinas Regionales y Zonales e </w:t>
            </w:r>
            <w:r w:rsidRPr="00273F6E">
              <w:rPr>
                <w:b/>
                <w:bCs/>
                <w:lang w:val="es-ES"/>
              </w:rPr>
              <w:t>informen</w:t>
            </w:r>
            <w:r>
              <w:rPr>
                <w:b/>
                <w:bCs/>
                <w:lang w:val="es-ES"/>
              </w:rPr>
              <w:t xml:space="preserve"> a la próxima reunión del GTC-RHF</w:t>
            </w:r>
            <w:r>
              <w:rPr>
                <w:lang w:val="es-ES"/>
              </w:rPr>
              <w:t xml:space="preserve"> sobre los resultados de su examen, incluidas las medidas concretas para subsanar las deficiencias detectadas. </w:t>
            </w:r>
          </w:p>
          <w:p w14:paraId="00488817" w14:textId="77777777" w:rsidR="00C20F3A" w:rsidRPr="00093AD9" w:rsidRDefault="00C20F3A" w:rsidP="00C20F3A">
            <w:pPr>
              <w:spacing w:before="160"/>
              <w:rPr>
                <w:caps/>
                <w:sz w:val="22"/>
                <w:lang w:val="es-ES"/>
              </w:rPr>
            </w:pPr>
            <w:r>
              <w:rPr>
                <w:lang w:val="es-ES"/>
              </w:rPr>
              <w:t>__________________</w:t>
            </w:r>
          </w:p>
          <w:p w14:paraId="79999A0B" w14:textId="77777777" w:rsidR="00C20F3A" w:rsidRPr="00093AD9" w:rsidRDefault="00C20F3A" w:rsidP="00C20F3A">
            <w:pPr>
              <w:spacing w:before="160"/>
              <w:rPr>
                <w:b/>
                <w:bCs/>
                <w:sz w:val="26"/>
                <w:szCs w:val="26"/>
                <w:lang w:val="es-ES"/>
              </w:rPr>
            </w:pPr>
            <w:r>
              <w:rPr>
                <w:b/>
                <w:bCs/>
                <w:lang w:val="es-ES"/>
              </w:rPr>
              <w:t>Referencias</w:t>
            </w:r>
            <w:r>
              <w:rPr>
                <w:lang w:val="es-ES"/>
              </w:rPr>
              <w:t xml:space="preserve"> </w:t>
            </w:r>
          </w:p>
          <w:p w14:paraId="14B780FA" w14:textId="5784B158" w:rsidR="00C20F3A" w:rsidRPr="00093AD9" w:rsidRDefault="002D5970" w:rsidP="00C20F3A">
            <w:pPr>
              <w:rPr>
                <w:i/>
                <w:iCs/>
                <w:sz w:val="22"/>
                <w:szCs w:val="22"/>
                <w:lang w:val="es-ES"/>
              </w:rPr>
            </w:pPr>
            <w:hyperlink r:id="rId7" w:history="1">
              <w:r w:rsidR="00C20F3A" w:rsidRPr="00093AD9">
                <w:rPr>
                  <w:rStyle w:val="Hyperlink"/>
                  <w:i/>
                  <w:iCs/>
                  <w:lang w:val="es-ES"/>
                </w:rPr>
                <w:t>Resolución 157 (Rev. Bucarest, 2022) de la PP</w:t>
              </w:r>
            </w:hyperlink>
            <w:r w:rsidR="00C20F3A" w:rsidRPr="00093AD9">
              <w:rPr>
                <w:i/>
                <w:iCs/>
                <w:lang w:val="es-ES"/>
              </w:rPr>
              <w:t xml:space="preserve"> – Fortalecimiento de las funciones de ejecución y supervisión de proyectos en la UIT</w:t>
            </w:r>
          </w:p>
          <w:p w14:paraId="5EDBA4C0" w14:textId="3FB593EB" w:rsidR="00C20F3A" w:rsidRPr="00093AD9" w:rsidRDefault="002D5970" w:rsidP="00C20F3A">
            <w:pPr>
              <w:spacing w:before="0"/>
              <w:rPr>
                <w:i/>
                <w:iCs/>
                <w:sz w:val="22"/>
                <w:szCs w:val="22"/>
                <w:lang w:val="es-ES"/>
              </w:rPr>
            </w:pPr>
            <w:hyperlink r:id="rId8" w:history="1">
              <w:r w:rsidR="00C20F3A" w:rsidRPr="00093AD9">
                <w:rPr>
                  <w:rStyle w:val="Hyperlink"/>
                  <w:i/>
                  <w:iCs/>
                  <w:lang w:val="es-ES"/>
                </w:rPr>
                <w:t>Resolución 52 (Rev. Dubái, 2014) de la CMDT</w:t>
              </w:r>
            </w:hyperlink>
            <w:r w:rsidR="00C20F3A" w:rsidRPr="00093AD9">
              <w:rPr>
                <w:i/>
                <w:iCs/>
                <w:lang w:val="es-ES"/>
              </w:rPr>
              <w:t xml:space="preserve"> – Fortalecimiento del papel del Sector de Desarrollo de las Telecomunicaciones de la UIT como organismo ejecutivo</w:t>
            </w:r>
          </w:p>
          <w:p w14:paraId="58339413" w14:textId="219EA024" w:rsidR="00FE57F6" w:rsidRDefault="002D5970" w:rsidP="00C20F3A">
            <w:pPr>
              <w:spacing w:after="160"/>
            </w:pPr>
            <w:hyperlink r:id="rId9" w:history="1">
              <w:r w:rsidR="00C20F3A" w:rsidRPr="00093AD9">
                <w:rPr>
                  <w:rStyle w:val="Hyperlink"/>
                  <w:i/>
                  <w:iCs/>
                  <w:lang w:val="es-ES"/>
                </w:rPr>
                <w:t>Resolución 71 (Rev. Bucarest, 2022) de la PP</w:t>
              </w:r>
            </w:hyperlink>
            <w:r w:rsidR="00C20F3A" w:rsidRPr="00093AD9">
              <w:rPr>
                <w:i/>
                <w:iCs/>
                <w:lang w:val="es-ES"/>
              </w:rPr>
              <w:t xml:space="preserve"> – Plan Estratégico de la Unión para 2024-2027</w:t>
            </w:r>
          </w:p>
        </w:tc>
      </w:tr>
      <w:bookmarkEnd w:id="0"/>
    </w:tbl>
    <w:p w14:paraId="06FD7253" w14:textId="77777777" w:rsidR="00093EEB" w:rsidRDefault="00093EEB"/>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5D934B4F" w14:textId="77777777" w:rsidR="00C20F3A" w:rsidRPr="00093AD9" w:rsidRDefault="00C20F3A" w:rsidP="00A069FF">
      <w:pPr>
        <w:pStyle w:val="Headingb"/>
        <w:rPr>
          <w:sz w:val="26"/>
          <w:szCs w:val="26"/>
          <w:lang w:val="es-ES"/>
        </w:rPr>
      </w:pPr>
      <w:r>
        <w:rPr>
          <w:lang w:val="es-ES"/>
        </w:rPr>
        <w:lastRenderedPageBreak/>
        <w:t>Introducción</w:t>
      </w:r>
    </w:p>
    <w:p w14:paraId="76BD0D5C" w14:textId="4FA56581" w:rsidR="00C20F3A" w:rsidRPr="00093AD9" w:rsidRDefault="00C20F3A" w:rsidP="00A069FF">
      <w:pPr>
        <w:rPr>
          <w:lang w:val="es-ES"/>
        </w:rPr>
      </w:pPr>
      <w:r>
        <w:rPr>
          <w:lang w:val="es-ES"/>
        </w:rPr>
        <w:t>Australia felicita a las Oficinas Regionales y Zonales de la UIT por su excelente trabajo de colaboración con los Miembros a nivel de país. El apoyo proporcionado por las Oficinas Regionales y Zonales es crucial para los Miembros de la UIT, ya que beneficia directamente a los países en desarrollo y garantiza que la UIT pueda atender adecuadamente las diversas necesidades de cada región. Es importante garantizar la eficacia de las Oficinas Regionales y Zonales de la UIT, ya que la asistencia prestada por las oficinas repercute considerablemente en las operaciones de la UIT</w:t>
      </w:r>
      <w:r w:rsidR="00D22B35">
        <w:rPr>
          <w:lang w:val="es-ES"/>
        </w:rPr>
        <w:t>.</w:t>
      </w:r>
    </w:p>
    <w:p w14:paraId="4DB66ACC" w14:textId="77777777" w:rsidR="00C20F3A" w:rsidRPr="00093AD9" w:rsidRDefault="00C20F3A" w:rsidP="00A069FF">
      <w:pPr>
        <w:pStyle w:val="Headingb"/>
        <w:rPr>
          <w:b w:val="0"/>
          <w:bCs/>
          <w:sz w:val="26"/>
          <w:szCs w:val="26"/>
          <w:lang w:val="es-ES"/>
        </w:rPr>
      </w:pPr>
      <w:r w:rsidRPr="00A069FF">
        <w:rPr>
          <w:lang w:val="es-ES"/>
        </w:rPr>
        <w:t>Debate</w:t>
      </w:r>
    </w:p>
    <w:p w14:paraId="6A2BEEFF" w14:textId="77777777" w:rsidR="00C20F3A" w:rsidRPr="00093AD9" w:rsidRDefault="00C20F3A" w:rsidP="00A069FF">
      <w:pPr>
        <w:rPr>
          <w:szCs w:val="24"/>
          <w:lang w:val="es-ES"/>
        </w:rPr>
      </w:pPr>
      <w:r>
        <w:rPr>
          <w:lang w:val="es-ES"/>
        </w:rPr>
        <w:t>A través de nuestra experiencia en la ejecución de proyectos en la Región de Asia y el Pacífico, Australia ha identificado una serie de áreas en las que los progresos podrían mejorar considerablemente la ejecución de proyectos, maximizando los beneficios de las actividades de la UIT en las regiones.</w:t>
      </w:r>
    </w:p>
    <w:p w14:paraId="327C9324" w14:textId="50F562E8" w:rsidR="00C20F3A" w:rsidRPr="00223DD4" w:rsidRDefault="00223DD4" w:rsidP="00FF465C">
      <w:pPr>
        <w:rPr>
          <w:b/>
        </w:rPr>
      </w:pPr>
      <w:r w:rsidRPr="00223DD4">
        <w:rPr>
          <w:lang w:val="es-ES"/>
        </w:rPr>
        <w:t>1</w:t>
      </w:r>
      <w:r w:rsidRPr="00223DD4">
        <w:rPr>
          <w:lang w:val="es-ES"/>
        </w:rPr>
        <w:tab/>
      </w:r>
      <w:r w:rsidR="00FF465C" w:rsidRPr="00FF465C">
        <w:rPr>
          <w:u w:val="single"/>
          <w:lang w:val="es-ES"/>
        </w:rPr>
        <w:t>Contratación</w:t>
      </w:r>
      <w:r w:rsidR="00C20F3A" w:rsidRPr="00FF465C">
        <w:rPr>
          <w:lang w:val="es-ES"/>
        </w:rPr>
        <w:t xml:space="preserve"> </w:t>
      </w:r>
    </w:p>
    <w:p w14:paraId="70259222" w14:textId="77777777" w:rsidR="00C20F3A" w:rsidRPr="00093AD9" w:rsidRDefault="00C20F3A" w:rsidP="00FF465C">
      <w:pPr>
        <w:rPr>
          <w:szCs w:val="24"/>
          <w:lang w:val="es-ES"/>
        </w:rPr>
      </w:pPr>
      <w:r>
        <w:rPr>
          <w:lang w:val="es-ES"/>
        </w:rPr>
        <w:t xml:space="preserve">Una de las principales dificultades de la Oficina Regional de Asia y el Pacífico ha sido la contratación y retención de personal con los conocimientos especializados adecuados en materia de gestión de proyectos. Basándose en la experiencia de Australia, la UIT dedica actualmente seis (6) a doce (12) meses de un proyecto de dos (2) a tres (3) años de duración a identificar y contratar expertos competentes. Australia entiende que esto ha sido un desafío en muchas áreas de la UIT, incluidas otras Oficinas Regionales y Zonales. </w:t>
      </w:r>
    </w:p>
    <w:p w14:paraId="6C641C2F" w14:textId="77777777" w:rsidR="00C20F3A" w:rsidRPr="00093AD9" w:rsidRDefault="00C20F3A" w:rsidP="00FF465C">
      <w:pPr>
        <w:rPr>
          <w:szCs w:val="24"/>
          <w:lang w:val="es-ES"/>
        </w:rPr>
      </w:pPr>
      <w:r>
        <w:rPr>
          <w:lang w:val="es-ES"/>
        </w:rPr>
        <w:t>La introducción de mejoras en los procesos y herramientas de contratación de las Oficinas Regionales y Zonales permitiría identificar y contratar a tiempo talento con los correspondientes expertos en gestión de proyectos dentro de las Oficinas Regionales, lo que significaría entregar los proyectos dentro de los plazos establecidos. Al garantizar la ejecución oportuna de los proyectos, la UIT puede garantizar que su asistencia sigue siendo pertinente y significativa en un entorno de telecomunicaciones/TIC en rápida evolución.</w:t>
      </w:r>
    </w:p>
    <w:p w14:paraId="579A1E66" w14:textId="77777777" w:rsidR="00C20F3A" w:rsidRPr="00093AD9" w:rsidRDefault="00C20F3A" w:rsidP="00FF465C">
      <w:pPr>
        <w:rPr>
          <w:szCs w:val="24"/>
          <w:lang w:val="es-ES"/>
        </w:rPr>
      </w:pPr>
      <w:r>
        <w:rPr>
          <w:lang w:val="es-ES"/>
        </w:rPr>
        <w:t>Además, el fortalecimiento de los conocimientos especializados en gestión de proyectos en las Oficinas Regionales garantizará que la UIT pueda prestar asistencia oportuna y específica a los Estados Miembros. Además, si se requiere experiencia específica para ejecutar un proyecto, la UIT debería considerar la posibilidad de firmar la documentación del proyecto una vez identificados los expertos pertinentes como teóricamente disponibles, a fin de evitar retrasos significativos en la ejecución del proyecto.</w:t>
      </w:r>
    </w:p>
    <w:p w14:paraId="4E8D1B7A" w14:textId="5C6A7CB9" w:rsidR="00C20F3A" w:rsidRPr="00FF465C" w:rsidRDefault="00FF465C" w:rsidP="00FF465C">
      <w:pPr>
        <w:rPr>
          <w:u w:val="single"/>
          <w:lang w:val="es-ES"/>
        </w:rPr>
      </w:pPr>
      <w:r w:rsidRPr="00FF465C">
        <w:rPr>
          <w:lang w:val="es-ES"/>
        </w:rPr>
        <w:t>2</w:t>
      </w:r>
      <w:r w:rsidRPr="00FF465C">
        <w:rPr>
          <w:lang w:val="es-ES"/>
        </w:rPr>
        <w:tab/>
      </w:r>
      <w:r>
        <w:rPr>
          <w:u w:val="single"/>
          <w:lang w:val="es-ES"/>
        </w:rPr>
        <w:t>A</w:t>
      </w:r>
      <w:r w:rsidRPr="00FF465C">
        <w:rPr>
          <w:u w:val="single"/>
          <w:lang w:val="es-ES"/>
        </w:rPr>
        <w:t>lineación</w:t>
      </w:r>
      <w:r w:rsidR="00C20F3A" w:rsidRPr="00FF465C">
        <w:rPr>
          <w:u w:val="single"/>
          <w:lang w:val="es-ES"/>
        </w:rPr>
        <w:t xml:space="preserve"> estratégica de proyecto y los IFR</w:t>
      </w:r>
    </w:p>
    <w:p w14:paraId="1663EACB" w14:textId="77777777" w:rsidR="00C20F3A" w:rsidRPr="00093AD9" w:rsidRDefault="00C20F3A" w:rsidP="00FF465C">
      <w:pPr>
        <w:rPr>
          <w:szCs w:val="24"/>
          <w:lang w:val="es-ES"/>
        </w:rPr>
      </w:pPr>
      <w:r>
        <w:rPr>
          <w:lang w:val="es-ES"/>
        </w:rPr>
        <w:t xml:space="preserve">Como parte de la gestión eficaz del programa de trabajo y la ejecución de proyectos, las actividades de las Oficinas Regionales y Zonales deben ajustarse explícitamente a los objetivos y prioridades indicados en el Plan Estratégico de la UIT y el Plan de Acción de la CMDT, incluido su Marco y los IFR correspondientes. Estos IFR establecidos también pueden utilizarse para medir los resultados de las actividades emprendidas por las Oficinas Regionales y Zonales (incluidos los proyectos y eventos de desarrollo) y para identificar oportunidades de mejora para lograr un impacto significativo. La utilización de estos IFR proporcionará una clara indicación de cómo avanzan las Oficinas Regionales en la consecución de las prioridades identificadas por los Miembros de la UIT. </w:t>
      </w:r>
    </w:p>
    <w:p w14:paraId="12332E90" w14:textId="1DB5C88E" w:rsidR="00C20F3A" w:rsidRPr="00FF465C" w:rsidRDefault="00FF465C" w:rsidP="00FF465C">
      <w:pPr>
        <w:keepNext/>
        <w:keepLines/>
        <w:spacing w:after="120"/>
        <w:rPr>
          <w:szCs w:val="24"/>
          <w:u w:val="single"/>
        </w:rPr>
      </w:pPr>
      <w:r w:rsidRPr="00FF465C">
        <w:rPr>
          <w:szCs w:val="24"/>
          <w:lang w:val="es-ES"/>
        </w:rPr>
        <w:lastRenderedPageBreak/>
        <w:t>3</w:t>
      </w:r>
      <w:r w:rsidRPr="00FF465C">
        <w:rPr>
          <w:szCs w:val="24"/>
          <w:lang w:val="es-ES"/>
        </w:rPr>
        <w:tab/>
      </w:r>
      <w:r>
        <w:rPr>
          <w:szCs w:val="24"/>
          <w:u w:val="single"/>
          <w:lang w:val="es-ES"/>
        </w:rPr>
        <w:t>I</w:t>
      </w:r>
      <w:r w:rsidRPr="00FF465C">
        <w:rPr>
          <w:szCs w:val="24"/>
          <w:u w:val="single"/>
          <w:lang w:val="es-ES"/>
        </w:rPr>
        <w:t>nformes</w:t>
      </w:r>
      <w:r w:rsidR="00C20F3A" w:rsidRPr="00FF465C">
        <w:rPr>
          <w:szCs w:val="24"/>
          <w:u w:val="single"/>
          <w:lang w:val="es-ES"/>
        </w:rPr>
        <w:t xml:space="preserve"> financieros</w:t>
      </w:r>
    </w:p>
    <w:p w14:paraId="508E025C" w14:textId="77777777" w:rsidR="00C20F3A" w:rsidRPr="00093AD9" w:rsidRDefault="00C20F3A" w:rsidP="00FF465C">
      <w:pPr>
        <w:rPr>
          <w:szCs w:val="24"/>
          <w:lang w:val="es-ES"/>
        </w:rPr>
      </w:pPr>
      <w:r>
        <w:rPr>
          <w:lang w:val="es-ES"/>
        </w:rPr>
        <w:t xml:space="preserve">La falta de información financiera ha planteado numerosas dificultades a Australia en la financiación de proyectos. En nuestra experiencia, a menudo toma alrededor de ocho (8) semanas recibir actualizaciones sobre el estado de nuestras cuentas, momento en el cual la información está desactualizada. Consideramos que una de las principales dificultades que plantea el suministro de información financiera a los donantes es la centralización de las funciones financieras y de gestión de proyectos en la Sede (Ginebra). </w:t>
      </w:r>
    </w:p>
    <w:p w14:paraId="72FD582A" w14:textId="77777777" w:rsidR="00C20F3A" w:rsidRPr="00093AD9" w:rsidRDefault="00C20F3A" w:rsidP="00FF465C">
      <w:pPr>
        <w:rPr>
          <w:szCs w:val="24"/>
          <w:lang w:val="es-ES"/>
        </w:rPr>
      </w:pPr>
      <w:r>
        <w:rPr>
          <w:lang w:val="es-ES"/>
        </w:rPr>
        <w:t xml:space="preserve">Permitir que las Oficinas Regionales accedan a los instrumentos de gestión financiera de la UIT, según proceda, y a informar sobre esta información puntualmente o según se solicite, mejoraría considerablemente la capacidad de respuesta, transparencia y responsabilidad de la UIT. Estos principios son muy valorados por los donantes, y las mejoras en esta esfera permitirían una gestión financiera más eficaz de los proyectos y una ejecución más rápida. </w:t>
      </w:r>
    </w:p>
    <w:p w14:paraId="7C2C2DCD" w14:textId="2C58CD67" w:rsidR="00C20F3A" w:rsidRPr="00273F6E" w:rsidRDefault="00FF465C" w:rsidP="00FF465C">
      <w:pPr>
        <w:keepNext/>
        <w:keepLines/>
        <w:spacing w:after="120"/>
        <w:rPr>
          <w:szCs w:val="24"/>
          <w:u w:val="single"/>
        </w:rPr>
      </w:pPr>
      <w:r w:rsidRPr="00FF465C">
        <w:rPr>
          <w:szCs w:val="24"/>
          <w:lang w:val="es-ES"/>
        </w:rPr>
        <w:t>4</w:t>
      </w:r>
      <w:r w:rsidRPr="00FF465C">
        <w:rPr>
          <w:szCs w:val="24"/>
          <w:lang w:val="es-ES"/>
        </w:rPr>
        <w:tab/>
      </w:r>
      <w:r w:rsidR="00C20F3A" w:rsidRPr="00273F6E">
        <w:rPr>
          <w:szCs w:val="24"/>
          <w:u w:val="single"/>
          <w:lang w:val="es-ES"/>
        </w:rPr>
        <w:t>Delegaciones de entrega de proyectos</w:t>
      </w:r>
    </w:p>
    <w:p w14:paraId="45E61D10" w14:textId="77777777" w:rsidR="00C20F3A" w:rsidRPr="00093AD9" w:rsidRDefault="00C20F3A" w:rsidP="00FF465C">
      <w:pPr>
        <w:rPr>
          <w:lang w:val="es-ES"/>
        </w:rPr>
      </w:pPr>
      <w:r>
        <w:rPr>
          <w:lang w:val="es-ES"/>
        </w:rPr>
        <w:t>Australia ha comprobado que los niveles de delegación en la ejecución de proyectos obstaculizan el progreso de los proyectos, lo que lleva a largos tiempos de espera para que comiencen los proyectos. En algunos casos, Australia ha experimentado retrasos de hasta dieciocho (18) meses para los proyectos a aprobar. Para resolver este problema, la UIT podría revisar su proceso de toma de decisiones sobre proyectos y sus delegaciones, con miras a garantizar que los Directores de las Oficinas Regionales cuenten con las autoridades pertinentes y adecuadas para permitir una ejecución eficaz de los proyectos. Habida cuenta de que sigue siendo preferible mantener la supervisión de los proyectos en la Sede (Ginebra), cuando proceda, la UIT podría considerar la posibilidad de reducir las delegaciones a los Directores de las Oficinas Regionales para algunas aprobaciones, como la contratación de personal subalterno, las compras locales y las actividades inferiores a una determinada cantidad.</w:t>
      </w:r>
    </w:p>
    <w:p w14:paraId="27F5D7F0" w14:textId="77777777" w:rsidR="00C20F3A" w:rsidRPr="00273F6E" w:rsidRDefault="00C20F3A" w:rsidP="00FF465C">
      <w:pPr>
        <w:pStyle w:val="Headingb"/>
        <w:rPr>
          <w:lang w:val="es-ES"/>
        </w:rPr>
      </w:pPr>
      <w:r>
        <w:rPr>
          <w:lang w:val="es-ES"/>
        </w:rPr>
        <w:t>Propuesta</w:t>
      </w:r>
    </w:p>
    <w:p w14:paraId="1D69E5F6" w14:textId="77777777" w:rsidR="00C20F3A" w:rsidRPr="00093AD9" w:rsidRDefault="00C20F3A" w:rsidP="00FF465C">
      <w:pPr>
        <w:rPr>
          <w:lang w:val="es-ES"/>
        </w:rPr>
      </w:pPr>
      <w:r>
        <w:rPr>
          <w:lang w:val="es-ES"/>
        </w:rPr>
        <w:t xml:space="preserve">Australia solicita al Consejo considerar la posibilidad de realizar las mejoras administrativas en las Oficinas Regionales y Zonales detalladas </w:t>
      </w:r>
      <w:r w:rsidRPr="00273F6E">
        <w:rPr>
          <w:i/>
          <w:iCs/>
          <w:lang w:val="es-ES"/>
        </w:rPr>
        <w:t>supra</w:t>
      </w:r>
      <w:r>
        <w:rPr>
          <w:lang w:val="es-ES"/>
        </w:rPr>
        <w:t xml:space="preserve"> a fin de fortalecer la función de ejecución de proyectos de la UIT, de conformidad con la Resolución 157 (Rev. Bucarest, 2022) de la PP y la Resolución 52 (Rev. Dubái, 2014) de la CMDT. </w:t>
      </w:r>
    </w:p>
    <w:p w14:paraId="02A7C4B2" w14:textId="77777777" w:rsidR="00C20F3A" w:rsidRPr="00093AD9" w:rsidRDefault="00C20F3A" w:rsidP="00FF465C">
      <w:pPr>
        <w:rPr>
          <w:lang w:val="es-ES"/>
        </w:rPr>
      </w:pPr>
      <w:r>
        <w:rPr>
          <w:lang w:val="es-ES"/>
        </w:rPr>
        <w:t>Australia elogia los importantes progresos realizados por la UIT en cuanto a la transformación de la Secretaría General, y el compromiso de la UIT para alcanzar la excelencia en la organización. Nuestra propuesta ofrece la oportunidad de mejorar los procesos existentes en relación con las Oficinas Regionales y Zonales, a fin de cumplir satisfactoriamente las metas estratégicas esbozadas en el Plan Estratégico de la UIT para el periodo 2024-2027 y años posteriores.</w:t>
      </w:r>
    </w:p>
    <w:p w14:paraId="79318839" w14:textId="77777777" w:rsidR="00C20F3A" w:rsidRPr="00830C1C" w:rsidRDefault="00C20F3A" w:rsidP="00C20F3A">
      <w:pPr>
        <w:spacing w:before="840"/>
        <w:jc w:val="center"/>
      </w:pPr>
      <w:r>
        <w:rPr>
          <w:lang w:val="es-ES"/>
        </w:rPr>
        <w:t>__________________</w:t>
      </w:r>
    </w:p>
    <w:sectPr w:rsidR="00C20F3A" w:rsidRPr="00830C1C" w:rsidSect="00C538FC">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277DAC91" w:rsidR="003273A4" w:rsidRDefault="00601C54" w:rsidP="003273A4">
          <w:pPr>
            <w:pStyle w:val="Header"/>
            <w:jc w:val="left"/>
            <w:rPr>
              <w:noProof/>
            </w:rPr>
          </w:pPr>
          <w:r>
            <w:rPr>
              <w:noProof/>
            </w:rPr>
            <w:t>R2400822</w:t>
          </w:r>
        </w:p>
      </w:tc>
      <w:tc>
        <w:tcPr>
          <w:tcW w:w="8261" w:type="dxa"/>
        </w:tcPr>
        <w:p w14:paraId="31328314" w14:textId="1EBA3FD3"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A069FF">
            <w:rPr>
              <w:bCs/>
            </w:rPr>
            <w:t>79</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72810FE3"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A069FF">
            <w:rPr>
              <w:bCs/>
            </w:rPr>
            <w:t>79</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25F5D"/>
    <w:multiLevelType w:val="hybridMultilevel"/>
    <w:tmpl w:val="56C05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4721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F14A2"/>
    <w:rsid w:val="00223DD4"/>
    <w:rsid w:val="002801AA"/>
    <w:rsid w:val="002C4676"/>
    <w:rsid w:val="002C70B0"/>
    <w:rsid w:val="002D5970"/>
    <w:rsid w:val="002F3CC4"/>
    <w:rsid w:val="003273A4"/>
    <w:rsid w:val="00473962"/>
    <w:rsid w:val="004B5D49"/>
    <w:rsid w:val="00513630"/>
    <w:rsid w:val="00560125"/>
    <w:rsid w:val="00585553"/>
    <w:rsid w:val="005B34D9"/>
    <w:rsid w:val="005D0CCF"/>
    <w:rsid w:val="005F3BCB"/>
    <w:rsid w:val="005F410F"/>
    <w:rsid w:val="0060149A"/>
    <w:rsid w:val="00601924"/>
    <w:rsid w:val="00601C54"/>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F4811"/>
    <w:rsid w:val="00A069FF"/>
    <w:rsid w:val="00AA390C"/>
    <w:rsid w:val="00B0200A"/>
    <w:rsid w:val="00B574DB"/>
    <w:rsid w:val="00B826C2"/>
    <w:rsid w:val="00B8298E"/>
    <w:rsid w:val="00BD0723"/>
    <w:rsid w:val="00BD2518"/>
    <w:rsid w:val="00BF1D1C"/>
    <w:rsid w:val="00C20C59"/>
    <w:rsid w:val="00C20F3A"/>
    <w:rsid w:val="00C2727F"/>
    <w:rsid w:val="00C538FC"/>
    <w:rsid w:val="00C55B1F"/>
    <w:rsid w:val="00CB421D"/>
    <w:rsid w:val="00CF1A67"/>
    <w:rsid w:val="00D22B35"/>
    <w:rsid w:val="00D2750E"/>
    <w:rsid w:val="00D43B85"/>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 w:val="00FF46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F3A"/>
    <w:pPr>
      <w:tabs>
        <w:tab w:val="clear" w:pos="567"/>
        <w:tab w:val="clear" w:pos="1134"/>
        <w:tab w:val="clear" w:pos="1701"/>
        <w:tab w:val="clear" w:pos="2268"/>
        <w:tab w:val="clear" w:pos="2835"/>
      </w:tabs>
      <w:overflowPunct/>
      <w:autoSpaceDE/>
      <w:autoSpaceDN/>
      <w:adjustRightInd/>
      <w:spacing w:before="0"/>
      <w:ind w:left="720"/>
      <w:textAlignment w:val="auto"/>
    </w:pPr>
    <w:rPr>
      <w:rFonts w:eastAsiaTheme="minorHAnsi" w:cs="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s/publications/ITU-D/Pages/publications.aspx?parent=D-TDC-WTDC-2022&amp;media=electron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en/council/Documents/basic-texts-2023/RES-157-S.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en/council/Documents/basic-texts-2023/RES-071-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1169</Words>
  <Characters>6813</Characters>
  <Application>Microsoft Office Word</Application>
  <DocSecurity>0</DocSecurity>
  <Lines>56</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7967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2024-05-24T07:05:00Z</dcterms:created>
  <dcterms:modified xsi:type="dcterms:W3CDTF">2024-05-24T07:05:00Z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