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830C1C" w:rsidRPr="00354AC0" w14:paraId="4A309ED7" w14:textId="77777777" w:rsidTr="002D167A">
        <w:trPr>
          <w:cantSplit/>
          <w:trHeight w:val="23"/>
        </w:trPr>
        <w:tc>
          <w:tcPr>
            <w:tcW w:w="3969" w:type="dxa"/>
            <w:vMerge w:val="restart"/>
            <w:tcMar>
              <w:left w:w="0" w:type="dxa"/>
            </w:tcMar>
          </w:tcPr>
          <w:p w14:paraId="0462B705" w14:textId="01244172" w:rsidR="00830C1C" w:rsidRPr="00354AC0" w:rsidRDefault="00830C1C" w:rsidP="00830C1C">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354AC0">
              <w:rPr>
                <w:b/>
              </w:rPr>
              <w:t xml:space="preserve">Agenda item: </w:t>
            </w:r>
            <w:r w:rsidR="00BE2E5F">
              <w:rPr>
                <w:b/>
              </w:rPr>
              <w:t>PL 2</w:t>
            </w:r>
          </w:p>
        </w:tc>
        <w:tc>
          <w:tcPr>
            <w:tcW w:w="5245" w:type="dxa"/>
          </w:tcPr>
          <w:p w14:paraId="5A13F1D0" w14:textId="7099BE05" w:rsidR="00830C1C" w:rsidRPr="00354AC0" w:rsidRDefault="00830C1C" w:rsidP="00830C1C">
            <w:pPr>
              <w:tabs>
                <w:tab w:val="left" w:pos="851"/>
              </w:tabs>
              <w:spacing w:before="0" w:line="240" w:lineRule="atLeast"/>
              <w:jc w:val="right"/>
              <w:rPr>
                <w:b/>
              </w:rPr>
            </w:pPr>
            <w:r w:rsidRPr="00354AC0">
              <w:rPr>
                <w:b/>
              </w:rPr>
              <w:t>Document C24/</w:t>
            </w:r>
            <w:r w:rsidR="00BE2E5F">
              <w:rPr>
                <w:b/>
              </w:rPr>
              <w:t>79</w:t>
            </w:r>
            <w:r w:rsidRPr="00354AC0">
              <w:rPr>
                <w:b/>
              </w:rPr>
              <w:t>-E</w:t>
            </w:r>
          </w:p>
        </w:tc>
      </w:tr>
      <w:tr w:rsidR="00830C1C" w:rsidRPr="00354AC0" w14:paraId="5DE19145" w14:textId="77777777" w:rsidTr="002D167A">
        <w:trPr>
          <w:cantSplit/>
        </w:trPr>
        <w:tc>
          <w:tcPr>
            <w:tcW w:w="3969" w:type="dxa"/>
            <w:vMerge/>
          </w:tcPr>
          <w:p w14:paraId="464A759F" w14:textId="77777777" w:rsidR="00830C1C" w:rsidRPr="00354AC0" w:rsidRDefault="00830C1C" w:rsidP="00830C1C">
            <w:pPr>
              <w:tabs>
                <w:tab w:val="left" w:pos="851"/>
              </w:tabs>
              <w:spacing w:line="240" w:lineRule="atLeast"/>
              <w:rPr>
                <w:b/>
              </w:rPr>
            </w:pPr>
            <w:bookmarkStart w:id="6" w:name="ddate" w:colFirst="1" w:colLast="1"/>
            <w:bookmarkEnd w:id="0"/>
            <w:bookmarkEnd w:id="1"/>
          </w:p>
        </w:tc>
        <w:tc>
          <w:tcPr>
            <w:tcW w:w="5245" w:type="dxa"/>
          </w:tcPr>
          <w:p w14:paraId="318F3499" w14:textId="436170C5" w:rsidR="00830C1C" w:rsidRPr="00354AC0" w:rsidRDefault="00BE2E5F" w:rsidP="00830C1C">
            <w:pPr>
              <w:tabs>
                <w:tab w:val="left" w:pos="851"/>
              </w:tabs>
              <w:spacing w:before="0"/>
              <w:jc w:val="right"/>
              <w:rPr>
                <w:b/>
              </w:rPr>
            </w:pPr>
            <w:r>
              <w:rPr>
                <w:b/>
              </w:rPr>
              <w:t>21 May</w:t>
            </w:r>
            <w:r w:rsidR="00830C1C" w:rsidRPr="00354AC0">
              <w:rPr>
                <w:b/>
              </w:rPr>
              <w:t xml:space="preserve"> 2024</w:t>
            </w:r>
          </w:p>
        </w:tc>
      </w:tr>
      <w:tr w:rsidR="00830C1C" w:rsidRPr="00354AC0" w14:paraId="547C9DF1" w14:textId="77777777" w:rsidTr="002D167A">
        <w:trPr>
          <w:cantSplit/>
          <w:trHeight w:val="23"/>
        </w:trPr>
        <w:tc>
          <w:tcPr>
            <w:tcW w:w="3969" w:type="dxa"/>
            <w:vMerge/>
          </w:tcPr>
          <w:p w14:paraId="318EED0B" w14:textId="77777777" w:rsidR="00830C1C" w:rsidRPr="00354AC0" w:rsidRDefault="00830C1C" w:rsidP="00830C1C">
            <w:pPr>
              <w:tabs>
                <w:tab w:val="left" w:pos="851"/>
              </w:tabs>
              <w:spacing w:line="240" w:lineRule="atLeast"/>
              <w:rPr>
                <w:b/>
              </w:rPr>
            </w:pPr>
            <w:bookmarkStart w:id="7" w:name="dorlang" w:colFirst="1" w:colLast="1"/>
            <w:bookmarkEnd w:id="6"/>
          </w:p>
        </w:tc>
        <w:tc>
          <w:tcPr>
            <w:tcW w:w="5245" w:type="dxa"/>
          </w:tcPr>
          <w:p w14:paraId="532884D4" w14:textId="77777777" w:rsidR="00830C1C" w:rsidRPr="00354AC0" w:rsidRDefault="00830C1C" w:rsidP="00830C1C">
            <w:pPr>
              <w:tabs>
                <w:tab w:val="left" w:pos="851"/>
              </w:tabs>
              <w:spacing w:before="0" w:line="240" w:lineRule="atLeast"/>
              <w:jc w:val="right"/>
              <w:rPr>
                <w:b/>
              </w:rPr>
            </w:pPr>
            <w:r w:rsidRPr="00354AC0">
              <w:rPr>
                <w:b/>
              </w:rPr>
              <w:t>Original: English</w:t>
            </w:r>
          </w:p>
        </w:tc>
      </w:tr>
      <w:tr w:rsidR="00830C1C" w:rsidRPr="00354AC0" w14:paraId="05F68FE4" w14:textId="77777777" w:rsidTr="002D167A">
        <w:trPr>
          <w:cantSplit/>
          <w:trHeight w:val="23"/>
        </w:trPr>
        <w:tc>
          <w:tcPr>
            <w:tcW w:w="3969" w:type="dxa"/>
          </w:tcPr>
          <w:p w14:paraId="4BC41A17" w14:textId="77777777" w:rsidR="00830C1C" w:rsidRPr="00354AC0" w:rsidRDefault="00830C1C" w:rsidP="00830C1C">
            <w:pPr>
              <w:tabs>
                <w:tab w:val="left" w:pos="851"/>
              </w:tabs>
              <w:spacing w:line="240" w:lineRule="atLeast"/>
              <w:rPr>
                <w:b/>
              </w:rPr>
            </w:pPr>
          </w:p>
        </w:tc>
        <w:tc>
          <w:tcPr>
            <w:tcW w:w="5245" w:type="dxa"/>
          </w:tcPr>
          <w:p w14:paraId="3D29C1A4" w14:textId="77777777" w:rsidR="00830C1C" w:rsidRPr="00354AC0" w:rsidRDefault="00830C1C" w:rsidP="00830C1C">
            <w:pPr>
              <w:tabs>
                <w:tab w:val="left" w:pos="851"/>
              </w:tabs>
              <w:spacing w:before="0" w:line="240" w:lineRule="atLeast"/>
              <w:jc w:val="right"/>
              <w:rPr>
                <w:b/>
              </w:rPr>
            </w:pPr>
          </w:p>
        </w:tc>
      </w:tr>
      <w:tr w:rsidR="00830C1C" w:rsidRPr="00354AC0" w14:paraId="57816BE7" w14:textId="77777777" w:rsidTr="002D167A">
        <w:trPr>
          <w:cantSplit/>
        </w:trPr>
        <w:tc>
          <w:tcPr>
            <w:tcW w:w="9214" w:type="dxa"/>
            <w:gridSpan w:val="2"/>
            <w:tcMar>
              <w:left w:w="0" w:type="dxa"/>
            </w:tcMar>
          </w:tcPr>
          <w:p w14:paraId="5EFAD31A" w14:textId="77777777" w:rsidR="00830C1C" w:rsidRPr="00354AC0" w:rsidRDefault="00830C1C" w:rsidP="00830C1C">
            <w:pPr>
              <w:pStyle w:val="Source"/>
              <w:framePr w:hSpace="0" w:wrap="auto" w:vAnchor="margin" w:hAnchor="text" w:xAlign="left" w:yAlign="inline"/>
            </w:pPr>
            <w:bookmarkStart w:id="8" w:name="dsource" w:colFirst="0" w:colLast="0"/>
            <w:bookmarkEnd w:id="7"/>
            <w:r w:rsidRPr="00354AC0">
              <w:t>Contribution by Australia</w:t>
            </w:r>
          </w:p>
        </w:tc>
      </w:tr>
      <w:tr w:rsidR="00830C1C" w:rsidRPr="00354AC0" w14:paraId="1F09C6FE" w14:textId="77777777" w:rsidTr="002D167A">
        <w:trPr>
          <w:cantSplit/>
        </w:trPr>
        <w:tc>
          <w:tcPr>
            <w:tcW w:w="9214" w:type="dxa"/>
            <w:gridSpan w:val="2"/>
            <w:tcMar>
              <w:left w:w="0" w:type="dxa"/>
            </w:tcMar>
          </w:tcPr>
          <w:p w14:paraId="1B15667F" w14:textId="2DA2D50C" w:rsidR="00830C1C" w:rsidRPr="00354AC0" w:rsidRDefault="00BE2E5F" w:rsidP="00830C1C">
            <w:pPr>
              <w:pStyle w:val="Subtitle"/>
              <w:framePr w:hSpace="0" w:wrap="auto" w:xAlign="left" w:yAlign="inline"/>
            </w:pPr>
            <w:bookmarkStart w:id="9" w:name="dtitle1" w:colFirst="0" w:colLast="0"/>
            <w:bookmarkEnd w:id="8"/>
            <w:r>
              <w:t>PROMOTING EFFICIENCY AND EFFECTIVENESS IN THE OPERATIONS OF REGIONAL AND AREA OFFICES</w:t>
            </w:r>
          </w:p>
        </w:tc>
      </w:tr>
      <w:tr w:rsidR="00830C1C" w:rsidRPr="00354AC0" w14:paraId="7639D817" w14:textId="77777777" w:rsidTr="002D167A">
        <w:trPr>
          <w:cantSplit/>
        </w:trPr>
        <w:tc>
          <w:tcPr>
            <w:tcW w:w="9214" w:type="dxa"/>
            <w:gridSpan w:val="2"/>
            <w:tcBorders>
              <w:top w:val="single" w:sz="4" w:space="0" w:color="auto"/>
              <w:bottom w:val="single" w:sz="4" w:space="0" w:color="auto"/>
            </w:tcBorders>
            <w:tcMar>
              <w:left w:w="0" w:type="dxa"/>
            </w:tcMar>
          </w:tcPr>
          <w:p w14:paraId="5523C23C" w14:textId="77777777" w:rsidR="00830C1C" w:rsidRPr="00354AC0" w:rsidRDefault="00830C1C" w:rsidP="00830C1C">
            <w:pPr>
              <w:spacing w:before="160"/>
              <w:rPr>
                <w:b/>
                <w:bCs/>
                <w:sz w:val="26"/>
                <w:szCs w:val="26"/>
              </w:rPr>
            </w:pPr>
            <w:r w:rsidRPr="00354AC0">
              <w:rPr>
                <w:b/>
                <w:bCs/>
                <w:sz w:val="26"/>
                <w:szCs w:val="26"/>
              </w:rPr>
              <w:t>Purpose</w:t>
            </w:r>
          </w:p>
          <w:p w14:paraId="57DF47F8" w14:textId="77777777" w:rsidR="00830C1C" w:rsidRPr="00354AC0" w:rsidRDefault="00830C1C" w:rsidP="00830C1C">
            <w:r>
              <w:t xml:space="preserve">This contribution proposes administrative improvements to increase the efficacy of the Regional and Area Offices based on Australia’s experience delivering projects in our region. Improvements are suggested in the areas of recruitment, strategic alignment of projects, financial </w:t>
            </w:r>
            <w:proofErr w:type="gramStart"/>
            <w:r>
              <w:t>reporting</w:t>
            </w:r>
            <w:proofErr w:type="gramEnd"/>
            <w:r>
              <w:t xml:space="preserve"> and project delivery delegations.</w:t>
            </w:r>
          </w:p>
          <w:p w14:paraId="2BD8DC92" w14:textId="77777777" w:rsidR="00830C1C" w:rsidRPr="00354AC0" w:rsidRDefault="00830C1C" w:rsidP="00830C1C">
            <w:pPr>
              <w:spacing w:before="160"/>
              <w:rPr>
                <w:b/>
                <w:bCs/>
                <w:sz w:val="26"/>
                <w:szCs w:val="26"/>
              </w:rPr>
            </w:pPr>
            <w:r w:rsidRPr="00354AC0">
              <w:rPr>
                <w:b/>
                <w:bCs/>
                <w:sz w:val="26"/>
                <w:szCs w:val="26"/>
              </w:rPr>
              <w:t xml:space="preserve">Action required by the </w:t>
            </w:r>
            <w:proofErr w:type="gramStart"/>
            <w:r w:rsidRPr="00354AC0">
              <w:rPr>
                <w:b/>
                <w:bCs/>
                <w:sz w:val="26"/>
                <w:szCs w:val="26"/>
              </w:rPr>
              <w:t>Council</w:t>
            </w:r>
            <w:proofErr w:type="gramEnd"/>
          </w:p>
          <w:p w14:paraId="3992A0F6" w14:textId="20EB0898" w:rsidR="00830C1C" w:rsidRPr="00354AC0" w:rsidRDefault="00BE2E5F" w:rsidP="00830C1C">
            <w:r>
              <w:t xml:space="preserve">The </w:t>
            </w:r>
            <w:r w:rsidR="00830C1C" w:rsidRPr="00354AC0">
              <w:t xml:space="preserve">Council is invited to </w:t>
            </w:r>
            <w:r w:rsidR="00830C1C" w:rsidRPr="00354AC0">
              <w:rPr>
                <w:b/>
              </w:rPr>
              <w:t>consider</w:t>
            </w:r>
            <w:r w:rsidR="00830C1C" w:rsidRPr="00354AC0">
              <w:t xml:space="preserve"> this proposal and </w:t>
            </w:r>
            <w:r w:rsidR="00830C1C">
              <w:rPr>
                <w:b/>
              </w:rPr>
              <w:t xml:space="preserve">instruct </w:t>
            </w:r>
            <w:r w:rsidR="00830C1C" w:rsidRPr="004F212B">
              <w:t xml:space="preserve">the </w:t>
            </w:r>
            <w:r w:rsidR="002F7834">
              <w:t>ITU Secretary General</w:t>
            </w:r>
            <w:r w:rsidR="00830C1C">
              <w:t>, in collaboration with the</w:t>
            </w:r>
            <w:r w:rsidR="002F7834">
              <w:t xml:space="preserve"> </w:t>
            </w:r>
            <w:r w:rsidR="002F7834" w:rsidRPr="004F212B">
              <w:t>Director of the Telecommunication Development Bureau</w:t>
            </w:r>
            <w:r w:rsidR="002F7834">
              <w:t xml:space="preserve"> (BDT)</w:t>
            </w:r>
            <w:r w:rsidR="00830C1C">
              <w:t>,</w:t>
            </w:r>
            <w:r w:rsidR="00830C1C">
              <w:rPr>
                <w:b/>
              </w:rPr>
              <w:t xml:space="preserve"> </w:t>
            </w:r>
            <w:r w:rsidR="00830C1C" w:rsidRPr="00A822D5">
              <w:t xml:space="preserve">to </w:t>
            </w:r>
            <w:r w:rsidR="00830C1C">
              <w:rPr>
                <w:b/>
              </w:rPr>
              <w:t xml:space="preserve">consider </w:t>
            </w:r>
            <w:r w:rsidR="00830C1C" w:rsidRPr="00A822D5">
              <w:t>ways these improvements to the Regional and Area Offices could be implemented</w:t>
            </w:r>
            <w:r w:rsidR="002F7834">
              <w:t xml:space="preserve"> and </w:t>
            </w:r>
            <w:r w:rsidR="00830C1C">
              <w:rPr>
                <w:b/>
              </w:rPr>
              <w:t xml:space="preserve">report to the next CWG-FHR </w:t>
            </w:r>
            <w:r w:rsidR="00830C1C" w:rsidRPr="00487C86">
              <w:t xml:space="preserve">details on the </w:t>
            </w:r>
            <w:r w:rsidR="00830C1C">
              <w:t>outcomes</w:t>
            </w:r>
            <w:r w:rsidR="00830C1C" w:rsidRPr="00487C86">
              <w:t xml:space="preserve"> of t</w:t>
            </w:r>
            <w:r w:rsidR="00830C1C">
              <w:t>heir consideration</w:t>
            </w:r>
            <w:r w:rsidR="0099278D">
              <w:t xml:space="preserve">, including specific measures to address </w:t>
            </w:r>
            <w:r w:rsidR="002F7834">
              <w:t>identified</w:t>
            </w:r>
            <w:r w:rsidR="0099278D">
              <w:t xml:space="preserve"> shortfalls. </w:t>
            </w:r>
          </w:p>
          <w:p w14:paraId="4935C1A0" w14:textId="77777777" w:rsidR="00830C1C" w:rsidRPr="00354AC0" w:rsidRDefault="00830C1C" w:rsidP="00830C1C">
            <w:pPr>
              <w:spacing w:before="160"/>
              <w:rPr>
                <w:caps/>
                <w:sz w:val="22"/>
              </w:rPr>
            </w:pPr>
            <w:r w:rsidRPr="00354AC0">
              <w:rPr>
                <w:sz w:val="22"/>
              </w:rPr>
              <w:t>__________________</w:t>
            </w:r>
          </w:p>
          <w:p w14:paraId="2E52032C" w14:textId="77777777" w:rsidR="00830C1C" w:rsidRPr="00487C86" w:rsidRDefault="00830C1C" w:rsidP="00830C1C">
            <w:pPr>
              <w:spacing w:before="160"/>
              <w:rPr>
                <w:b/>
                <w:bCs/>
                <w:sz w:val="26"/>
                <w:szCs w:val="26"/>
              </w:rPr>
            </w:pPr>
            <w:r w:rsidRPr="00354AC0">
              <w:rPr>
                <w:b/>
                <w:bCs/>
                <w:sz w:val="26"/>
                <w:szCs w:val="26"/>
              </w:rPr>
              <w:t xml:space="preserve">References </w:t>
            </w:r>
          </w:p>
          <w:p w14:paraId="1B5085FB" w14:textId="382E6A67" w:rsidR="00830C1C" w:rsidRPr="00BE2E5F" w:rsidRDefault="00044962" w:rsidP="00BE2E5F">
            <w:pPr>
              <w:rPr>
                <w:i/>
                <w:iCs/>
                <w:sz w:val="22"/>
                <w:szCs w:val="22"/>
              </w:rPr>
            </w:pPr>
            <w:hyperlink r:id="rId7" w:history="1">
              <w:r w:rsidR="00830C1C" w:rsidRPr="00A71A0A">
                <w:rPr>
                  <w:rStyle w:val="Hyperlink"/>
                  <w:i/>
                  <w:iCs/>
                  <w:sz w:val="22"/>
                  <w:szCs w:val="22"/>
                </w:rPr>
                <w:t>PP Resolution 157 (</w:t>
              </w:r>
              <w:r w:rsidR="00BE5E41" w:rsidRPr="00A71A0A">
                <w:rPr>
                  <w:rStyle w:val="Hyperlink"/>
                  <w:i/>
                  <w:iCs/>
                  <w:sz w:val="22"/>
                  <w:szCs w:val="22"/>
                </w:rPr>
                <w:t xml:space="preserve">Rev. </w:t>
              </w:r>
              <w:r w:rsidR="00A71A0A" w:rsidRPr="00A71A0A">
                <w:rPr>
                  <w:rStyle w:val="Hyperlink"/>
                  <w:i/>
                  <w:iCs/>
                  <w:sz w:val="22"/>
                  <w:szCs w:val="22"/>
                </w:rPr>
                <w:t>Bucharest, 2022</w:t>
              </w:r>
              <w:r w:rsidR="00830C1C" w:rsidRPr="00A71A0A">
                <w:rPr>
                  <w:rStyle w:val="Hyperlink"/>
                  <w:i/>
                  <w:iCs/>
                  <w:sz w:val="22"/>
                  <w:szCs w:val="22"/>
                </w:rPr>
                <w:t>)</w:t>
              </w:r>
            </w:hyperlink>
            <w:r w:rsidR="00830C1C" w:rsidRPr="00BE2E5F">
              <w:rPr>
                <w:i/>
                <w:iCs/>
                <w:sz w:val="22"/>
                <w:szCs w:val="22"/>
              </w:rPr>
              <w:t xml:space="preserve"> - Strengthening of the project execution and project monitoring functions in </w:t>
            </w:r>
            <w:proofErr w:type="gramStart"/>
            <w:r w:rsidR="00830C1C" w:rsidRPr="00BE2E5F">
              <w:rPr>
                <w:i/>
                <w:iCs/>
                <w:sz w:val="22"/>
                <w:szCs w:val="22"/>
              </w:rPr>
              <w:t>ITU</w:t>
            </w:r>
            <w:proofErr w:type="gramEnd"/>
          </w:p>
          <w:p w14:paraId="7B309D3C" w14:textId="6ACB9A54" w:rsidR="00830C1C" w:rsidRPr="00BE2E5F" w:rsidRDefault="00044962" w:rsidP="00BE2E5F">
            <w:pPr>
              <w:spacing w:before="0"/>
              <w:rPr>
                <w:i/>
                <w:iCs/>
                <w:sz w:val="22"/>
                <w:szCs w:val="22"/>
              </w:rPr>
            </w:pPr>
            <w:hyperlink r:id="rId8" w:history="1">
              <w:r w:rsidR="00830C1C" w:rsidRPr="006105BA">
                <w:rPr>
                  <w:rStyle w:val="Hyperlink"/>
                  <w:i/>
                  <w:iCs/>
                  <w:sz w:val="22"/>
                  <w:szCs w:val="22"/>
                </w:rPr>
                <w:t>WTDC Resolution 52 (Rev. Dubai, 2014)</w:t>
              </w:r>
            </w:hyperlink>
            <w:r w:rsidR="00830C1C" w:rsidRPr="00BE2E5F">
              <w:rPr>
                <w:i/>
                <w:iCs/>
                <w:sz w:val="22"/>
                <w:szCs w:val="22"/>
              </w:rPr>
              <w:t xml:space="preserve"> - Strengthening the executing agency role of the ITU Telecommunication Development Sector</w:t>
            </w:r>
          </w:p>
          <w:p w14:paraId="130D09B3" w14:textId="5B6B79C4" w:rsidR="00830C1C" w:rsidRPr="00354AC0" w:rsidRDefault="00044962" w:rsidP="00BE2E5F">
            <w:pPr>
              <w:spacing w:before="0" w:after="120"/>
            </w:pPr>
            <w:hyperlink r:id="rId9" w:history="1">
              <w:r w:rsidR="00830C1C" w:rsidRPr="006105BA">
                <w:rPr>
                  <w:rStyle w:val="Hyperlink"/>
                  <w:i/>
                  <w:iCs/>
                  <w:sz w:val="22"/>
                  <w:szCs w:val="22"/>
                </w:rPr>
                <w:t>PP Resolution 71 (Rev. Bucharest, 2022)</w:t>
              </w:r>
            </w:hyperlink>
            <w:r w:rsidR="00830C1C" w:rsidRPr="00BE2E5F">
              <w:rPr>
                <w:i/>
                <w:iCs/>
                <w:sz w:val="22"/>
                <w:szCs w:val="22"/>
              </w:rPr>
              <w:t xml:space="preserve"> - Strategic Plan of the Union 2024-2027</w:t>
            </w:r>
          </w:p>
        </w:tc>
      </w:tr>
    </w:tbl>
    <w:p w14:paraId="2423CFCF" w14:textId="77777777" w:rsidR="00830C1C" w:rsidRPr="00354AC0" w:rsidRDefault="00830C1C" w:rsidP="00830C1C">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C858C1E" w14:textId="77777777" w:rsidR="00BE2E5F" w:rsidRDefault="00BE2E5F">
      <w:pPr>
        <w:tabs>
          <w:tab w:val="clear" w:pos="567"/>
          <w:tab w:val="clear" w:pos="1134"/>
          <w:tab w:val="clear" w:pos="1701"/>
          <w:tab w:val="clear" w:pos="2268"/>
          <w:tab w:val="clear" w:pos="2835"/>
        </w:tabs>
        <w:overflowPunct/>
        <w:autoSpaceDE/>
        <w:autoSpaceDN/>
        <w:adjustRightInd/>
        <w:spacing w:before="0" w:after="160" w:line="259" w:lineRule="auto"/>
        <w:textAlignment w:val="auto"/>
        <w:rPr>
          <w:b/>
          <w:bCs/>
          <w:sz w:val="26"/>
          <w:szCs w:val="26"/>
        </w:rPr>
      </w:pPr>
      <w:r>
        <w:rPr>
          <w:b/>
          <w:bCs/>
          <w:sz w:val="26"/>
          <w:szCs w:val="26"/>
        </w:rPr>
        <w:br w:type="page"/>
      </w:r>
    </w:p>
    <w:p w14:paraId="0CE80FF2" w14:textId="705A8AA3" w:rsidR="00830C1C" w:rsidRPr="00354AC0" w:rsidRDefault="00830C1C" w:rsidP="00BE2E5F">
      <w:pPr>
        <w:tabs>
          <w:tab w:val="clear" w:pos="567"/>
          <w:tab w:val="clear" w:pos="1134"/>
          <w:tab w:val="clear" w:pos="1701"/>
          <w:tab w:val="clear" w:pos="2268"/>
          <w:tab w:val="clear" w:pos="2835"/>
        </w:tabs>
        <w:overflowPunct/>
        <w:autoSpaceDE/>
        <w:autoSpaceDN/>
        <w:adjustRightInd/>
        <w:spacing w:after="120"/>
        <w:textAlignment w:val="auto"/>
        <w:rPr>
          <w:b/>
          <w:bCs/>
          <w:sz w:val="26"/>
          <w:szCs w:val="26"/>
        </w:rPr>
      </w:pPr>
      <w:r w:rsidRPr="00354AC0">
        <w:rPr>
          <w:b/>
          <w:bCs/>
          <w:sz w:val="26"/>
          <w:szCs w:val="26"/>
        </w:rPr>
        <w:lastRenderedPageBreak/>
        <w:t>Introduction</w:t>
      </w:r>
    </w:p>
    <w:p w14:paraId="651E83C9" w14:textId="0D607EE9" w:rsidR="00830C1C" w:rsidRDefault="00830C1C" w:rsidP="00BE2E5F">
      <w:pPr>
        <w:tabs>
          <w:tab w:val="clear" w:pos="567"/>
          <w:tab w:val="clear" w:pos="1134"/>
          <w:tab w:val="clear" w:pos="1701"/>
          <w:tab w:val="clear" w:pos="2268"/>
          <w:tab w:val="clear" w:pos="2835"/>
        </w:tabs>
        <w:overflowPunct/>
        <w:autoSpaceDE/>
        <w:autoSpaceDN/>
        <w:adjustRightInd/>
        <w:spacing w:after="120"/>
        <w:textAlignment w:val="auto"/>
      </w:pPr>
      <w:r>
        <w:t xml:space="preserve">Australia commends the ITU’s Regional and Area Offices on their excellent work delivering country-level assistance to members. The support provided by the Regional and Area Offices is crucial to ITU members, </w:t>
      </w:r>
      <w:r w:rsidRPr="00DA1574">
        <w:t>directly benefit</w:t>
      </w:r>
      <w:r>
        <w:t xml:space="preserve">ting </w:t>
      </w:r>
      <w:r w:rsidRPr="00DA1574">
        <w:t>developing countries</w:t>
      </w:r>
      <w:r>
        <w:t xml:space="preserve">, and ensuring ITU can adequately address the </w:t>
      </w:r>
      <w:r w:rsidR="00162021">
        <w:t xml:space="preserve">diverse </w:t>
      </w:r>
      <w:r>
        <w:t xml:space="preserve">needs of </w:t>
      </w:r>
      <w:r w:rsidR="00162021">
        <w:t xml:space="preserve">each </w:t>
      </w:r>
      <w:r>
        <w:t xml:space="preserve">region. Ensuring the efficacy of ITU’s Regional and Area Offices is important, as the assistance provided by the offices greatly impacts ITU’s </w:t>
      </w:r>
      <w:proofErr w:type="gramStart"/>
      <w:r>
        <w:t>operations</w:t>
      </w:r>
      <w:proofErr w:type="gramEnd"/>
    </w:p>
    <w:p w14:paraId="05B58089" w14:textId="77777777" w:rsidR="00830C1C" w:rsidRPr="00354AC0" w:rsidRDefault="00830C1C" w:rsidP="00BE2E5F">
      <w:pPr>
        <w:tabs>
          <w:tab w:val="clear" w:pos="567"/>
          <w:tab w:val="clear" w:pos="1134"/>
          <w:tab w:val="clear" w:pos="1701"/>
          <w:tab w:val="clear" w:pos="2268"/>
          <w:tab w:val="clear" w:pos="2835"/>
        </w:tabs>
        <w:overflowPunct/>
        <w:autoSpaceDE/>
        <w:autoSpaceDN/>
        <w:adjustRightInd/>
        <w:spacing w:before="360" w:after="120"/>
        <w:textAlignment w:val="auto"/>
        <w:rPr>
          <w:b/>
          <w:bCs/>
          <w:sz w:val="26"/>
          <w:szCs w:val="26"/>
        </w:rPr>
      </w:pPr>
      <w:r>
        <w:rPr>
          <w:b/>
          <w:bCs/>
          <w:sz w:val="26"/>
          <w:szCs w:val="26"/>
        </w:rPr>
        <w:t>Discussion</w:t>
      </w:r>
    </w:p>
    <w:p w14:paraId="6FD3D460" w14:textId="49F176B4" w:rsidR="00830C1C" w:rsidRPr="00BE2E5F" w:rsidRDefault="00830C1C" w:rsidP="00BE2E5F">
      <w:pPr>
        <w:tabs>
          <w:tab w:val="clear" w:pos="567"/>
          <w:tab w:val="clear" w:pos="1134"/>
          <w:tab w:val="clear" w:pos="1701"/>
          <w:tab w:val="clear" w:pos="2268"/>
          <w:tab w:val="clear" w:pos="2835"/>
        </w:tabs>
        <w:overflowPunct/>
        <w:autoSpaceDE/>
        <w:autoSpaceDN/>
        <w:adjustRightInd/>
        <w:spacing w:after="120"/>
        <w:textAlignment w:val="auto"/>
        <w:rPr>
          <w:szCs w:val="24"/>
        </w:rPr>
      </w:pPr>
      <w:r w:rsidRPr="00BE2E5F">
        <w:rPr>
          <w:szCs w:val="24"/>
        </w:rPr>
        <w:t xml:space="preserve">Through our experience delivering projects in the Asia Pacific Region, Australia has identified </w:t>
      </w:r>
      <w:proofErr w:type="gramStart"/>
      <w:r w:rsidRPr="00BE2E5F">
        <w:rPr>
          <w:szCs w:val="24"/>
        </w:rPr>
        <w:t>a number of</w:t>
      </w:r>
      <w:proofErr w:type="gramEnd"/>
      <w:r w:rsidRPr="00BE2E5F">
        <w:rPr>
          <w:szCs w:val="24"/>
        </w:rPr>
        <w:t xml:space="preserve"> areas where </w:t>
      </w:r>
      <w:r w:rsidR="006D3EAE" w:rsidRPr="00BE2E5F">
        <w:rPr>
          <w:szCs w:val="24"/>
        </w:rPr>
        <w:t xml:space="preserve">enhancements </w:t>
      </w:r>
      <w:r w:rsidRPr="00BE2E5F">
        <w:rPr>
          <w:szCs w:val="24"/>
        </w:rPr>
        <w:t>could greatly improve project delivery, maximising the benefits of ITU’s activities in the regions.</w:t>
      </w:r>
    </w:p>
    <w:p w14:paraId="6208B652" w14:textId="74A6C72A" w:rsidR="00830C1C" w:rsidRPr="00BE2E5F" w:rsidRDefault="00830C1C" w:rsidP="00BE2E5F">
      <w:pPr>
        <w:pStyle w:val="ListParagraph"/>
        <w:numPr>
          <w:ilvl w:val="0"/>
          <w:numId w:val="4"/>
        </w:numPr>
        <w:spacing w:after="120"/>
        <w:ind w:left="426" w:hanging="426"/>
        <w:rPr>
          <w:sz w:val="24"/>
          <w:szCs w:val="24"/>
          <w:u w:val="single"/>
        </w:rPr>
      </w:pPr>
      <w:r w:rsidRPr="00BE2E5F">
        <w:rPr>
          <w:sz w:val="24"/>
          <w:szCs w:val="24"/>
          <w:u w:val="single"/>
        </w:rPr>
        <w:t xml:space="preserve">Recruitment </w:t>
      </w:r>
    </w:p>
    <w:p w14:paraId="2D3086FB" w14:textId="77777777" w:rsidR="00162021" w:rsidRPr="00BE2E5F" w:rsidRDefault="00830C1C" w:rsidP="00BE2E5F">
      <w:pPr>
        <w:spacing w:after="120"/>
        <w:rPr>
          <w:szCs w:val="24"/>
        </w:rPr>
      </w:pPr>
      <w:r w:rsidRPr="00BE2E5F">
        <w:rPr>
          <w:szCs w:val="24"/>
        </w:rPr>
        <w:t xml:space="preserve">A significant challenge faced by the Asia Pacific Regional Office has been the recruitment and retention of personnel with appropriate project management expertise. Based on Australia’s </w:t>
      </w:r>
      <w:r w:rsidRPr="00A71A0A">
        <w:rPr>
          <w:spacing w:val="4"/>
          <w:szCs w:val="24"/>
        </w:rPr>
        <w:t>experience, ITU currently spends six (6) to twelve (12) months out of a two (2) to three</w:t>
      </w:r>
      <w:r w:rsidRPr="00BE2E5F">
        <w:rPr>
          <w:szCs w:val="24"/>
        </w:rPr>
        <w:t xml:space="preserve"> (3)-year project on identifying and recruiting relevant experts. Australia understands this has been a challenge across many areas of ITU, including other Regional and Area Offices. </w:t>
      </w:r>
    </w:p>
    <w:p w14:paraId="034752A4" w14:textId="4D756F02" w:rsidR="00830C1C" w:rsidRPr="00BE2E5F" w:rsidRDefault="00830C1C" w:rsidP="00BE2E5F">
      <w:pPr>
        <w:spacing w:after="120"/>
        <w:rPr>
          <w:szCs w:val="24"/>
        </w:rPr>
      </w:pPr>
      <w:r w:rsidRPr="00BE2E5F">
        <w:rPr>
          <w:szCs w:val="24"/>
        </w:rPr>
        <w:t>Implementing improvements to recruitment processes and tools in Regional and Area Offices would enable the identification and recruitment of talent with relevant project management expertise within the Regional Offices in a timely manner, which would mean delivering projects within the set timeframes. By ensuring timely project deliver</w:t>
      </w:r>
      <w:r w:rsidR="00162021" w:rsidRPr="00BE2E5F">
        <w:rPr>
          <w:szCs w:val="24"/>
        </w:rPr>
        <w:t>y</w:t>
      </w:r>
      <w:r w:rsidRPr="00BE2E5F">
        <w:rPr>
          <w:szCs w:val="24"/>
        </w:rPr>
        <w:t>, ITU can ensure that its assistance remains relevant and meaningful in a fast-evolving telecommunications/ICT environment.</w:t>
      </w:r>
    </w:p>
    <w:p w14:paraId="623A11CD" w14:textId="77777777" w:rsidR="00830C1C" w:rsidRPr="00BE2E5F" w:rsidRDefault="00830C1C" w:rsidP="00BE2E5F">
      <w:pPr>
        <w:spacing w:after="120"/>
        <w:rPr>
          <w:szCs w:val="24"/>
        </w:rPr>
      </w:pPr>
      <w:r w:rsidRPr="00BE2E5F">
        <w:rPr>
          <w:szCs w:val="24"/>
        </w:rPr>
        <w:t>Moreover, strengthening project management expertise in the Regional Offices will ensure ITU is able to deliver timely and targeted assistance to member states. Additionally, if specific expertise is required to deliver a project, ITU should consider signing project documentation once relevant experts are identified as notionally available to avoid significant delays in project implementation.</w:t>
      </w:r>
    </w:p>
    <w:p w14:paraId="223580C7" w14:textId="04CCD8F2" w:rsidR="00830C1C" w:rsidRPr="00BE2E5F" w:rsidRDefault="00830C1C" w:rsidP="00BE2E5F">
      <w:pPr>
        <w:pStyle w:val="ListParagraph"/>
        <w:numPr>
          <w:ilvl w:val="0"/>
          <w:numId w:val="4"/>
        </w:numPr>
        <w:spacing w:after="120"/>
        <w:ind w:left="426" w:hanging="426"/>
        <w:rPr>
          <w:sz w:val="24"/>
          <w:szCs w:val="24"/>
          <w:u w:val="single"/>
        </w:rPr>
      </w:pPr>
      <w:r w:rsidRPr="00BE2E5F">
        <w:rPr>
          <w:sz w:val="24"/>
          <w:szCs w:val="24"/>
          <w:u w:val="single"/>
        </w:rPr>
        <w:t>Strategic alignment of projects and KPIs</w:t>
      </w:r>
    </w:p>
    <w:p w14:paraId="799A1B32" w14:textId="77777777" w:rsidR="00830C1C" w:rsidRPr="00BE2E5F" w:rsidRDefault="00830C1C" w:rsidP="00BE2E5F">
      <w:pPr>
        <w:spacing w:after="120"/>
        <w:rPr>
          <w:szCs w:val="24"/>
        </w:rPr>
      </w:pPr>
      <w:r w:rsidRPr="00BE2E5F">
        <w:rPr>
          <w:szCs w:val="24"/>
        </w:rPr>
        <w:t xml:space="preserve">As part of effectively managing the work program and project delivery, the activities of the Regional and Area Offices should explicitly align with the goals and priorities outlined in the ITU Strategic Plan and the WTDC Action Plan, including its Framework and associated KPIs. These established KPIs can also be used to measure the outcomes of activities undertaken by the Regional and Area Offices (including development projects and events), and to identify opportunities for improvement to make meaningful impact. Using these KPIs will provide a clear indication of how the Regional Offices are progressing the priorities identified by the ITU Membership. </w:t>
      </w:r>
    </w:p>
    <w:p w14:paraId="5FAAD247" w14:textId="22780213" w:rsidR="00830C1C" w:rsidRPr="00BE2E5F" w:rsidRDefault="00830C1C" w:rsidP="006105BA">
      <w:pPr>
        <w:pStyle w:val="ListParagraph"/>
        <w:keepNext/>
        <w:keepLines/>
        <w:numPr>
          <w:ilvl w:val="0"/>
          <w:numId w:val="4"/>
        </w:numPr>
        <w:spacing w:after="120"/>
        <w:ind w:left="426" w:hanging="426"/>
        <w:rPr>
          <w:sz w:val="24"/>
          <w:szCs w:val="24"/>
          <w:u w:val="single"/>
        </w:rPr>
      </w:pPr>
      <w:r w:rsidRPr="00BE2E5F">
        <w:rPr>
          <w:sz w:val="24"/>
          <w:szCs w:val="24"/>
          <w:u w:val="single"/>
        </w:rPr>
        <w:lastRenderedPageBreak/>
        <w:t>Financial reporting</w:t>
      </w:r>
    </w:p>
    <w:p w14:paraId="09BA84F0" w14:textId="77777777" w:rsidR="00F43015" w:rsidRDefault="00830C1C" w:rsidP="006105BA">
      <w:pPr>
        <w:keepNext/>
        <w:keepLines/>
        <w:spacing w:after="120"/>
        <w:rPr>
          <w:szCs w:val="24"/>
        </w:rPr>
      </w:pPr>
      <w:r w:rsidRPr="00BE2E5F">
        <w:rPr>
          <w:szCs w:val="24"/>
        </w:rPr>
        <w:t>A lack of financial information has posed numerous difficulties for Australia in financing projects. In our experience, it often takes about</w:t>
      </w:r>
      <w:r w:rsidRPr="00C15D25">
        <w:rPr>
          <w:szCs w:val="24"/>
        </w:rPr>
        <w:t xml:space="preserve"> eight (8) weeks </w:t>
      </w:r>
      <w:r>
        <w:rPr>
          <w:szCs w:val="24"/>
        </w:rPr>
        <w:t>to receive</w:t>
      </w:r>
      <w:r w:rsidRPr="00C15D25">
        <w:rPr>
          <w:szCs w:val="24"/>
        </w:rPr>
        <w:t xml:space="preserve"> updates on the status of</w:t>
      </w:r>
      <w:r>
        <w:rPr>
          <w:szCs w:val="24"/>
        </w:rPr>
        <w:t xml:space="preserve"> our</w:t>
      </w:r>
      <w:r w:rsidRPr="00C15D25">
        <w:rPr>
          <w:szCs w:val="24"/>
        </w:rPr>
        <w:t xml:space="preserve"> accounts</w:t>
      </w:r>
      <w:r>
        <w:rPr>
          <w:szCs w:val="24"/>
        </w:rPr>
        <w:t>, by which time the information is out of date.</w:t>
      </w:r>
      <w:r w:rsidRPr="00C15D25">
        <w:rPr>
          <w:szCs w:val="24"/>
        </w:rPr>
        <w:t xml:space="preserve"> We understand that a key challenge in providing </w:t>
      </w:r>
      <w:r>
        <w:rPr>
          <w:szCs w:val="24"/>
        </w:rPr>
        <w:t>financial</w:t>
      </w:r>
      <w:r w:rsidRPr="00C15D25">
        <w:rPr>
          <w:szCs w:val="24"/>
        </w:rPr>
        <w:t xml:space="preserve"> information</w:t>
      </w:r>
      <w:r>
        <w:rPr>
          <w:szCs w:val="24"/>
        </w:rPr>
        <w:t xml:space="preserve"> to donors</w:t>
      </w:r>
      <w:r w:rsidRPr="00C15D25">
        <w:rPr>
          <w:szCs w:val="24"/>
        </w:rPr>
        <w:t xml:space="preserve"> is the centralisation of financial and project management </w:t>
      </w:r>
      <w:r>
        <w:rPr>
          <w:szCs w:val="24"/>
        </w:rPr>
        <w:t xml:space="preserve">functions </w:t>
      </w:r>
      <w:r w:rsidRPr="00C15D25">
        <w:rPr>
          <w:szCs w:val="24"/>
        </w:rPr>
        <w:t xml:space="preserve">in </w:t>
      </w:r>
      <w:r>
        <w:rPr>
          <w:szCs w:val="24"/>
        </w:rPr>
        <w:t>HQ (</w:t>
      </w:r>
      <w:r w:rsidRPr="00C15D25">
        <w:rPr>
          <w:szCs w:val="24"/>
        </w:rPr>
        <w:t>Geneva</w:t>
      </w:r>
      <w:r>
        <w:rPr>
          <w:szCs w:val="24"/>
        </w:rPr>
        <w:t>)</w:t>
      </w:r>
      <w:r w:rsidRPr="00C15D25">
        <w:rPr>
          <w:szCs w:val="24"/>
        </w:rPr>
        <w:t xml:space="preserve">. </w:t>
      </w:r>
    </w:p>
    <w:p w14:paraId="3751DA71" w14:textId="6703A3E2" w:rsidR="00830C1C" w:rsidRPr="00BE2E5F" w:rsidRDefault="00743697" w:rsidP="00BE2E5F">
      <w:pPr>
        <w:spacing w:after="120"/>
        <w:rPr>
          <w:szCs w:val="24"/>
        </w:rPr>
      </w:pPr>
      <w:r>
        <w:rPr>
          <w:szCs w:val="24"/>
        </w:rPr>
        <w:t>Allowing</w:t>
      </w:r>
      <w:r w:rsidR="00830C1C" w:rsidRPr="00C15D25">
        <w:rPr>
          <w:szCs w:val="24"/>
        </w:rPr>
        <w:t xml:space="preserve"> Regional Office</w:t>
      </w:r>
      <w:r w:rsidR="00830C1C">
        <w:rPr>
          <w:szCs w:val="24"/>
        </w:rPr>
        <w:t>s</w:t>
      </w:r>
      <w:r w:rsidR="00830C1C" w:rsidRPr="00C15D25">
        <w:rPr>
          <w:szCs w:val="24"/>
        </w:rPr>
        <w:t xml:space="preserve"> </w:t>
      </w:r>
      <w:r>
        <w:rPr>
          <w:szCs w:val="24"/>
        </w:rPr>
        <w:t xml:space="preserve">to </w:t>
      </w:r>
      <w:r w:rsidR="00830C1C" w:rsidRPr="00C15D25">
        <w:rPr>
          <w:szCs w:val="24"/>
        </w:rPr>
        <w:t xml:space="preserve">access the </w:t>
      </w:r>
      <w:r w:rsidR="00830C1C">
        <w:rPr>
          <w:szCs w:val="24"/>
        </w:rPr>
        <w:t xml:space="preserve">ITU’s </w:t>
      </w:r>
      <w:r w:rsidR="00830C1C" w:rsidRPr="00C15D25">
        <w:rPr>
          <w:szCs w:val="24"/>
        </w:rPr>
        <w:t>financial management tools</w:t>
      </w:r>
      <w:r w:rsidR="00F43015">
        <w:rPr>
          <w:szCs w:val="24"/>
        </w:rPr>
        <w:t xml:space="preserve"> as appropriate</w:t>
      </w:r>
      <w:r w:rsidR="00830C1C" w:rsidRPr="00C15D25">
        <w:rPr>
          <w:szCs w:val="24"/>
        </w:rPr>
        <w:t xml:space="preserve"> and </w:t>
      </w:r>
      <w:r w:rsidR="00830C1C" w:rsidRPr="00BE2E5F">
        <w:rPr>
          <w:szCs w:val="24"/>
        </w:rPr>
        <w:t xml:space="preserve">to report on this information on a timely or as-requested basis, could greatly improve </w:t>
      </w:r>
      <w:r w:rsidRPr="00BE2E5F">
        <w:rPr>
          <w:szCs w:val="24"/>
        </w:rPr>
        <w:t xml:space="preserve">ITU’s </w:t>
      </w:r>
      <w:r w:rsidR="00830C1C" w:rsidRPr="00BE2E5F">
        <w:rPr>
          <w:szCs w:val="24"/>
        </w:rPr>
        <w:t xml:space="preserve">responsiveness, </w:t>
      </w:r>
      <w:proofErr w:type="gramStart"/>
      <w:r w:rsidR="00830C1C" w:rsidRPr="00BE2E5F">
        <w:rPr>
          <w:szCs w:val="24"/>
        </w:rPr>
        <w:t>transparency</w:t>
      </w:r>
      <w:proofErr w:type="gramEnd"/>
      <w:r w:rsidR="00830C1C" w:rsidRPr="00BE2E5F">
        <w:rPr>
          <w:szCs w:val="24"/>
        </w:rPr>
        <w:t xml:space="preserve"> and accountability</w:t>
      </w:r>
      <w:r w:rsidRPr="00BE2E5F">
        <w:rPr>
          <w:szCs w:val="24"/>
        </w:rPr>
        <w:t xml:space="preserve">. These principles are highly valued by donors, and enhancements in this area would enable </w:t>
      </w:r>
      <w:r w:rsidR="00006AD5" w:rsidRPr="00BE2E5F">
        <w:rPr>
          <w:szCs w:val="24"/>
        </w:rPr>
        <w:t>more effective financial management of projects and faster delivery</w:t>
      </w:r>
      <w:r w:rsidRPr="00BE2E5F">
        <w:rPr>
          <w:szCs w:val="24"/>
        </w:rPr>
        <w:t xml:space="preserve">. </w:t>
      </w:r>
    </w:p>
    <w:p w14:paraId="6054B7A0" w14:textId="55EFC8DD" w:rsidR="00830C1C" w:rsidRPr="00BE2E5F" w:rsidRDefault="00830C1C" w:rsidP="00BE2E5F">
      <w:pPr>
        <w:pStyle w:val="ListParagraph"/>
        <w:numPr>
          <w:ilvl w:val="0"/>
          <w:numId w:val="4"/>
        </w:numPr>
        <w:spacing w:after="120"/>
        <w:ind w:left="426" w:hanging="426"/>
        <w:rPr>
          <w:sz w:val="24"/>
          <w:szCs w:val="24"/>
          <w:u w:val="single"/>
        </w:rPr>
      </w:pPr>
      <w:r w:rsidRPr="00BE2E5F">
        <w:rPr>
          <w:sz w:val="24"/>
          <w:szCs w:val="24"/>
          <w:u w:val="single"/>
        </w:rPr>
        <w:t>Project delivery delegations</w:t>
      </w:r>
    </w:p>
    <w:p w14:paraId="2D1554A9" w14:textId="00581E65" w:rsidR="00830C1C" w:rsidRPr="0066525B" w:rsidRDefault="00830C1C" w:rsidP="00BE2E5F">
      <w:pPr>
        <w:spacing w:after="120"/>
      </w:pPr>
      <w:r w:rsidRPr="00BE2E5F">
        <w:rPr>
          <w:szCs w:val="24"/>
        </w:rPr>
        <w:t>Australia has found that project delivery delegation levels hinder project progress, leading to long wait times for projects to commence. In some cases, Australia has experienced delays of up to eighteen (18) months for projects to be approved. To overcome this issue, ITU</w:t>
      </w:r>
      <w:r w:rsidR="00715717" w:rsidRPr="00BE2E5F">
        <w:rPr>
          <w:szCs w:val="24"/>
        </w:rPr>
        <w:t xml:space="preserve"> could</w:t>
      </w:r>
      <w:r w:rsidRPr="00BE2E5F">
        <w:rPr>
          <w:szCs w:val="24"/>
        </w:rPr>
        <w:t xml:space="preserve"> </w:t>
      </w:r>
      <w:r w:rsidR="00743697" w:rsidRPr="00BE2E5F">
        <w:rPr>
          <w:szCs w:val="24"/>
        </w:rPr>
        <w:t xml:space="preserve">review </w:t>
      </w:r>
      <w:r w:rsidRPr="00BE2E5F">
        <w:rPr>
          <w:szCs w:val="24"/>
        </w:rPr>
        <w:t>its project decision-making</w:t>
      </w:r>
      <w:r w:rsidR="00743697" w:rsidRPr="00BE2E5F">
        <w:rPr>
          <w:szCs w:val="24"/>
        </w:rPr>
        <w:t xml:space="preserve"> process and</w:t>
      </w:r>
      <w:r w:rsidRPr="00BE2E5F">
        <w:rPr>
          <w:szCs w:val="24"/>
        </w:rPr>
        <w:t xml:space="preserve"> delegations, with the view to ensuring Regional Office Directors have the relevant and appropriate authorities to enable effective project delivery. </w:t>
      </w:r>
      <w:r w:rsidR="00104931" w:rsidRPr="00BE2E5F">
        <w:rPr>
          <w:szCs w:val="24"/>
        </w:rPr>
        <w:t>Noting that it remains preferable for project oversight to be maintained in HQ</w:t>
      </w:r>
      <w:r w:rsidR="00715717" w:rsidRPr="00BE2E5F">
        <w:rPr>
          <w:szCs w:val="24"/>
        </w:rPr>
        <w:t xml:space="preserve"> (Geneva)</w:t>
      </w:r>
      <w:r w:rsidR="00104931" w:rsidRPr="00BE2E5F">
        <w:rPr>
          <w:szCs w:val="24"/>
        </w:rPr>
        <w:t>, where appropriate, ITU</w:t>
      </w:r>
      <w:r w:rsidR="00104931">
        <w:t xml:space="preserve"> </w:t>
      </w:r>
      <w:r w:rsidR="00743697">
        <w:t>c</w:t>
      </w:r>
      <w:r w:rsidR="00104931">
        <w:t xml:space="preserve">ould consider lowering delegations to Regional Office Directors for some approvals, such as recruitment of junior staff, local </w:t>
      </w:r>
      <w:proofErr w:type="gramStart"/>
      <w:r w:rsidR="00104931">
        <w:t>procurement</w:t>
      </w:r>
      <w:proofErr w:type="gramEnd"/>
      <w:r w:rsidR="00104931">
        <w:t xml:space="preserve"> and activities under a certain amount.</w:t>
      </w:r>
    </w:p>
    <w:p w14:paraId="710C577F" w14:textId="77777777" w:rsidR="00830C1C" w:rsidRDefault="00830C1C" w:rsidP="00BE2E5F">
      <w:pPr>
        <w:tabs>
          <w:tab w:val="clear" w:pos="567"/>
          <w:tab w:val="clear" w:pos="1134"/>
          <w:tab w:val="clear" w:pos="1701"/>
          <w:tab w:val="clear" w:pos="2268"/>
          <w:tab w:val="clear" w:pos="2835"/>
        </w:tabs>
        <w:overflowPunct/>
        <w:autoSpaceDE/>
        <w:autoSpaceDN/>
        <w:adjustRightInd/>
        <w:spacing w:before="360" w:after="120"/>
        <w:textAlignment w:val="auto"/>
      </w:pPr>
      <w:r w:rsidRPr="002E70FA">
        <w:rPr>
          <w:b/>
          <w:bCs/>
          <w:sz w:val="26"/>
          <w:szCs w:val="26"/>
        </w:rPr>
        <w:t>Proposal</w:t>
      </w:r>
    </w:p>
    <w:bookmarkEnd w:id="5"/>
    <w:bookmarkEnd w:id="10"/>
    <w:p w14:paraId="7B9F1764" w14:textId="20A1691D" w:rsidR="00830C1C" w:rsidRPr="00DA1574" w:rsidRDefault="00830C1C" w:rsidP="00BE2E5F">
      <w:pPr>
        <w:tabs>
          <w:tab w:val="clear" w:pos="567"/>
          <w:tab w:val="clear" w:pos="1134"/>
          <w:tab w:val="clear" w:pos="1701"/>
          <w:tab w:val="clear" w:pos="2268"/>
          <w:tab w:val="clear" w:pos="2835"/>
        </w:tabs>
        <w:overflowPunct/>
        <w:autoSpaceDE/>
        <w:autoSpaceDN/>
        <w:adjustRightInd/>
        <w:spacing w:after="120"/>
        <w:textAlignment w:val="auto"/>
      </w:pPr>
      <w:r>
        <w:t xml:space="preserve">Australia requests that Council consider implementing the administrative improvements to the Regional and Area Offices detailed above </w:t>
      </w:r>
      <w:proofErr w:type="gramStart"/>
      <w:r>
        <w:t>in order to</w:t>
      </w:r>
      <w:proofErr w:type="gramEnd"/>
      <w:r>
        <w:t xml:space="preserve"> strengthen the ITU’s project </w:t>
      </w:r>
      <w:r w:rsidRPr="00BE2E5F">
        <w:rPr>
          <w:spacing w:val="-2"/>
        </w:rPr>
        <w:t>execution function in line with PP Resolution 157 (Rev</w:t>
      </w:r>
      <w:r w:rsidR="00BE2E5F" w:rsidRPr="00BE2E5F">
        <w:rPr>
          <w:spacing w:val="-2"/>
        </w:rPr>
        <w:t>.</w:t>
      </w:r>
      <w:r w:rsidRPr="00BE2E5F">
        <w:rPr>
          <w:spacing w:val="-2"/>
        </w:rPr>
        <w:t xml:space="preserve"> </w:t>
      </w:r>
      <w:r w:rsidR="00A71A0A">
        <w:rPr>
          <w:spacing w:val="-2"/>
        </w:rPr>
        <w:t>Bucharest, 2022</w:t>
      </w:r>
      <w:r w:rsidRPr="00BE2E5F">
        <w:rPr>
          <w:spacing w:val="-2"/>
        </w:rPr>
        <w:t>) and WTDC Resolution</w:t>
      </w:r>
      <w:r w:rsidR="00BE2E5F" w:rsidRPr="00BE2E5F">
        <w:rPr>
          <w:spacing w:val="-2"/>
        </w:rPr>
        <w:t> </w:t>
      </w:r>
      <w:r w:rsidRPr="00BE2E5F">
        <w:rPr>
          <w:spacing w:val="-2"/>
        </w:rPr>
        <w:t>52</w:t>
      </w:r>
      <w:r>
        <w:t xml:space="preserve"> (Rev. Dubai, 20</w:t>
      </w:r>
      <w:r w:rsidR="00820A3F">
        <w:t>1</w:t>
      </w:r>
      <w:r>
        <w:t>4)</w:t>
      </w:r>
      <w:r w:rsidRPr="00DA1574">
        <w:t>.</w:t>
      </w:r>
      <w:r>
        <w:t xml:space="preserve"> </w:t>
      </w:r>
    </w:p>
    <w:p w14:paraId="478C85A5" w14:textId="12081A78" w:rsidR="00830C1C" w:rsidRDefault="00830C1C" w:rsidP="00BE2E5F">
      <w:pPr>
        <w:tabs>
          <w:tab w:val="clear" w:pos="567"/>
          <w:tab w:val="clear" w:pos="1134"/>
          <w:tab w:val="clear" w:pos="1701"/>
          <w:tab w:val="clear" w:pos="2268"/>
          <w:tab w:val="clear" w:pos="2835"/>
        </w:tabs>
        <w:overflowPunct/>
        <w:autoSpaceDE/>
        <w:autoSpaceDN/>
        <w:adjustRightInd/>
        <w:spacing w:after="120"/>
        <w:textAlignment w:val="auto"/>
      </w:pPr>
      <w:r>
        <w:t>Australia commends the significant progress made by ITU on transformation in the General Secretariat, and the ITU’s commitment to achieving organisational excellence. Our proposal offers an opportunity to enhance existing processes</w:t>
      </w:r>
      <w:r w:rsidR="00743697">
        <w:t xml:space="preserve"> as they relate to Regional and Area Offices</w:t>
      </w:r>
      <w:r>
        <w:t xml:space="preserve">, </w:t>
      </w:r>
      <w:proofErr w:type="gramStart"/>
      <w:r w:rsidR="00CF3DB6">
        <w:t>in order to</w:t>
      </w:r>
      <w:proofErr w:type="gramEnd"/>
      <w:r w:rsidR="00CF3DB6">
        <w:t xml:space="preserve"> </w:t>
      </w:r>
      <w:r w:rsidRPr="00DA1574">
        <w:t>successful</w:t>
      </w:r>
      <w:r w:rsidR="00CF3DB6">
        <w:t>ly</w:t>
      </w:r>
      <w:r w:rsidRPr="00DA1574">
        <w:t xml:space="preserve"> deliver </w:t>
      </w:r>
      <w:r w:rsidR="00CF3DB6">
        <w:t xml:space="preserve">on </w:t>
      </w:r>
      <w:r w:rsidRPr="00DA1574">
        <w:t>the strategic goals outlined in the ITU Strategic Plan over the period of 2024-2027 and beyond</w:t>
      </w:r>
      <w:r w:rsidR="00715717">
        <w:t>.</w:t>
      </w:r>
    </w:p>
    <w:p w14:paraId="57635149" w14:textId="326B0CFF" w:rsidR="00EB7B16" w:rsidRPr="00830C1C" w:rsidRDefault="00BE2E5F" w:rsidP="00BE2E5F">
      <w:pPr>
        <w:spacing w:before="840"/>
        <w:jc w:val="center"/>
      </w:pPr>
      <w:r>
        <w:t>__________________</w:t>
      </w:r>
    </w:p>
    <w:sectPr w:rsidR="00EB7B16" w:rsidRPr="00830C1C" w:rsidSect="00AD3606">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E78AD" w14:textId="77777777" w:rsidR="000C1ABA" w:rsidRDefault="00830C1C">
      <w:pPr>
        <w:spacing w:before="0"/>
      </w:pPr>
      <w:r>
        <w:separator/>
      </w:r>
    </w:p>
  </w:endnote>
  <w:endnote w:type="continuationSeparator" w:id="0">
    <w:p w14:paraId="7563BE88" w14:textId="77777777" w:rsidR="000C1ABA" w:rsidRDefault="00830C1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1BDD1349" w14:textId="77777777" w:rsidTr="0042469C">
      <w:trPr>
        <w:jc w:val="center"/>
      </w:trPr>
      <w:tc>
        <w:tcPr>
          <w:tcW w:w="1803" w:type="dxa"/>
          <w:vAlign w:val="center"/>
        </w:tcPr>
        <w:p w14:paraId="78806890" w14:textId="12B5818E" w:rsidR="00820A3F" w:rsidRDefault="00044962" w:rsidP="00EE49E8">
          <w:pPr>
            <w:pStyle w:val="Header"/>
            <w:jc w:val="left"/>
            <w:rPr>
              <w:noProof/>
            </w:rPr>
          </w:pPr>
          <w:r w:rsidRPr="00044962">
            <w:rPr>
              <w:noProof/>
            </w:rPr>
            <w:t>R2400822</w:t>
          </w:r>
        </w:p>
      </w:tc>
      <w:tc>
        <w:tcPr>
          <w:tcW w:w="8261" w:type="dxa"/>
        </w:tcPr>
        <w:p w14:paraId="7138673A" w14:textId="1C5D412F" w:rsidR="00820A3F" w:rsidRPr="00E06FD5" w:rsidRDefault="00EB7B16"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BE2E5F">
            <w:rPr>
              <w:bCs/>
            </w:rPr>
            <w:t>79</w:t>
          </w:r>
          <w:r w:rsidRPr="00623AE3">
            <w:rPr>
              <w:bCs/>
            </w:rPr>
            <w:t>-E</w:t>
          </w:r>
          <w:r>
            <w:rPr>
              <w:bCs/>
            </w:rPr>
            <w:tab/>
          </w:r>
          <w:r>
            <w:fldChar w:fldCharType="begin"/>
          </w:r>
          <w:r>
            <w:instrText>PAGE</w:instrText>
          </w:r>
          <w:r>
            <w:fldChar w:fldCharType="separate"/>
          </w:r>
          <w:r>
            <w:t>1</w:t>
          </w:r>
          <w:r>
            <w:rPr>
              <w:noProof/>
            </w:rPr>
            <w:fldChar w:fldCharType="end"/>
          </w:r>
        </w:p>
      </w:tc>
    </w:tr>
  </w:tbl>
  <w:p w14:paraId="0B398AB3" w14:textId="77777777" w:rsidR="00820A3F" w:rsidRPr="00DB1936" w:rsidRDefault="00820A3F"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12596218" w14:textId="77777777" w:rsidTr="00EE49E8">
      <w:trPr>
        <w:jc w:val="center"/>
      </w:trPr>
      <w:tc>
        <w:tcPr>
          <w:tcW w:w="1803" w:type="dxa"/>
          <w:vAlign w:val="center"/>
        </w:tcPr>
        <w:p w14:paraId="4A2540A8" w14:textId="77777777" w:rsidR="00820A3F" w:rsidRDefault="00044962" w:rsidP="00EE49E8">
          <w:pPr>
            <w:pStyle w:val="Header"/>
            <w:jc w:val="left"/>
            <w:rPr>
              <w:noProof/>
            </w:rPr>
          </w:pPr>
          <w:hyperlink r:id="rId1" w:history="1">
            <w:r w:rsidR="00EB7B16" w:rsidRPr="00A514A4">
              <w:rPr>
                <w:rStyle w:val="Hyperlink"/>
                <w:szCs w:val="14"/>
              </w:rPr>
              <w:t>www.itu.int/council</w:t>
            </w:r>
          </w:hyperlink>
        </w:p>
      </w:tc>
      <w:tc>
        <w:tcPr>
          <w:tcW w:w="8261" w:type="dxa"/>
        </w:tcPr>
        <w:p w14:paraId="122E3950" w14:textId="3821872F" w:rsidR="00820A3F" w:rsidRPr="00E06FD5" w:rsidRDefault="00EB7B16"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BE2E5F">
            <w:rPr>
              <w:bCs/>
            </w:rPr>
            <w:t>79</w:t>
          </w:r>
          <w:r w:rsidRPr="00623AE3">
            <w:rPr>
              <w:bCs/>
            </w:rPr>
            <w:t>-E</w:t>
          </w:r>
          <w:r>
            <w:rPr>
              <w:bCs/>
            </w:rPr>
            <w:tab/>
          </w:r>
          <w:r>
            <w:fldChar w:fldCharType="begin"/>
          </w:r>
          <w:r>
            <w:instrText>PAGE</w:instrText>
          </w:r>
          <w:r>
            <w:fldChar w:fldCharType="separate"/>
          </w:r>
          <w:r>
            <w:t>1</w:t>
          </w:r>
          <w:r>
            <w:rPr>
              <w:noProof/>
            </w:rPr>
            <w:fldChar w:fldCharType="end"/>
          </w:r>
        </w:p>
      </w:tc>
    </w:tr>
  </w:tbl>
  <w:p w14:paraId="0A14F6C2" w14:textId="77777777" w:rsidR="00820A3F" w:rsidRPr="00623AE3" w:rsidRDefault="00820A3F"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B968" w14:textId="77777777" w:rsidR="000C1ABA" w:rsidRDefault="00830C1C">
      <w:pPr>
        <w:spacing w:before="0"/>
      </w:pPr>
      <w:r>
        <w:separator/>
      </w:r>
    </w:p>
  </w:footnote>
  <w:footnote w:type="continuationSeparator" w:id="0">
    <w:p w14:paraId="62452502" w14:textId="77777777" w:rsidR="000C1ABA" w:rsidRDefault="00830C1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038BAA68" w14:textId="77777777" w:rsidTr="00C91CFC">
      <w:trPr>
        <w:trHeight w:val="1104"/>
        <w:jc w:val="center"/>
      </w:trPr>
      <w:tc>
        <w:tcPr>
          <w:tcW w:w="4390" w:type="dxa"/>
          <w:vAlign w:val="center"/>
        </w:tcPr>
        <w:p w14:paraId="17C84A87" w14:textId="77777777" w:rsidR="00820A3F" w:rsidRPr="009621F8" w:rsidRDefault="00EB7B16" w:rsidP="00AD3606">
          <w:pPr>
            <w:pStyle w:val="Header"/>
            <w:jc w:val="left"/>
            <w:rPr>
              <w:rFonts w:ascii="Arial" w:hAnsi="Arial" w:cs="Arial"/>
              <w:b/>
              <w:bCs/>
              <w:color w:val="009CD6"/>
              <w:sz w:val="36"/>
              <w:szCs w:val="36"/>
            </w:rPr>
          </w:pPr>
          <w:bookmarkStart w:id="11" w:name="_Hlk133422111"/>
          <w:r>
            <w:rPr>
              <w:noProof/>
            </w:rPr>
            <w:drawing>
              <wp:inline distT="0" distB="0" distL="0" distR="0" wp14:anchorId="598C7677" wp14:editId="7CA9A172">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79DFE9C4" w14:textId="77777777" w:rsidR="00820A3F" w:rsidRDefault="00820A3F" w:rsidP="00AD3606">
          <w:pPr>
            <w:pStyle w:val="Header"/>
            <w:jc w:val="right"/>
            <w:rPr>
              <w:rFonts w:ascii="Arial" w:hAnsi="Arial" w:cs="Arial"/>
              <w:b/>
              <w:bCs/>
              <w:color w:val="009CD6"/>
              <w:szCs w:val="18"/>
            </w:rPr>
          </w:pPr>
        </w:p>
        <w:p w14:paraId="1E180468" w14:textId="77777777" w:rsidR="00820A3F" w:rsidRDefault="00820A3F" w:rsidP="00AD3606">
          <w:pPr>
            <w:pStyle w:val="Header"/>
            <w:jc w:val="right"/>
            <w:rPr>
              <w:rFonts w:ascii="Arial" w:hAnsi="Arial" w:cs="Arial"/>
              <w:b/>
              <w:bCs/>
              <w:color w:val="009CD6"/>
              <w:szCs w:val="18"/>
            </w:rPr>
          </w:pPr>
        </w:p>
        <w:p w14:paraId="1A6DDB88" w14:textId="77777777" w:rsidR="00820A3F" w:rsidRPr="00784011" w:rsidRDefault="00EB7B1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2014FB86" w14:textId="77777777" w:rsidR="00820A3F" w:rsidRDefault="00EB7B1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A39A0A" wp14:editId="29591C6B">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3BFA6"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3B43"/>
    <w:multiLevelType w:val="hybridMultilevel"/>
    <w:tmpl w:val="5B6494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2BE6A93"/>
    <w:multiLevelType w:val="hybridMultilevel"/>
    <w:tmpl w:val="98405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E350069"/>
    <w:multiLevelType w:val="hybridMultilevel"/>
    <w:tmpl w:val="3194691A"/>
    <w:lvl w:ilvl="0" w:tplc="D2E89BC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F25F5D"/>
    <w:multiLevelType w:val="hybridMultilevel"/>
    <w:tmpl w:val="56C05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4066080">
    <w:abstractNumId w:val="0"/>
  </w:num>
  <w:num w:numId="2" w16cid:durableId="1468011898">
    <w:abstractNumId w:val="1"/>
  </w:num>
  <w:num w:numId="3" w16cid:durableId="1427727360">
    <w:abstractNumId w:val="2"/>
  </w:num>
  <w:num w:numId="4" w16cid:durableId="1512718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D5"/>
    <w:rsid w:val="00006AD5"/>
    <w:rsid w:val="00044962"/>
    <w:rsid w:val="000C1ABA"/>
    <w:rsid w:val="00104931"/>
    <w:rsid w:val="00162021"/>
    <w:rsid w:val="0019485C"/>
    <w:rsid w:val="001A05C8"/>
    <w:rsid w:val="00207F73"/>
    <w:rsid w:val="002F7834"/>
    <w:rsid w:val="004A1A47"/>
    <w:rsid w:val="004E70FB"/>
    <w:rsid w:val="006105BA"/>
    <w:rsid w:val="0066525B"/>
    <w:rsid w:val="006D3EAE"/>
    <w:rsid w:val="00715717"/>
    <w:rsid w:val="00743697"/>
    <w:rsid w:val="00820A3F"/>
    <w:rsid w:val="00830C1C"/>
    <w:rsid w:val="0099278D"/>
    <w:rsid w:val="00A71A0A"/>
    <w:rsid w:val="00A822D5"/>
    <w:rsid w:val="00B12636"/>
    <w:rsid w:val="00BE2E5F"/>
    <w:rsid w:val="00BE5E41"/>
    <w:rsid w:val="00CF3DB6"/>
    <w:rsid w:val="00E325AE"/>
    <w:rsid w:val="00EB0B36"/>
    <w:rsid w:val="00EB7B16"/>
    <w:rsid w:val="00F43015"/>
    <w:rsid w:val="00F9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AB98"/>
  <w15:chartTrackingRefBased/>
  <w15:docId w15:val="{2E201861-AFA3-4F11-A665-FEBDB5A5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2D5"/>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22D5"/>
    <w:pPr>
      <w:tabs>
        <w:tab w:val="clear" w:pos="567"/>
        <w:tab w:val="clear" w:pos="1134"/>
        <w:tab w:val="clear" w:pos="1701"/>
        <w:tab w:val="clear" w:pos="2268"/>
        <w:tab w:val="clear" w:pos="2835"/>
      </w:tabs>
      <w:spacing w:before="0"/>
      <w:jc w:val="center"/>
    </w:pPr>
    <w:rPr>
      <w:color w:val="7F7F7F" w:themeColor="text1" w:themeTint="80"/>
      <w:sz w:val="18"/>
    </w:rPr>
  </w:style>
  <w:style w:type="character" w:customStyle="1" w:styleId="HeaderChar">
    <w:name w:val="Header Char"/>
    <w:basedOn w:val="DefaultParagraphFont"/>
    <w:link w:val="Header"/>
    <w:uiPriority w:val="99"/>
    <w:rsid w:val="00A822D5"/>
    <w:rPr>
      <w:rFonts w:ascii="Calibri" w:eastAsia="Times New Roman" w:hAnsi="Calibri" w:cs="Times New Roman"/>
      <w:color w:val="7F7F7F" w:themeColor="text1" w:themeTint="80"/>
      <w:sz w:val="18"/>
      <w:szCs w:val="20"/>
    </w:rPr>
  </w:style>
  <w:style w:type="paragraph" w:customStyle="1" w:styleId="Source">
    <w:name w:val="Source"/>
    <w:basedOn w:val="Normal"/>
    <w:next w:val="Normal"/>
    <w:autoRedefine/>
    <w:rsid w:val="00A822D5"/>
    <w:pPr>
      <w:framePr w:hSpace="180" w:wrap="around" w:vAnchor="page" w:hAnchor="page" w:x="1821" w:y="2317"/>
      <w:spacing w:before="840"/>
    </w:pPr>
    <w:rPr>
      <w:b/>
      <w:sz w:val="32"/>
      <w:szCs w:val="32"/>
    </w:rPr>
  </w:style>
  <w:style w:type="table" w:styleId="TableGrid">
    <w:name w:val="Table Grid"/>
    <w:basedOn w:val="TableNormal"/>
    <w:uiPriority w:val="39"/>
    <w:rsid w:val="00A822D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822D5"/>
    <w:rPr>
      <w:color w:val="0563C1"/>
      <w:u w:val="single"/>
    </w:rPr>
  </w:style>
  <w:style w:type="paragraph" w:customStyle="1" w:styleId="Subtitle">
    <w:name w:val="Sub_title"/>
    <w:basedOn w:val="Normal"/>
    <w:qFormat/>
    <w:rsid w:val="00A822D5"/>
    <w:pPr>
      <w:framePr w:hSpace="180" w:wrap="around" w:hAnchor="text" w:x="1821" w:y="2317"/>
      <w:spacing w:after="160"/>
    </w:pPr>
    <w:rPr>
      <w:sz w:val="32"/>
      <w:szCs w:val="32"/>
    </w:rPr>
  </w:style>
  <w:style w:type="character" w:styleId="CommentReference">
    <w:name w:val="annotation reference"/>
    <w:basedOn w:val="DefaultParagraphFont"/>
    <w:semiHidden/>
    <w:unhideWhenUsed/>
    <w:rsid w:val="00A822D5"/>
    <w:rPr>
      <w:sz w:val="16"/>
      <w:szCs w:val="16"/>
    </w:rPr>
  </w:style>
  <w:style w:type="paragraph" w:styleId="CommentText">
    <w:name w:val="annotation text"/>
    <w:basedOn w:val="Normal"/>
    <w:link w:val="CommentTextChar"/>
    <w:unhideWhenUsed/>
    <w:rsid w:val="00A822D5"/>
    <w:rPr>
      <w:sz w:val="20"/>
    </w:rPr>
  </w:style>
  <w:style w:type="character" w:customStyle="1" w:styleId="CommentTextChar">
    <w:name w:val="Comment Text Char"/>
    <w:basedOn w:val="DefaultParagraphFont"/>
    <w:link w:val="CommentText"/>
    <w:rsid w:val="00A822D5"/>
    <w:rPr>
      <w:rFonts w:ascii="Calibri" w:eastAsia="Times New Roman" w:hAnsi="Calibri" w:cs="Times New Roman"/>
      <w:sz w:val="20"/>
      <w:szCs w:val="20"/>
    </w:rPr>
  </w:style>
  <w:style w:type="paragraph" w:styleId="ListParagraph">
    <w:name w:val="List Paragraph"/>
    <w:basedOn w:val="Normal"/>
    <w:uiPriority w:val="34"/>
    <w:qFormat/>
    <w:rsid w:val="00A822D5"/>
    <w:pPr>
      <w:tabs>
        <w:tab w:val="clear" w:pos="567"/>
        <w:tab w:val="clear" w:pos="1134"/>
        <w:tab w:val="clear" w:pos="1701"/>
        <w:tab w:val="clear" w:pos="2268"/>
        <w:tab w:val="clear" w:pos="2835"/>
      </w:tabs>
      <w:overflowPunct/>
      <w:autoSpaceDE/>
      <w:autoSpaceDN/>
      <w:adjustRightInd/>
      <w:spacing w:before="0"/>
      <w:ind w:left="720"/>
      <w:textAlignment w:val="auto"/>
    </w:pPr>
    <w:rPr>
      <w:rFonts w:eastAsiaTheme="minorHAnsi" w:cs="Calibri"/>
      <w:sz w:val="22"/>
      <w:szCs w:val="22"/>
    </w:rPr>
  </w:style>
  <w:style w:type="paragraph" w:styleId="BalloonText">
    <w:name w:val="Balloon Text"/>
    <w:basedOn w:val="Normal"/>
    <w:link w:val="BalloonTextChar"/>
    <w:uiPriority w:val="99"/>
    <w:semiHidden/>
    <w:unhideWhenUsed/>
    <w:rsid w:val="00A822D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2D5"/>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822D5"/>
    <w:rPr>
      <w:b/>
      <w:bCs/>
    </w:rPr>
  </w:style>
  <w:style w:type="character" w:customStyle="1" w:styleId="CommentSubjectChar">
    <w:name w:val="Comment Subject Char"/>
    <w:basedOn w:val="CommentTextChar"/>
    <w:link w:val="CommentSubject"/>
    <w:uiPriority w:val="99"/>
    <w:semiHidden/>
    <w:rsid w:val="00A822D5"/>
    <w:rPr>
      <w:rFonts w:ascii="Calibri" w:eastAsia="Times New Roman" w:hAnsi="Calibri" w:cs="Times New Roman"/>
      <w:b/>
      <w:bCs/>
      <w:sz w:val="20"/>
      <w:szCs w:val="20"/>
    </w:rPr>
  </w:style>
  <w:style w:type="paragraph" w:styleId="Footer">
    <w:name w:val="footer"/>
    <w:basedOn w:val="Normal"/>
    <w:link w:val="FooterChar"/>
    <w:uiPriority w:val="99"/>
    <w:unhideWhenUsed/>
    <w:rsid w:val="00BE2E5F"/>
    <w:pPr>
      <w:tabs>
        <w:tab w:val="clear" w:pos="567"/>
        <w:tab w:val="clear" w:pos="1134"/>
        <w:tab w:val="clear" w:pos="1701"/>
        <w:tab w:val="clear" w:pos="2268"/>
        <w:tab w:val="clear" w:pos="2835"/>
        <w:tab w:val="center" w:pos="4513"/>
        <w:tab w:val="right" w:pos="9026"/>
      </w:tabs>
      <w:spacing w:before="0"/>
    </w:pPr>
  </w:style>
  <w:style w:type="character" w:customStyle="1" w:styleId="FooterChar">
    <w:name w:val="Footer Char"/>
    <w:basedOn w:val="DefaultParagraphFont"/>
    <w:link w:val="Footer"/>
    <w:uiPriority w:val="99"/>
    <w:rsid w:val="00BE2E5F"/>
    <w:rPr>
      <w:rFonts w:ascii="Calibri" w:eastAsia="Times New Roman" w:hAnsi="Calibri" w:cs="Times New Roman"/>
      <w:sz w:val="24"/>
      <w:szCs w:val="20"/>
    </w:rPr>
  </w:style>
  <w:style w:type="character" w:styleId="UnresolvedMention">
    <w:name w:val="Unresolved Mention"/>
    <w:basedOn w:val="DefaultParagraphFont"/>
    <w:uiPriority w:val="99"/>
    <w:semiHidden/>
    <w:unhideWhenUsed/>
    <w:rsid w:val="00610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ublications/ITU-D/pages/publications.aspx?parent=D-TDC-WTDC-2022&amp;media=electron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en/council/Documents/basic-texts-2023/RES-157-E.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en/council/Documents/basic-texts-2023/RES-071-E.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Australia - Promoting efficiency and effectiveness in the operations of Regional and Area Offices</dc:title>
  <dc:subject/>
  <dc:creator>O'shaughnessy, Ellen</dc:creator>
  <cp:keywords>Council-24, C24, Council 2024</cp:keywords>
  <dc:description/>
  <cp:lastModifiedBy>Brouard, Ricarda</cp:lastModifiedBy>
  <cp:revision>6</cp:revision>
  <dcterms:created xsi:type="dcterms:W3CDTF">2024-05-21T12:11:00Z</dcterms:created>
  <dcterms:modified xsi:type="dcterms:W3CDTF">2024-05-22T07:35:00Z</dcterms:modified>
</cp:coreProperties>
</file>