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A1F7A70" w14:textId="77777777" w:rsidTr="00E31DCE">
        <w:trPr>
          <w:cantSplit/>
          <w:trHeight w:val="23"/>
        </w:trPr>
        <w:tc>
          <w:tcPr>
            <w:tcW w:w="3969" w:type="dxa"/>
            <w:vMerge w:val="restart"/>
            <w:tcMar>
              <w:left w:w="0" w:type="dxa"/>
            </w:tcMar>
          </w:tcPr>
          <w:p w14:paraId="13FC5132" w14:textId="78A959C7"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D30A2">
              <w:rPr>
                <w:rFonts w:cstheme="minorHAnsi" w:hint="eastAsia"/>
                <w:b/>
                <w:bCs/>
                <w:lang w:val="ru-RU" w:eastAsia="zh-CN"/>
              </w:rPr>
              <w:t>PL 2</w:t>
            </w:r>
          </w:p>
        </w:tc>
        <w:tc>
          <w:tcPr>
            <w:tcW w:w="5245" w:type="dxa"/>
          </w:tcPr>
          <w:p w14:paraId="51C3A861" w14:textId="25CF9AE5"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AD30A2">
              <w:rPr>
                <w:rFonts w:hint="eastAsia"/>
                <w:b/>
                <w:lang w:val="fr-CH" w:eastAsia="zh-CN"/>
              </w:rPr>
              <w:t>79</w:t>
            </w:r>
            <w:r w:rsidRPr="00E24D59">
              <w:rPr>
                <w:b/>
                <w:lang w:val="fr-CH"/>
              </w:rPr>
              <w:t>-C</w:t>
            </w:r>
          </w:p>
        </w:tc>
      </w:tr>
      <w:tr w:rsidR="00E24D59" w:rsidRPr="00813E5E" w14:paraId="7A0A2C8E" w14:textId="77777777" w:rsidTr="00E31DCE">
        <w:trPr>
          <w:cantSplit/>
        </w:trPr>
        <w:tc>
          <w:tcPr>
            <w:tcW w:w="3969" w:type="dxa"/>
            <w:vMerge/>
          </w:tcPr>
          <w:p w14:paraId="04A8F56E"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60DC2F29" w14:textId="2EA8C1F3"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AD30A2">
              <w:rPr>
                <w:rFonts w:hint="eastAsia"/>
                <w:b/>
                <w:lang w:eastAsia="zh-CN"/>
              </w:rPr>
              <w:t>5</w:t>
            </w:r>
            <w:r w:rsidR="00C45EB2">
              <w:rPr>
                <w:rFonts w:hint="eastAsia"/>
                <w:b/>
                <w:lang w:eastAsia="zh-CN"/>
              </w:rPr>
              <w:t>月</w:t>
            </w:r>
            <w:r w:rsidR="00AD30A2">
              <w:rPr>
                <w:rFonts w:hint="eastAsia"/>
                <w:b/>
                <w:lang w:eastAsia="zh-CN"/>
              </w:rPr>
              <w:t>21</w:t>
            </w:r>
            <w:r w:rsidR="00C45EB2">
              <w:rPr>
                <w:rFonts w:hint="eastAsia"/>
                <w:b/>
                <w:lang w:eastAsia="zh-CN"/>
              </w:rPr>
              <w:t>日</w:t>
            </w:r>
          </w:p>
        </w:tc>
      </w:tr>
      <w:tr w:rsidR="00E24D59" w:rsidRPr="00813E5E" w14:paraId="20E69CF1" w14:textId="77777777" w:rsidTr="00E31DCE">
        <w:trPr>
          <w:cantSplit/>
          <w:trHeight w:val="23"/>
        </w:trPr>
        <w:tc>
          <w:tcPr>
            <w:tcW w:w="3969" w:type="dxa"/>
            <w:vMerge/>
          </w:tcPr>
          <w:p w14:paraId="735C3CAB"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4905A57" w14:textId="4D63D5E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AD30A2">
              <w:rPr>
                <w:rFonts w:cstheme="minorHAnsi" w:hint="eastAsia"/>
                <w:b/>
                <w:bCs/>
                <w:lang w:val="ru-RU" w:eastAsia="zh-CN"/>
              </w:rPr>
              <w:t>英文</w:t>
            </w:r>
          </w:p>
        </w:tc>
      </w:tr>
      <w:tr w:rsidR="00E24D59" w:rsidRPr="00813E5E" w14:paraId="6E348B1A" w14:textId="77777777" w:rsidTr="00E31DCE">
        <w:trPr>
          <w:cantSplit/>
          <w:trHeight w:val="23"/>
        </w:trPr>
        <w:tc>
          <w:tcPr>
            <w:tcW w:w="3969" w:type="dxa"/>
          </w:tcPr>
          <w:p w14:paraId="4A1F7B27" w14:textId="77777777" w:rsidR="00E24D59" w:rsidRPr="00813E5E" w:rsidRDefault="00E24D59" w:rsidP="00E31DCE">
            <w:pPr>
              <w:tabs>
                <w:tab w:val="left" w:pos="851"/>
              </w:tabs>
              <w:spacing w:line="240" w:lineRule="atLeast"/>
              <w:rPr>
                <w:b/>
              </w:rPr>
            </w:pPr>
          </w:p>
        </w:tc>
        <w:tc>
          <w:tcPr>
            <w:tcW w:w="5245" w:type="dxa"/>
          </w:tcPr>
          <w:p w14:paraId="34C46A73" w14:textId="77777777" w:rsidR="00E24D59" w:rsidRDefault="00E24D59" w:rsidP="00E31DCE">
            <w:pPr>
              <w:tabs>
                <w:tab w:val="left" w:pos="851"/>
              </w:tabs>
              <w:spacing w:before="0" w:line="240" w:lineRule="atLeast"/>
              <w:jc w:val="right"/>
              <w:rPr>
                <w:b/>
              </w:rPr>
            </w:pPr>
          </w:p>
        </w:tc>
      </w:tr>
      <w:tr w:rsidR="00E24D59" w:rsidRPr="00813E5E" w14:paraId="76022A42" w14:textId="77777777" w:rsidTr="00E31DCE">
        <w:trPr>
          <w:cantSplit/>
        </w:trPr>
        <w:tc>
          <w:tcPr>
            <w:tcW w:w="9214" w:type="dxa"/>
            <w:gridSpan w:val="2"/>
            <w:tcMar>
              <w:left w:w="0" w:type="dxa"/>
            </w:tcMar>
          </w:tcPr>
          <w:p w14:paraId="70C94FAA" w14:textId="78723301" w:rsidR="00E24D59" w:rsidRPr="00E24D59" w:rsidRDefault="00AD30A2" w:rsidP="00E24D59">
            <w:pPr>
              <w:pStyle w:val="Source"/>
              <w:jc w:val="left"/>
              <w:rPr>
                <w:sz w:val="34"/>
                <w:szCs w:val="34"/>
                <w:lang w:eastAsia="zh-CN"/>
              </w:rPr>
            </w:pPr>
            <w:bookmarkStart w:id="5" w:name="dsource" w:colFirst="0" w:colLast="0"/>
            <w:bookmarkEnd w:id="4"/>
            <w:r w:rsidRPr="00AD30A2">
              <w:rPr>
                <w:rFonts w:cstheme="minorHAnsi" w:hint="eastAsia"/>
                <w:sz w:val="34"/>
                <w:szCs w:val="34"/>
                <w:lang w:val="ru-RU" w:eastAsia="zh-CN"/>
              </w:rPr>
              <w:t>澳大利亚提交的文稿</w:t>
            </w:r>
          </w:p>
        </w:tc>
      </w:tr>
      <w:tr w:rsidR="00E24D59" w:rsidRPr="00813E5E" w14:paraId="706173E7" w14:textId="77777777" w:rsidTr="00E31DCE">
        <w:trPr>
          <w:cantSplit/>
        </w:trPr>
        <w:tc>
          <w:tcPr>
            <w:tcW w:w="9214" w:type="dxa"/>
            <w:gridSpan w:val="2"/>
            <w:tcMar>
              <w:left w:w="0" w:type="dxa"/>
            </w:tcMar>
          </w:tcPr>
          <w:p w14:paraId="4C1C2FC5" w14:textId="7D4B8BEE" w:rsidR="00E24D59" w:rsidRPr="00E24D59" w:rsidRDefault="00AD30A2" w:rsidP="00E31DCE">
            <w:pPr>
              <w:pStyle w:val="Subtitle"/>
              <w:framePr w:hSpace="0" w:wrap="auto" w:hAnchor="text" w:xAlign="left" w:yAlign="inline"/>
              <w:rPr>
                <w:rFonts w:ascii="SimSun" w:eastAsia="SimSun" w:hAnsi="SimSun"/>
                <w:lang w:eastAsia="zh-CN"/>
              </w:rPr>
            </w:pPr>
            <w:bookmarkStart w:id="6" w:name="dtitle1" w:colFirst="0" w:colLast="0"/>
            <w:bookmarkEnd w:id="5"/>
            <w:r w:rsidRPr="00AD30A2">
              <w:rPr>
                <w:rFonts w:ascii="SimSun" w:eastAsia="SimSun" w:hAnsi="SimSun" w:cstheme="minorHAnsi" w:hint="eastAsia"/>
                <w:lang w:eastAsia="zh-CN"/>
              </w:rPr>
              <w:t>提高区域代表处和地区办事处运作的效率和有效性</w:t>
            </w:r>
          </w:p>
        </w:tc>
      </w:tr>
      <w:tr w:rsidR="00E24D59" w:rsidRPr="00813E5E" w14:paraId="5584F191" w14:textId="77777777" w:rsidTr="00E31DCE">
        <w:trPr>
          <w:cantSplit/>
        </w:trPr>
        <w:tc>
          <w:tcPr>
            <w:tcW w:w="9214" w:type="dxa"/>
            <w:gridSpan w:val="2"/>
            <w:tcBorders>
              <w:top w:val="single" w:sz="4" w:space="0" w:color="auto"/>
              <w:bottom w:val="single" w:sz="4" w:space="0" w:color="auto"/>
            </w:tcBorders>
            <w:tcMar>
              <w:left w:w="0" w:type="dxa"/>
            </w:tcMar>
          </w:tcPr>
          <w:p w14:paraId="65A84EDD"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04E66E7F" w14:textId="5C307796" w:rsidR="008F64AD" w:rsidRPr="008F64AD" w:rsidRDefault="00AD30A2" w:rsidP="00AD30A2">
            <w:pPr>
              <w:pStyle w:val="NormalCH"/>
              <w:ind w:firstLine="480"/>
            </w:pPr>
            <w:r w:rsidRPr="00AD30A2">
              <w:rPr>
                <w:rFonts w:hint="eastAsia"/>
              </w:rPr>
              <w:t>本文稿建议根据澳大利亚在本地区交付项目的经验改进行政管理，提高区域代表处和地区办事处的效率。建议在招聘、项目战略协调、财务报告和项目交付的权力下放等方面进行改进。</w:t>
            </w:r>
          </w:p>
          <w:p w14:paraId="1729BB6E"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370834C4" w14:textId="7E9DA0AB" w:rsidR="008F64AD" w:rsidRPr="008F64AD" w:rsidRDefault="00AD30A2" w:rsidP="00AD30A2">
            <w:pPr>
              <w:pStyle w:val="NormalCH"/>
              <w:ind w:firstLine="480"/>
              <w:rPr>
                <w:rFonts w:ascii="SimSun" w:hAnsi="SimSun" w:cstheme="minorHAnsi"/>
                <w:b/>
                <w:bCs/>
                <w:sz w:val="26"/>
                <w:szCs w:val="26"/>
              </w:rPr>
            </w:pPr>
            <w:r>
              <w:rPr>
                <w:lang w:val="zh-CN"/>
              </w:rPr>
              <w:t>请理事会</w:t>
            </w:r>
            <w:r w:rsidRPr="00382A11">
              <w:rPr>
                <w:b/>
                <w:bCs/>
                <w:lang w:val="zh-CN"/>
              </w:rPr>
              <w:t>审议</w:t>
            </w:r>
            <w:r>
              <w:rPr>
                <w:lang w:val="zh-CN"/>
              </w:rPr>
              <w:t>本提案并</w:t>
            </w:r>
            <w:r w:rsidRPr="00382A11">
              <w:rPr>
                <w:b/>
                <w:bCs/>
                <w:lang w:val="zh-CN"/>
              </w:rPr>
              <w:t>责成</w:t>
            </w:r>
            <w:r>
              <w:rPr>
                <w:lang w:val="zh-CN"/>
              </w:rPr>
              <w:t>国际电联秘书长与电信发展局（</w:t>
            </w:r>
            <w:r>
              <w:rPr>
                <w:lang w:val="zh-CN"/>
              </w:rPr>
              <w:t>BDT</w:t>
            </w:r>
            <w:r>
              <w:rPr>
                <w:lang w:val="zh-CN"/>
              </w:rPr>
              <w:t>）主任合作，</w:t>
            </w:r>
            <w:r w:rsidRPr="00382A11">
              <w:rPr>
                <w:b/>
                <w:bCs/>
                <w:lang w:val="zh-CN"/>
              </w:rPr>
              <w:t>考虑</w:t>
            </w:r>
            <w:r>
              <w:rPr>
                <w:lang w:val="zh-CN"/>
              </w:rPr>
              <w:t>落实对区域代表处和地区办事处进行改进的方法，同时详细</w:t>
            </w:r>
            <w:r w:rsidRPr="00382A11">
              <w:rPr>
                <w:b/>
                <w:bCs/>
                <w:lang w:val="zh-CN"/>
              </w:rPr>
              <w:t>向</w:t>
            </w:r>
            <w:r w:rsidRPr="00382A11">
              <w:rPr>
                <w:b/>
                <w:bCs/>
                <w:lang w:val="zh-CN"/>
              </w:rPr>
              <w:t>CWG-FHR</w:t>
            </w:r>
            <w:r w:rsidRPr="00382A11">
              <w:rPr>
                <w:b/>
                <w:bCs/>
                <w:lang w:val="zh-CN"/>
              </w:rPr>
              <w:t>下一次会议报告</w:t>
            </w:r>
            <w:r w:rsidRPr="000D7AF7">
              <w:rPr>
                <w:rFonts w:ascii="SimSun" w:hAnsi="SimSun" w:cs="SimSun" w:hint="eastAsia"/>
                <w:lang w:val="zh-CN"/>
              </w:rPr>
              <w:t>其</w:t>
            </w:r>
            <w:r>
              <w:rPr>
                <w:rFonts w:ascii="SimSun" w:hAnsi="SimSun" w:cs="SimSun" w:hint="eastAsia"/>
                <w:lang w:val="zh-CN"/>
              </w:rPr>
              <w:t>考虑</w:t>
            </w:r>
            <w:r>
              <w:rPr>
                <w:lang w:val="zh-CN"/>
              </w:rPr>
              <w:t>结果，包括解决已确定不足之处的具体措施。</w:t>
            </w:r>
          </w:p>
          <w:p w14:paraId="0F6EEC19"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2D6444E3"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88EE636" w14:textId="72135D66" w:rsidR="00AD30A2" w:rsidRPr="00AD30A2" w:rsidRDefault="00AD30A2" w:rsidP="00AD30A2">
            <w:pPr>
              <w:rPr>
                <w:rFonts w:asciiTheme="minorHAnsi" w:eastAsia="STKaiti" w:hAnsiTheme="minorHAnsi" w:cstheme="minorHAnsi"/>
                <w:i/>
                <w:iCs/>
                <w:sz w:val="22"/>
                <w:szCs w:val="22"/>
                <w:lang w:eastAsia="zh-CN"/>
              </w:rPr>
            </w:pPr>
            <w:hyperlink r:id="rId8" w:history="1">
              <w:r w:rsidRPr="00AD30A2">
                <w:rPr>
                  <w:rStyle w:val="Hyperlink"/>
                  <w:rFonts w:asciiTheme="minorHAnsi" w:eastAsia="STKaiti" w:hAnsiTheme="minorHAnsi" w:cstheme="minorHAnsi"/>
                  <w:lang w:eastAsia="zh-CN"/>
                </w:rPr>
                <w:t>全权代表大会第</w:t>
              </w:r>
              <w:r w:rsidRPr="00AD30A2">
                <w:rPr>
                  <w:rStyle w:val="Hyperlink"/>
                  <w:rFonts w:asciiTheme="minorHAnsi" w:eastAsia="STKaiti" w:hAnsiTheme="minorHAnsi" w:cstheme="minorHAnsi"/>
                  <w:lang w:eastAsia="zh-CN"/>
                </w:rPr>
                <w:t>157</w:t>
              </w:r>
              <w:r w:rsidRPr="00AD30A2">
                <w:rPr>
                  <w:rStyle w:val="Hyperlink"/>
                  <w:rFonts w:asciiTheme="minorHAnsi" w:eastAsia="STKaiti" w:hAnsiTheme="minorHAnsi" w:cstheme="minorHAnsi"/>
                  <w:lang w:eastAsia="zh-CN"/>
                </w:rPr>
                <w:t>号决议（</w:t>
              </w:r>
              <w:r w:rsidRPr="00AD30A2">
                <w:rPr>
                  <w:rStyle w:val="Hyperlink"/>
                  <w:rFonts w:asciiTheme="minorHAnsi" w:eastAsia="STKaiti" w:hAnsiTheme="minorHAnsi" w:cstheme="minorHAnsi"/>
                  <w:lang w:eastAsia="zh-CN"/>
                </w:rPr>
                <w:t>2022</w:t>
              </w:r>
              <w:r w:rsidRPr="00AD30A2">
                <w:rPr>
                  <w:rStyle w:val="Hyperlink"/>
                  <w:rFonts w:asciiTheme="minorHAnsi" w:eastAsia="STKaiti" w:hAnsiTheme="minorHAnsi" w:cstheme="minorHAnsi"/>
                  <w:lang w:eastAsia="zh-CN"/>
                </w:rPr>
                <w:t>年，布加勒斯特，修订版）</w:t>
              </w:r>
            </w:hyperlink>
            <w:r w:rsidRPr="00AD30A2">
              <w:rPr>
                <w:rFonts w:asciiTheme="minorHAnsi" w:eastAsia="STKaiti" w:hAnsiTheme="minorHAnsi" w:cstheme="minorHAnsi"/>
                <w:lang w:eastAsia="zh-CN"/>
              </w:rPr>
              <w:t xml:space="preserve">– </w:t>
            </w:r>
            <w:r w:rsidRPr="00AD30A2">
              <w:rPr>
                <w:rFonts w:asciiTheme="minorHAnsi" w:eastAsia="STKaiti" w:hAnsiTheme="minorHAnsi" w:cstheme="minorHAnsi"/>
                <w:lang w:eastAsia="zh-CN"/>
              </w:rPr>
              <w:t>加强国际电联的项目执行和项目监督职能</w:t>
            </w:r>
          </w:p>
          <w:p w14:paraId="4D2283CD" w14:textId="77777777" w:rsidR="00AD30A2" w:rsidRPr="00AD30A2" w:rsidRDefault="00AD30A2" w:rsidP="00AD30A2">
            <w:pPr>
              <w:rPr>
                <w:rFonts w:asciiTheme="minorHAnsi" w:eastAsia="STKaiti" w:hAnsiTheme="minorHAnsi" w:cstheme="minorHAnsi"/>
                <w:i/>
                <w:iCs/>
                <w:sz w:val="22"/>
                <w:szCs w:val="22"/>
              </w:rPr>
            </w:pPr>
            <w:hyperlink r:id="rId9" w:history="1">
              <w:r w:rsidRPr="00AD30A2">
                <w:rPr>
                  <w:rStyle w:val="Hyperlink"/>
                  <w:rFonts w:asciiTheme="minorHAnsi" w:eastAsia="STKaiti" w:hAnsiTheme="minorHAnsi" w:cstheme="minorHAnsi"/>
                </w:rPr>
                <w:t>WTDC</w:t>
              </w:r>
              <w:r w:rsidRPr="00AD30A2">
                <w:rPr>
                  <w:rStyle w:val="Hyperlink"/>
                  <w:rFonts w:asciiTheme="minorHAnsi" w:eastAsia="STKaiti" w:hAnsiTheme="minorHAnsi" w:cstheme="minorHAnsi"/>
                </w:rPr>
                <w:t>第</w:t>
              </w:r>
              <w:r w:rsidRPr="00AD30A2">
                <w:rPr>
                  <w:rStyle w:val="Hyperlink"/>
                  <w:rFonts w:asciiTheme="minorHAnsi" w:eastAsia="STKaiti" w:hAnsiTheme="minorHAnsi" w:cstheme="minorHAnsi"/>
                </w:rPr>
                <w:t>52</w:t>
              </w:r>
              <w:proofErr w:type="spellStart"/>
              <w:r w:rsidRPr="00AD30A2">
                <w:rPr>
                  <w:rStyle w:val="Hyperlink"/>
                  <w:rFonts w:asciiTheme="minorHAnsi" w:eastAsia="STKaiti" w:hAnsiTheme="minorHAnsi" w:cstheme="minorHAnsi"/>
                </w:rPr>
                <w:t>号决议</w:t>
              </w:r>
              <w:proofErr w:type="spellEnd"/>
              <w:r w:rsidRPr="00AD30A2">
                <w:rPr>
                  <w:rStyle w:val="Hyperlink"/>
                  <w:rFonts w:asciiTheme="minorHAnsi" w:eastAsia="STKaiti" w:hAnsiTheme="minorHAnsi" w:cstheme="minorHAnsi"/>
                </w:rPr>
                <w:t>（</w:t>
              </w:r>
              <w:r w:rsidRPr="00AD30A2">
                <w:rPr>
                  <w:rStyle w:val="Hyperlink"/>
                  <w:rFonts w:asciiTheme="minorHAnsi" w:eastAsia="STKaiti" w:hAnsiTheme="minorHAnsi" w:cstheme="minorHAnsi"/>
                </w:rPr>
                <w:t>2014</w:t>
              </w:r>
              <w:proofErr w:type="spellStart"/>
              <w:r w:rsidRPr="00AD30A2">
                <w:rPr>
                  <w:rStyle w:val="Hyperlink"/>
                  <w:rFonts w:asciiTheme="minorHAnsi" w:eastAsia="STKaiti" w:hAnsiTheme="minorHAnsi" w:cstheme="minorHAnsi"/>
                </w:rPr>
                <w:t>年，迪拜，修订版</w:t>
              </w:r>
              <w:proofErr w:type="spellEnd"/>
              <w:r w:rsidRPr="00AD30A2">
                <w:rPr>
                  <w:rStyle w:val="Hyperlink"/>
                  <w:rFonts w:asciiTheme="minorHAnsi" w:eastAsia="STKaiti" w:hAnsiTheme="minorHAnsi" w:cstheme="minorHAnsi"/>
                </w:rPr>
                <w:t>）</w:t>
              </w:r>
            </w:hyperlink>
            <w:r w:rsidRPr="00AD30A2">
              <w:rPr>
                <w:rFonts w:asciiTheme="minorHAnsi" w:eastAsia="STKaiti" w:hAnsiTheme="minorHAnsi" w:cstheme="minorHAnsi"/>
              </w:rPr>
              <w:t xml:space="preserve">– </w:t>
            </w:r>
            <w:proofErr w:type="spellStart"/>
            <w:r w:rsidRPr="00AD30A2">
              <w:rPr>
                <w:rFonts w:asciiTheme="minorHAnsi" w:eastAsia="STKaiti" w:hAnsiTheme="minorHAnsi" w:cstheme="minorHAnsi"/>
              </w:rPr>
              <w:t>加强国际电联电信发展部门的执行机构作用</w:t>
            </w:r>
            <w:proofErr w:type="spellEnd"/>
          </w:p>
          <w:p w14:paraId="7AB38F14" w14:textId="402735AD" w:rsidR="00E24D59" w:rsidRDefault="007015E7" w:rsidP="00AD30A2">
            <w:hyperlink r:id="rId10" w:history="1">
              <w:proofErr w:type="spellStart"/>
              <w:r w:rsidR="00AD30A2" w:rsidRPr="00AD30A2">
                <w:rPr>
                  <w:rStyle w:val="Hyperlink"/>
                  <w:rFonts w:asciiTheme="minorHAnsi" w:eastAsia="STKaiti" w:hAnsiTheme="minorHAnsi" w:cstheme="minorHAnsi"/>
                </w:rPr>
                <w:t>全权代表大会第</w:t>
              </w:r>
              <w:proofErr w:type="spellEnd"/>
              <w:r w:rsidR="00AD30A2" w:rsidRPr="00AD30A2">
                <w:rPr>
                  <w:rStyle w:val="Hyperlink"/>
                  <w:rFonts w:asciiTheme="minorHAnsi" w:eastAsia="STKaiti" w:hAnsiTheme="minorHAnsi" w:cstheme="minorHAnsi"/>
                </w:rPr>
                <w:t>71</w:t>
              </w:r>
              <w:proofErr w:type="spellStart"/>
              <w:r w:rsidR="00AD30A2" w:rsidRPr="00AD30A2">
                <w:rPr>
                  <w:rStyle w:val="Hyperlink"/>
                  <w:rFonts w:asciiTheme="minorHAnsi" w:eastAsia="STKaiti" w:hAnsiTheme="minorHAnsi" w:cstheme="minorHAnsi"/>
                </w:rPr>
                <w:t>号决议</w:t>
              </w:r>
              <w:proofErr w:type="spellEnd"/>
              <w:r w:rsidR="00AD30A2" w:rsidRPr="00AD30A2">
                <w:rPr>
                  <w:rStyle w:val="Hyperlink"/>
                  <w:rFonts w:asciiTheme="minorHAnsi" w:eastAsia="STKaiti" w:hAnsiTheme="minorHAnsi" w:cstheme="minorHAnsi"/>
                </w:rPr>
                <w:t>（</w:t>
              </w:r>
              <w:r w:rsidR="00AD30A2" w:rsidRPr="00AD30A2">
                <w:rPr>
                  <w:rStyle w:val="Hyperlink"/>
                  <w:rFonts w:asciiTheme="minorHAnsi" w:eastAsia="STKaiti" w:hAnsiTheme="minorHAnsi" w:cstheme="minorHAnsi"/>
                </w:rPr>
                <w:t>2022</w:t>
              </w:r>
              <w:proofErr w:type="spellStart"/>
              <w:r w:rsidR="00AD30A2" w:rsidRPr="00AD30A2">
                <w:rPr>
                  <w:rStyle w:val="Hyperlink"/>
                  <w:rFonts w:asciiTheme="minorHAnsi" w:eastAsia="STKaiti" w:hAnsiTheme="minorHAnsi" w:cstheme="minorHAnsi"/>
                </w:rPr>
                <w:t>年，布加勒斯特，修订版</w:t>
              </w:r>
              <w:proofErr w:type="spellEnd"/>
              <w:r w:rsidR="00AD30A2" w:rsidRPr="00AD30A2">
                <w:rPr>
                  <w:rStyle w:val="Hyperlink"/>
                  <w:rFonts w:asciiTheme="minorHAnsi" w:eastAsia="STKaiti" w:hAnsiTheme="minorHAnsi" w:cstheme="minorHAnsi"/>
                </w:rPr>
                <w:t>）</w:t>
              </w:r>
            </w:hyperlink>
            <w:r w:rsidR="00AD30A2" w:rsidRPr="00AD30A2">
              <w:rPr>
                <w:rFonts w:asciiTheme="minorHAnsi" w:eastAsia="STKaiti" w:hAnsiTheme="minorHAnsi" w:cstheme="minorHAnsi"/>
              </w:rPr>
              <w:t xml:space="preserve">– </w:t>
            </w:r>
            <w:proofErr w:type="spellStart"/>
            <w:r w:rsidR="00AD30A2" w:rsidRPr="00AD30A2">
              <w:rPr>
                <w:rFonts w:asciiTheme="minorHAnsi" w:eastAsia="STKaiti" w:hAnsiTheme="minorHAnsi" w:cstheme="minorHAnsi"/>
              </w:rPr>
              <w:t>国际电联</w:t>
            </w:r>
            <w:proofErr w:type="spellEnd"/>
            <w:r w:rsidR="00AD30A2" w:rsidRPr="00AD30A2">
              <w:rPr>
                <w:rFonts w:asciiTheme="minorHAnsi" w:eastAsia="STKaiti" w:hAnsiTheme="minorHAnsi" w:cstheme="minorHAnsi"/>
              </w:rPr>
              <w:t>2024-2027</w:t>
            </w:r>
            <w:proofErr w:type="spellStart"/>
            <w:r w:rsidR="00AD30A2" w:rsidRPr="00AD30A2">
              <w:rPr>
                <w:rFonts w:asciiTheme="minorHAnsi" w:eastAsia="STKaiti" w:hAnsiTheme="minorHAnsi" w:cstheme="minorHAnsi"/>
              </w:rPr>
              <w:t>年战略规划</w:t>
            </w:r>
            <w:proofErr w:type="spellEnd"/>
          </w:p>
        </w:tc>
      </w:tr>
      <w:bookmarkEnd w:id="2"/>
      <w:bookmarkEnd w:id="6"/>
    </w:tbl>
    <w:p w14:paraId="683438E4"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36776E47"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F10987A" w14:textId="77777777" w:rsidR="00AD30A2" w:rsidRPr="00E00FEA" w:rsidRDefault="00AD30A2" w:rsidP="00AD30A2">
      <w:pPr>
        <w:pStyle w:val="Headingb"/>
        <w:rPr>
          <w:sz w:val="26"/>
          <w:szCs w:val="26"/>
          <w:lang w:eastAsia="zh-CN"/>
        </w:rPr>
      </w:pPr>
      <w:r w:rsidRPr="00E00FEA">
        <w:rPr>
          <w:rFonts w:hint="eastAsia"/>
          <w:lang w:val="zh-CN" w:eastAsia="zh-CN"/>
        </w:rPr>
        <w:lastRenderedPageBreak/>
        <w:t>引言</w:t>
      </w:r>
    </w:p>
    <w:p w14:paraId="3AB686AB" w14:textId="77777777" w:rsidR="00AD30A2" w:rsidRDefault="00AD30A2" w:rsidP="00AD30A2">
      <w:pPr>
        <w:overflowPunct/>
        <w:autoSpaceDE/>
        <w:autoSpaceDN/>
        <w:adjustRightInd/>
        <w:ind w:firstLineChars="200" w:firstLine="480"/>
        <w:textAlignment w:val="auto"/>
        <w:rPr>
          <w:lang w:eastAsia="zh-CN"/>
        </w:rPr>
      </w:pPr>
      <w:r>
        <w:rPr>
          <w:lang w:val="zh-CN" w:eastAsia="zh-CN"/>
        </w:rPr>
        <w:t>澳大利亚称赞国际电</w:t>
      </w:r>
      <w:proofErr w:type="gramStart"/>
      <w:r>
        <w:rPr>
          <w:lang w:val="zh-CN" w:eastAsia="zh-CN"/>
        </w:rPr>
        <w:t>联区域</w:t>
      </w:r>
      <w:proofErr w:type="gramEnd"/>
      <w:r>
        <w:rPr>
          <w:lang w:val="zh-CN" w:eastAsia="zh-CN"/>
        </w:rPr>
        <w:t>代表处和地区办事处在向成员提供国家层面援助方面开展的出色工作。区域代表处和地区办事处提供的支持对国际电联成员至关重要，直接使发展中国家受益，并确保国际电</w:t>
      </w:r>
      <w:proofErr w:type="gramStart"/>
      <w:r>
        <w:rPr>
          <w:lang w:val="zh-CN" w:eastAsia="zh-CN"/>
        </w:rPr>
        <w:t>联充分</w:t>
      </w:r>
      <w:proofErr w:type="gramEnd"/>
      <w:r>
        <w:rPr>
          <w:lang w:val="zh-CN" w:eastAsia="zh-CN"/>
        </w:rPr>
        <w:t>满足每个区域多样化的需求。确保国际电</w:t>
      </w:r>
      <w:proofErr w:type="gramStart"/>
      <w:r>
        <w:rPr>
          <w:lang w:val="zh-CN" w:eastAsia="zh-CN"/>
        </w:rPr>
        <w:t>联区域</w:t>
      </w:r>
      <w:proofErr w:type="gramEnd"/>
      <w:r>
        <w:rPr>
          <w:lang w:val="zh-CN" w:eastAsia="zh-CN"/>
        </w:rPr>
        <w:t>代表处和地区办事处的工作效率十分重要，因为区域代表处提供的协助对国际电联的运作产生</w:t>
      </w:r>
      <w:r>
        <w:rPr>
          <w:rFonts w:ascii="SimSun" w:hAnsi="SimSun" w:cs="SimSun" w:hint="eastAsia"/>
          <w:lang w:val="zh-CN" w:eastAsia="zh-CN"/>
        </w:rPr>
        <w:t>着</w:t>
      </w:r>
      <w:r>
        <w:rPr>
          <w:lang w:val="zh-CN" w:eastAsia="zh-CN"/>
        </w:rPr>
        <w:t>重大影响</w:t>
      </w:r>
      <w:r>
        <w:rPr>
          <w:rFonts w:ascii="SimSun" w:hAnsi="SimSun" w:cs="SimSun" w:hint="eastAsia"/>
          <w:lang w:val="zh-CN" w:eastAsia="zh-CN"/>
        </w:rPr>
        <w:t>。</w:t>
      </w:r>
    </w:p>
    <w:p w14:paraId="07591BD3" w14:textId="77777777" w:rsidR="00AD30A2" w:rsidRPr="00354AC0" w:rsidRDefault="00AD30A2" w:rsidP="00AD30A2">
      <w:pPr>
        <w:pStyle w:val="Headingb"/>
        <w:rPr>
          <w:bCs/>
          <w:sz w:val="26"/>
          <w:szCs w:val="26"/>
          <w:lang w:eastAsia="zh-CN"/>
        </w:rPr>
      </w:pPr>
      <w:r>
        <w:rPr>
          <w:lang w:val="zh-CN" w:eastAsia="zh-CN"/>
        </w:rPr>
        <w:t>讨论</w:t>
      </w:r>
    </w:p>
    <w:p w14:paraId="008D2EFE" w14:textId="77777777" w:rsidR="00AD30A2" w:rsidRPr="00BE2E5F" w:rsidRDefault="00AD30A2" w:rsidP="00AD30A2">
      <w:pPr>
        <w:overflowPunct/>
        <w:autoSpaceDE/>
        <w:autoSpaceDN/>
        <w:adjustRightInd/>
        <w:ind w:firstLineChars="200" w:firstLine="480"/>
        <w:textAlignment w:val="auto"/>
        <w:rPr>
          <w:szCs w:val="24"/>
          <w:lang w:eastAsia="zh-CN"/>
        </w:rPr>
      </w:pPr>
      <w:r>
        <w:rPr>
          <w:lang w:val="zh-CN" w:eastAsia="zh-CN"/>
        </w:rPr>
        <w:t>澳大利亚根据我们在亚太地区项目交付的经验，确定了一些可以进一步加强的领域，在这些领域可以大大改善项目交付，使国际电联在</w:t>
      </w:r>
      <w:r>
        <w:rPr>
          <w:rFonts w:ascii="SimSun" w:hAnsi="SimSun" w:cs="SimSun" w:hint="eastAsia"/>
          <w:lang w:val="zh-CN" w:eastAsia="zh-CN"/>
        </w:rPr>
        <w:t>各</w:t>
      </w:r>
      <w:r>
        <w:rPr>
          <w:lang w:val="zh-CN" w:eastAsia="zh-CN"/>
        </w:rPr>
        <w:t>区域的活动产生最大的效益。</w:t>
      </w:r>
    </w:p>
    <w:p w14:paraId="435088BC" w14:textId="1DCCE79A" w:rsidR="00AD30A2" w:rsidRPr="00812137" w:rsidRDefault="00AD30A2" w:rsidP="00AD30A2">
      <w:pPr>
        <w:pStyle w:val="Normalaftertitle"/>
        <w:rPr>
          <w:szCs w:val="24"/>
        </w:rPr>
      </w:pPr>
      <w:r>
        <w:rPr>
          <w:rFonts w:hint="eastAsia"/>
          <w:lang w:val="zh-CN" w:eastAsia="zh-CN"/>
        </w:rPr>
        <w:t>1</w:t>
      </w:r>
      <w:r>
        <w:rPr>
          <w:lang w:val="zh-CN" w:eastAsia="zh-CN"/>
        </w:rPr>
        <w:tab/>
      </w:r>
      <w:proofErr w:type="spellStart"/>
      <w:r w:rsidRPr="00AD30A2">
        <w:rPr>
          <w:u w:val="single"/>
          <w:lang w:val="zh-CN"/>
        </w:rPr>
        <w:t>招聘</w:t>
      </w:r>
      <w:proofErr w:type="spellEnd"/>
    </w:p>
    <w:p w14:paraId="039A7290" w14:textId="77777777" w:rsidR="00AD30A2" w:rsidRPr="00BE2E5F" w:rsidRDefault="00AD30A2" w:rsidP="00AD30A2">
      <w:pPr>
        <w:ind w:firstLineChars="200" w:firstLine="480"/>
        <w:rPr>
          <w:szCs w:val="24"/>
          <w:lang w:eastAsia="zh-CN"/>
        </w:rPr>
      </w:pPr>
      <w:r>
        <w:rPr>
          <w:lang w:val="zh-CN" w:eastAsia="zh-CN"/>
        </w:rPr>
        <w:t>亚太区域代表处面临的一个重大挑战是招聘和留住具有适当项目管理专业知识的人员。根据澳大利亚的经验，国际电联在为期</w:t>
      </w:r>
      <w:r>
        <w:rPr>
          <w:rFonts w:ascii="SimSun" w:hAnsi="SimSun" w:cs="SimSun" w:hint="eastAsia"/>
          <w:lang w:val="zh-CN" w:eastAsia="zh-CN"/>
        </w:rPr>
        <w:t>两（</w:t>
      </w:r>
      <w:r>
        <w:rPr>
          <w:lang w:val="zh-CN" w:eastAsia="zh-CN"/>
        </w:rPr>
        <w:t>2</w:t>
      </w:r>
      <w:r>
        <w:rPr>
          <w:rFonts w:ascii="SimSun" w:hAnsi="SimSun" w:cs="SimSun" w:hint="eastAsia"/>
          <w:lang w:val="zh-CN" w:eastAsia="zh-CN"/>
        </w:rPr>
        <w:t>）</w:t>
      </w:r>
      <w:r>
        <w:rPr>
          <w:lang w:val="zh-CN" w:eastAsia="zh-CN"/>
        </w:rPr>
        <w:t>至</w:t>
      </w:r>
      <w:r>
        <w:rPr>
          <w:rFonts w:ascii="SimSun" w:hAnsi="SimSun" w:cs="SimSun" w:hint="eastAsia"/>
          <w:lang w:val="zh-CN" w:eastAsia="zh-CN"/>
        </w:rPr>
        <w:t>三（</w:t>
      </w:r>
      <w:r>
        <w:rPr>
          <w:lang w:val="zh-CN" w:eastAsia="zh-CN"/>
        </w:rPr>
        <w:t>3</w:t>
      </w:r>
      <w:r>
        <w:rPr>
          <w:rFonts w:ascii="SimSun" w:hAnsi="SimSun" w:cs="SimSun" w:hint="eastAsia"/>
          <w:lang w:val="zh-CN" w:eastAsia="zh-CN"/>
        </w:rPr>
        <w:t>）</w:t>
      </w:r>
      <w:r>
        <w:rPr>
          <w:lang w:val="zh-CN" w:eastAsia="zh-CN"/>
        </w:rPr>
        <w:t>年的项目中，目前花费了六（</w:t>
      </w:r>
      <w:r>
        <w:rPr>
          <w:lang w:val="zh-CN" w:eastAsia="zh-CN"/>
        </w:rPr>
        <w:t>6</w:t>
      </w:r>
      <w:r>
        <w:rPr>
          <w:lang w:val="zh-CN" w:eastAsia="zh-CN"/>
        </w:rPr>
        <w:t>）到十二（</w:t>
      </w:r>
      <w:r>
        <w:rPr>
          <w:lang w:val="zh-CN" w:eastAsia="zh-CN"/>
        </w:rPr>
        <w:t>12</w:t>
      </w:r>
      <w:r>
        <w:rPr>
          <w:lang w:val="zh-CN" w:eastAsia="zh-CN"/>
        </w:rPr>
        <w:t>）</w:t>
      </w:r>
      <w:proofErr w:type="gramStart"/>
      <w:r>
        <w:rPr>
          <w:lang w:val="zh-CN" w:eastAsia="zh-CN"/>
        </w:rPr>
        <w:t>个</w:t>
      </w:r>
      <w:proofErr w:type="gramEnd"/>
      <w:r>
        <w:rPr>
          <w:lang w:val="zh-CN" w:eastAsia="zh-CN"/>
        </w:rPr>
        <w:t>月的时间确定和招聘相关专家。澳大利亚认为，这是国际电联诸多领域面临的挑战，包括其它区域代表处和地区办事处。</w:t>
      </w:r>
    </w:p>
    <w:p w14:paraId="5729AA38" w14:textId="77777777" w:rsidR="00AD30A2" w:rsidRPr="00BE2E5F" w:rsidRDefault="00AD30A2" w:rsidP="00AD30A2">
      <w:pPr>
        <w:ind w:firstLineChars="200" w:firstLine="480"/>
        <w:rPr>
          <w:szCs w:val="24"/>
          <w:lang w:eastAsia="zh-CN"/>
        </w:rPr>
      </w:pPr>
      <w:r>
        <w:rPr>
          <w:lang w:val="zh-CN" w:eastAsia="zh-CN"/>
        </w:rPr>
        <w:t>对区域代表处和地区办事处的招聘程序和工具进行改进，将能够及时地在区域代表处内部发现和招聘具有相关项目管理专长的人才，这意味着在规定的时限内完成项目。通过确保项目及时交付，国际</w:t>
      </w:r>
      <w:proofErr w:type="gramStart"/>
      <w:r>
        <w:rPr>
          <w:lang w:val="zh-CN" w:eastAsia="zh-CN"/>
        </w:rPr>
        <w:t>电联可确保</w:t>
      </w:r>
      <w:proofErr w:type="gramEnd"/>
      <w:r>
        <w:rPr>
          <w:lang w:val="zh-CN" w:eastAsia="zh-CN"/>
        </w:rPr>
        <w:t>其援助在瞬息万变的电信</w:t>
      </w:r>
      <w:r>
        <w:rPr>
          <w:lang w:val="zh-CN" w:eastAsia="zh-CN"/>
        </w:rPr>
        <w:t>/ICT</w:t>
      </w:r>
      <w:r>
        <w:rPr>
          <w:lang w:val="zh-CN" w:eastAsia="zh-CN"/>
        </w:rPr>
        <w:t>环境中依然具有相关性和意义。</w:t>
      </w:r>
    </w:p>
    <w:p w14:paraId="7474111D" w14:textId="77777777" w:rsidR="00AD30A2" w:rsidRPr="00BE2E5F" w:rsidRDefault="00AD30A2" w:rsidP="00AD30A2">
      <w:pPr>
        <w:ind w:firstLineChars="200" w:firstLine="480"/>
        <w:rPr>
          <w:szCs w:val="24"/>
          <w:lang w:eastAsia="zh-CN"/>
        </w:rPr>
      </w:pPr>
      <w:r>
        <w:rPr>
          <w:lang w:val="zh-CN" w:eastAsia="zh-CN"/>
        </w:rPr>
        <w:t>此外，加强区域代表处项目管理专业力量将确保国际电联能够及时和有针对性地向成员国提供援助。此外，如为完成项目需要具体专业技术，</w:t>
      </w:r>
      <w:proofErr w:type="gramStart"/>
      <w:r>
        <w:rPr>
          <w:lang w:val="zh-CN" w:eastAsia="zh-CN"/>
        </w:rPr>
        <w:t>则国际电联应</w:t>
      </w:r>
      <w:proofErr w:type="gramEnd"/>
      <w:r>
        <w:rPr>
          <w:lang w:val="zh-CN" w:eastAsia="zh-CN"/>
        </w:rPr>
        <w:t>考虑在相关专家</w:t>
      </w:r>
      <w:r>
        <w:rPr>
          <w:rFonts w:ascii="SimSun" w:hAnsi="SimSun" w:cs="SimSun" w:hint="eastAsia"/>
          <w:lang w:val="zh-CN" w:eastAsia="zh-CN"/>
        </w:rPr>
        <w:t>确实可以找到</w:t>
      </w:r>
      <w:r>
        <w:rPr>
          <w:lang w:val="zh-CN" w:eastAsia="zh-CN"/>
        </w:rPr>
        <w:t>后</w:t>
      </w:r>
      <w:r>
        <w:rPr>
          <w:rFonts w:ascii="SimSun" w:hAnsi="SimSun" w:cs="SimSun" w:hint="eastAsia"/>
          <w:lang w:val="zh-CN" w:eastAsia="zh-CN"/>
        </w:rPr>
        <w:t>再</w:t>
      </w:r>
      <w:r>
        <w:rPr>
          <w:lang w:val="zh-CN" w:eastAsia="zh-CN"/>
        </w:rPr>
        <w:t>签署项目文件，以避免项目实施工作出现重大延误。</w:t>
      </w:r>
    </w:p>
    <w:p w14:paraId="23C17F85" w14:textId="64903033" w:rsidR="00AD30A2" w:rsidRPr="00DC06C9" w:rsidRDefault="00AD30A2" w:rsidP="00AD30A2">
      <w:pPr>
        <w:pStyle w:val="Normalaftertitle"/>
        <w:rPr>
          <w:szCs w:val="24"/>
          <w:lang w:eastAsia="zh-CN"/>
        </w:rPr>
      </w:pPr>
      <w:r>
        <w:rPr>
          <w:rFonts w:hint="eastAsia"/>
          <w:lang w:val="zh-CN" w:eastAsia="zh-CN"/>
        </w:rPr>
        <w:t>2</w:t>
      </w:r>
      <w:r>
        <w:rPr>
          <w:lang w:val="zh-CN" w:eastAsia="zh-CN"/>
        </w:rPr>
        <w:tab/>
      </w:r>
      <w:r w:rsidRPr="00AD30A2">
        <w:rPr>
          <w:u w:val="single"/>
          <w:lang w:val="zh-CN" w:eastAsia="zh-CN"/>
        </w:rPr>
        <w:t>项目和</w:t>
      </w:r>
      <w:r w:rsidRPr="00AD30A2">
        <w:rPr>
          <w:u w:val="single"/>
          <w:lang w:val="zh-CN" w:eastAsia="zh-CN"/>
        </w:rPr>
        <w:t>KPI</w:t>
      </w:r>
      <w:r w:rsidRPr="00AD30A2">
        <w:rPr>
          <w:u w:val="single"/>
          <w:lang w:val="zh-CN" w:eastAsia="zh-CN"/>
        </w:rPr>
        <w:t>的战略协调</w:t>
      </w:r>
    </w:p>
    <w:p w14:paraId="5145E011" w14:textId="77777777" w:rsidR="00AD30A2" w:rsidRPr="00BE2E5F" w:rsidRDefault="00AD30A2" w:rsidP="00AD30A2">
      <w:pPr>
        <w:ind w:firstLineChars="200" w:firstLine="480"/>
        <w:rPr>
          <w:szCs w:val="24"/>
          <w:lang w:eastAsia="zh-CN"/>
        </w:rPr>
      </w:pPr>
      <w:r>
        <w:rPr>
          <w:lang w:val="zh-CN" w:eastAsia="zh-CN"/>
        </w:rPr>
        <w:t>作为有效管理工作计划和项目交付的组成部分，区域代表处和地区办事处的活动应明确地与国际电联</w:t>
      </w:r>
      <w:r>
        <w:rPr>
          <w:rFonts w:ascii="SimSun" w:hAnsi="SimSun" w:cs="SimSun" w:hint="eastAsia"/>
          <w:lang w:val="zh-CN" w:eastAsia="zh-CN"/>
        </w:rPr>
        <w:t>《</w:t>
      </w:r>
      <w:r>
        <w:rPr>
          <w:lang w:val="zh-CN" w:eastAsia="zh-CN"/>
        </w:rPr>
        <w:t>战略规划</w:t>
      </w:r>
      <w:r>
        <w:rPr>
          <w:rFonts w:ascii="SimSun" w:hAnsi="SimSun" w:cs="SimSun" w:hint="eastAsia"/>
          <w:lang w:val="zh-CN" w:eastAsia="zh-CN"/>
        </w:rPr>
        <w:t>》</w:t>
      </w:r>
      <w:r>
        <w:rPr>
          <w:lang w:val="zh-CN" w:eastAsia="zh-CN"/>
        </w:rPr>
        <w:t>和</w:t>
      </w:r>
      <w:r>
        <w:rPr>
          <w:lang w:val="zh-CN" w:eastAsia="zh-CN"/>
        </w:rPr>
        <w:t>WTDC</w:t>
      </w:r>
      <w:r>
        <w:rPr>
          <w:rFonts w:ascii="SimSun" w:hAnsi="SimSun" w:cs="SimSun" w:hint="eastAsia"/>
          <w:lang w:val="zh-CN" w:eastAsia="zh-CN"/>
        </w:rPr>
        <w:t>《</w:t>
      </w:r>
      <w:r>
        <w:rPr>
          <w:lang w:val="zh-CN" w:eastAsia="zh-CN"/>
        </w:rPr>
        <w:t>行动计划</w:t>
      </w:r>
      <w:r>
        <w:rPr>
          <w:rFonts w:ascii="SimSun" w:hAnsi="SimSun" w:cs="SimSun" w:hint="eastAsia"/>
          <w:lang w:val="zh-CN" w:eastAsia="zh-CN"/>
        </w:rPr>
        <w:t>》</w:t>
      </w:r>
      <w:r>
        <w:rPr>
          <w:lang w:val="zh-CN" w:eastAsia="zh-CN"/>
        </w:rPr>
        <w:t>概述的总体目标和工作重点保持一致，包括其框架和相关的关键绩效指标。这些既定的</w:t>
      </w:r>
      <w:r>
        <w:rPr>
          <w:lang w:val="zh-CN" w:eastAsia="zh-CN"/>
        </w:rPr>
        <w:t>KPI</w:t>
      </w:r>
      <w:r>
        <w:rPr>
          <w:lang w:val="zh-CN" w:eastAsia="zh-CN"/>
        </w:rPr>
        <w:t>还可用于衡量区域代表处和地区办事处</w:t>
      </w:r>
      <w:r>
        <w:rPr>
          <w:rFonts w:ascii="SimSun" w:hAnsi="SimSun" w:cs="SimSun" w:hint="eastAsia"/>
          <w:lang w:val="zh-CN" w:eastAsia="zh-CN"/>
        </w:rPr>
        <w:t>所</w:t>
      </w:r>
      <w:r>
        <w:rPr>
          <w:lang w:val="zh-CN" w:eastAsia="zh-CN"/>
        </w:rPr>
        <w:t>开展活动（包括发展项目和活动）的成果并确定</w:t>
      </w:r>
      <w:r>
        <w:rPr>
          <w:rFonts w:ascii="SimSun" w:hAnsi="SimSun" w:cs="SimSun" w:hint="eastAsia"/>
          <w:lang w:val="zh-CN" w:eastAsia="zh-CN"/>
        </w:rPr>
        <w:t>改进</w:t>
      </w:r>
      <w:r>
        <w:rPr>
          <w:lang w:val="zh-CN" w:eastAsia="zh-CN"/>
        </w:rPr>
        <w:t>机会，从而产生深远影响。使用这些</w:t>
      </w:r>
      <w:r>
        <w:rPr>
          <w:lang w:val="zh-CN" w:eastAsia="zh-CN"/>
        </w:rPr>
        <w:t>KPI</w:t>
      </w:r>
      <w:r>
        <w:rPr>
          <w:lang w:val="zh-CN" w:eastAsia="zh-CN"/>
        </w:rPr>
        <w:t>将清楚地表明各区域代表处在如何推进国际电联成员确定的</w:t>
      </w:r>
      <w:r>
        <w:rPr>
          <w:rFonts w:ascii="SimSun" w:hAnsi="SimSun" w:cs="SimSun" w:hint="eastAsia"/>
          <w:lang w:val="zh-CN" w:eastAsia="zh-CN"/>
        </w:rPr>
        <w:t>工作重点</w:t>
      </w:r>
      <w:r>
        <w:rPr>
          <w:lang w:val="zh-CN" w:eastAsia="zh-CN"/>
        </w:rPr>
        <w:t>。</w:t>
      </w:r>
    </w:p>
    <w:p w14:paraId="00B1C259" w14:textId="3A1F01AF" w:rsidR="00AD30A2" w:rsidRPr="00120CE3" w:rsidRDefault="00AD30A2" w:rsidP="00AD30A2">
      <w:pPr>
        <w:pStyle w:val="Normalaftertitle"/>
        <w:rPr>
          <w:szCs w:val="24"/>
        </w:rPr>
      </w:pPr>
      <w:r>
        <w:rPr>
          <w:rFonts w:hint="eastAsia"/>
          <w:lang w:val="zh-CN" w:eastAsia="zh-CN"/>
        </w:rPr>
        <w:t>3</w:t>
      </w:r>
      <w:r>
        <w:rPr>
          <w:lang w:val="zh-CN" w:eastAsia="zh-CN"/>
        </w:rPr>
        <w:tab/>
      </w:r>
      <w:proofErr w:type="spellStart"/>
      <w:r w:rsidRPr="00AD30A2">
        <w:rPr>
          <w:u w:val="single"/>
          <w:lang w:val="zh-CN"/>
        </w:rPr>
        <w:t>财务报告</w:t>
      </w:r>
      <w:proofErr w:type="spellEnd"/>
    </w:p>
    <w:p w14:paraId="3E797F76" w14:textId="0A6C01BA" w:rsidR="00AD30A2" w:rsidRDefault="00AD30A2" w:rsidP="00AD30A2">
      <w:pPr>
        <w:keepNext/>
        <w:keepLines/>
        <w:ind w:firstLineChars="200" w:firstLine="480"/>
        <w:rPr>
          <w:szCs w:val="24"/>
          <w:lang w:eastAsia="zh-CN"/>
        </w:rPr>
      </w:pPr>
      <w:r>
        <w:rPr>
          <w:lang w:val="zh-CN" w:eastAsia="zh-CN"/>
        </w:rPr>
        <w:t>财务信息的缺乏给澳大利亚的项目融资带来重重困难。根据我们的经验，通常需要大约八（</w:t>
      </w:r>
      <w:r>
        <w:rPr>
          <w:lang w:val="zh-CN" w:eastAsia="zh-CN"/>
        </w:rPr>
        <w:t>8</w:t>
      </w:r>
      <w:r>
        <w:rPr>
          <w:lang w:val="zh-CN" w:eastAsia="zh-CN"/>
        </w:rPr>
        <w:t>）周才能收到有关我们</w:t>
      </w:r>
      <w:proofErr w:type="gramStart"/>
      <w:r>
        <w:rPr>
          <w:lang w:val="zh-CN" w:eastAsia="zh-CN"/>
        </w:rPr>
        <w:t>帐户</w:t>
      </w:r>
      <w:proofErr w:type="gramEnd"/>
      <w:r>
        <w:rPr>
          <w:lang w:val="zh-CN" w:eastAsia="zh-CN"/>
        </w:rPr>
        <w:t>状态的最新信息，届时信息已过时。我们</w:t>
      </w:r>
      <w:r>
        <w:rPr>
          <w:rFonts w:ascii="SimSun" w:hAnsi="SimSun" w:cs="SimSun" w:hint="eastAsia"/>
          <w:lang w:val="zh-CN" w:eastAsia="zh-CN"/>
        </w:rPr>
        <w:t>认为</w:t>
      </w:r>
      <w:r>
        <w:rPr>
          <w:lang w:val="zh-CN" w:eastAsia="zh-CN"/>
        </w:rPr>
        <w:t>，向捐助方提供财务信息的一个关键</w:t>
      </w:r>
      <w:r>
        <w:rPr>
          <w:rFonts w:ascii="SimSun" w:hAnsi="SimSun" w:cs="SimSun" w:hint="eastAsia"/>
          <w:lang w:val="zh-CN" w:eastAsia="zh-CN"/>
        </w:rPr>
        <w:t>问题</w:t>
      </w:r>
      <w:r>
        <w:rPr>
          <w:lang w:val="zh-CN" w:eastAsia="zh-CN"/>
        </w:rPr>
        <w:t>是将财务和项目管理职能集中在总部（日内瓦）。</w:t>
      </w:r>
    </w:p>
    <w:p w14:paraId="561BB55F" w14:textId="77777777" w:rsidR="00AD30A2" w:rsidRPr="00BE2E5F" w:rsidRDefault="00AD30A2" w:rsidP="00AD30A2">
      <w:pPr>
        <w:ind w:firstLineChars="200" w:firstLine="480"/>
        <w:rPr>
          <w:szCs w:val="24"/>
          <w:lang w:eastAsia="zh-CN"/>
        </w:rPr>
      </w:pPr>
      <w:r>
        <w:rPr>
          <w:lang w:val="zh-CN" w:eastAsia="zh-CN"/>
        </w:rPr>
        <w:t>允许各区域代表处酌情利用国际电联的财务管理工具并及时或应要求就这一信息</w:t>
      </w:r>
      <w:r>
        <w:rPr>
          <w:rFonts w:ascii="SimSun" w:hAnsi="SimSun" w:cs="SimSun" w:hint="eastAsia"/>
          <w:lang w:val="zh-CN" w:eastAsia="zh-CN"/>
        </w:rPr>
        <w:t>进行</w:t>
      </w:r>
      <w:r>
        <w:rPr>
          <w:lang w:val="zh-CN" w:eastAsia="zh-CN"/>
        </w:rPr>
        <w:t>报告，将大大改善国际电联的响应能力、透明度和</w:t>
      </w:r>
      <w:r>
        <w:rPr>
          <w:rFonts w:ascii="SimSun" w:hAnsi="SimSun" w:cs="SimSun" w:hint="eastAsia"/>
          <w:lang w:val="zh-CN" w:eastAsia="zh-CN"/>
        </w:rPr>
        <w:t>问责</w:t>
      </w:r>
      <w:r>
        <w:rPr>
          <w:lang w:val="zh-CN" w:eastAsia="zh-CN"/>
        </w:rPr>
        <w:t>制。捐助者高度重视这些原则，加强这一领域的工作将有助于更有效地管理项目的财务并加快交付速度。</w:t>
      </w:r>
    </w:p>
    <w:p w14:paraId="0009EB36" w14:textId="75F19B9F" w:rsidR="00AD30A2" w:rsidRPr="00AD30A2" w:rsidRDefault="00AD30A2" w:rsidP="00AD30A2">
      <w:pPr>
        <w:pStyle w:val="Normalaftertitle"/>
      </w:pPr>
      <w:r>
        <w:rPr>
          <w:rFonts w:hint="eastAsia"/>
          <w:lang w:eastAsia="zh-CN"/>
        </w:rPr>
        <w:lastRenderedPageBreak/>
        <w:t>4</w:t>
      </w:r>
      <w:r>
        <w:rPr>
          <w:lang w:eastAsia="zh-CN"/>
        </w:rPr>
        <w:tab/>
      </w:r>
      <w:proofErr w:type="spellStart"/>
      <w:r w:rsidRPr="00AD30A2">
        <w:rPr>
          <w:u w:val="single"/>
        </w:rPr>
        <w:t>项目交付</w:t>
      </w:r>
      <w:r w:rsidRPr="00AD30A2">
        <w:rPr>
          <w:rFonts w:hint="eastAsia"/>
          <w:u w:val="single"/>
        </w:rPr>
        <w:t>的权力下放</w:t>
      </w:r>
      <w:proofErr w:type="spellEnd"/>
    </w:p>
    <w:p w14:paraId="17912719" w14:textId="77777777" w:rsidR="00AD30A2" w:rsidRPr="0066525B" w:rsidRDefault="00AD30A2" w:rsidP="00AD30A2">
      <w:pPr>
        <w:ind w:firstLineChars="200" w:firstLine="480"/>
        <w:rPr>
          <w:lang w:eastAsia="zh-CN"/>
        </w:rPr>
      </w:pPr>
      <w:r>
        <w:rPr>
          <w:lang w:val="zh-CN" w:eastAsia="zh-CN"/>
        </w:rPr>
        <w:t>澳大利亚发现，项目交付</w:t>
      </w:r>
      <w:r>
        <w:rPr>
          <w:rFonts w:ascii="SimSun" w:hAnsi="SimSun" w:cs="SimSun" w:hint="eastAsia"/>
          <w:lang w:val="zh-CN" w:eastAsia="zh-CN"/>
        </w:rPr>
        <w:t>的权力下放</w:t>
      </w:r>
      <w:r>
        <w:rPr>
          <w:lang w:val="zh-CN" w:eastAsia="zh-CN"/>
        </w:rPr>
        <w:t>级别阻碍了项目的进展，导致项目</w:t>
      </w:r>
      <w:r>
        <w:rPr>
          <w:rFonts w:ascii="SimSun" w:hAnsi="SimSun" w:cs="SimSun" w:hint="eastAsia"/>
          <w:lang w:val="zh-CN" w:eastAsia="zh-CN"/>
        </w:rPr>
        <w:t>启动</w:t>
      </w:r>
      <w:r>
        <w:rPr>
          <w:lang w:val="zh-CN" w:eastAsia="zh-CN"/>
        </w:rPr>
        <w:t>等待时间过长。在某些情况下，项目批准遇到长达十八（</w:t>
      </w:r>
      <w:r>
        <w:rPr>
          <w:lang w:val="zh-CN" w:eastAsia="zh-CN"/>
        </w:rPr>
        <w:t>18</w:t>
      </w:r>
      <w:r>
        <w:rPr>
          <w:lang w:val="zh-CN" w:eastAsia="zh-CN"/>
        </w:rPr>
        <w:t>）</w:t>
      </w:r>
      <w:proofErr w:type="gramStart"/>
      <w:r>
        <w:rPr>
          <w:lang w:val="zh-CN" w:eastAsia="zh-CN"/>
        </w:rPr>
        <w:t>个</w:t>
      </w:r>
      <w:proofErr w:type="gramEnd"/>
      <w:r>
        <w:rPr>
          <w:lang w:val="zh-CN" w:eastAsia="zh-CN"/>
        </w:rPr>
        <w:t>月的延迟。为解决这一问题，国际</w:t>
      </w:r>
      <w:proofErr w:type="gramStart"/>
      <w:r>
        <w:rPr>
          <w:lang w:val="zh-CN" w:eastAsia="zh-CN"/>
        </w:rPr>
        <w:t>电联可重新</w:t>
      </w:r>
      <w:proofErr w:type="gramEnd"/>
      <w:r>
        <w:rPr>
          <w:lang w:val="zh-CN" w:eastAsia="zh-CN"/>
        </w:rPr>
        <w:t>审视其项目决策程序和权力下放，以确保区域代表处主任拥有相关和适当的授权，以确保有效的项目交付。注意到仍倾向于</w:t>
      </w:r>
      <w:r>
        <w:rPr>
          <w:rFonts w:ascii="SimSun" w:hAnsi="SimSun" w:cs="SimSun" w:hint="eastAsia"/>
          <w:lang w:val="zh-CN" w:eastAsia="zh-CN"/>
        </w:rPr>
        <w:t>将</w:t>
      </w:r>
      <w:r>
        <w:rPr>
          <w:lang w:val="zh-CN" w:eastAsia="zh-CN"/>
        </w:rPr>
        <w:t>项目监督保留</w:t>
      </w:r>
      <w:r>
        <w:rPr>
          <w:rFonts w:ascii="SimSun" w:hAnsi="SimSun" w:cs="SimSun" w:hint="eastAsia"/>
          <w:lang w:val="zh-CN" w:eastAsia="zh-CN"/>
        </w:rPr>
        <w:t>在</w:t>
      </w:r>
      <w:r>
        <w:rPr>
          <w:lang w:val="zh-CN" w:eastAsia="zh-CN"/>
        </w:rPr>
        <w:t>总部（日内瓦），国际电联可以考虑</w:t>
      </w:r>
      <w:r>
        <w:rPr>
          <w:rFonts w:ascii="SimSun" w:hAnsi="SimSun" w:cs="SimSun" w:hint="eastAsia"/>
          <w:lang w:val="zh-CN" w:eastAsia="zh-CN"/>
        </w:rPr>
        <w:t>将某些审批权下放给</w:t>
      </w:r>
      <w:r>
        <w:rPr>
          <w:lang w:val="zh-CN" w:eastAsia="zh-CN"/>
        </w:rPr>
        <w:t>区域代表处主任，如招聘初级职员、进行一定数额的本地采购和活动。</w:t>
      </w:r>
    </w:p>
    <w:p w14:paraId="3695B191" w14:textId="77777777" w:rsidR="00AD30A2" w:rsidRPr="00120CE3" w:rsidRDefault="00AD30A2" w:rsidP="00AD30A2">
      <w:pPr>
        <w:pStyle w:val="Headingb"/>
        <w:rPr>
          <w:lang w:eastAsia="zh-CN"/>
        </w:rPr>
      </w:pPr>
      <w:r w:rsidRPr="00120CE3">
        <w:rPr>
          <w:rFonts w:hint="eastAsia"/>
          <w:lang w:val="zh-CN" w:eastAsia="zh-CN"/>
        </w:rPr>
        <w:t>提案</w:t>
      </w:r>
    </w:p>
    <w:p w14:paraId="27C9D3C0" w14:textId="77777777" w:rsidR="00AD30A2" w:rsidRPr="00DA1574" w:rsidRDefault="00AD30A2" w:rsidP="00AD30A2">
      <w:pPr>
        <w:overflowPunct/>
        <w:autoSpaceDE/>
        <w:autoSpaceDN/>
        <w:adjustRightInd/>
        <w:ind w:firstLineChars="200" w:firstLine="480"/>
        <w:textAlignment w:val="auto"/>
        <w:rPr>
          <w:lang w:eastAsia="zh-CN"/>
        </w:rPr>
      </w:pPr>
      <w:r>
        <w:rPr>
          <w:lang w:val="zh-CN" w:eastAsia="zh-CN"/>
        </w:rPr>
        <w:t>澳大利亚要求理事会考虑按照全权代表大会第</w:t>
      </w:r>
      <w:r>
        <w:rPr>
          <w:lang w:val="zh-CN" w:eastAsia="zh-CN"/>
        </w:rPr>
        <w:t>157</w:t>
      </w:r>
      <w:r>
        <w:rPr>
          <w:lang w:val="zh-CN" w:eastAsia="zh-CN"/>
        </w:rPr>
        <w:t>号决议（</w:t>
      </w:r>
      <w:r>
        <w:rPr>
          <w:lang w:val="zh-CN" w:eastAsia="zh-CN"/>
        </w:rPr>
        <w:t>2022</w:t>
      </w:r>
      <w:r>
        <w:rPr>
          <w:lang w:val="zh-CN" w:eastAsia="zh-CN"/>
        </w:rPr>
        <w:t>年，布加勒斯特，修订版）和</w:t>
      </w:r>
      <w:r>
        <w:rPr>
          <w:lang w:val="zh-CN" w:eastAsia="zh-CN"/>
        </w:rPr>
        <w:t>WTDC</w:t>
      </w:r>
      <w:r>
        <w:rPr>
          <w:lang w:val="zh-CN" w:eastAsia="zh-CN"/>
        </w:rPr>
        <w:t>第</w:t>
      </w:r>
      <w:r>
        <w:rPr>
          <w:lang w:val="zh-CN" w:eastAsia="zh-CN"/>
        </w:rPr>
        <w:t>52</w:t>
      </w:r>
      <w:r>
        <w:rPr>
          <w:lang w:val="zh-CN" w:eastAsia="zh-CN"/>
        </w:rPr>
        <w:t>号决议（</w:t>
      </w:r>
      <w:r>
        <w:rPr>
          <w:lang w:val="zh-CN" w:eastAsia="zh-CN"/>
        </w:rPr>
        <w:t>2014</w:t>
      </w:r>
      <w:r>
        <w:rPr>
          <w:lang w:val="zh-CN" w:eastAsia="zh-CN"/>
        </w:rPr>
        <w:t>年，迪拜，修订版），改进区域代表处和地区办事处</w:t>
      </w:r>
      <w:r>
        <w:rPr>
          <w:rFonts w:ascii="SimSun" w:hAnsi="SimSun" w:cs="SimSun" w:hint="eastAsia"/>
          <w:lang w:val="zh-CN" w:eastAsia="zh-CN"/>
        </w:rPr>
        <w:t>的</w:t>
      </w:r>
      <w:r>
        <w:rPr>
          <w:lang w:val="zh-CN" w:eastAsia="zh-CN"/>
        </w:rPr>
        <w:t>行政管理，以加强国际电联的项目执行职能。</w:t>
      </w:r>
    </w:p>
    <w:p w14:paraId="04CD2660" w14:textId="77777777" w:rsidR="00AD30A2" w:rsidRDefault="00AD30A2" w:rsidP="00AD30A2">
      <w:pPr>
        <w:overflowPunct/>
        <w:autoSpaceDE/>
        <w:autoSpaceDN/>
        <w:adjustRightInd/>
        <w:ind w:firstLineChars="200" w:firstLine="480"/>
        <w:textAlignment w:val="auto"/>
        <w:rPr>
          <w:lang w:eastAsia="zh-CN"/>
        </w:rPr>
      </w:pPr>
      <w:r>
        <w:rPr>
          <w:lang w:val="zh-CN" w:eastAsia="zh-CN"/>
        </w:rPr>
        <w:t>澳大利亚赞赏国际电联在总秘书处的改革方面取得的重大进展以及国际电</w:t>
      </w:r>
      <w:proofErr w:type="gramStart"/>
      <w:r>
        <w:rPr>
          <w:lang w:val="zh-CN" w:eastAsia="zh-CN"/>
        </w:rPr>
        <w:t>联实现</w:t>
      </w:r>
      <w:proofErr w:type="gramEnd"/>
      <w:r>
        <w:rPr>
          <w:lang w:val="zh-CN" w:eastAsia="zh-CN"/>
        </w:rPr>
        <w:t>组织卓越</w:t>
      </w:r>
      <w:r>
        <w:rPr>
          <w:rFonts w:ascii="SimSun" w:hAnsi="SimSun" w:cs="SimSun" w:hint="eastAsia"/>
          <w:lang w:val="zh-CN" w:eastAsia="zh-CN"/>
        </w:rPr>
        <w:t>性</w:t>
      </w:r>
      <w:r>
        <w:rPr>
          <w:lang w:val="zh-CN" w:eastAsia="zh-CN"/>
        </w:rPr>
        <w:t>的承诺。我们的建议为强化与区域代表处和地区办事处相关的现有进程，从而在</w:t>
      </w:r>
      <w:r>
        <w:rPr>
          <w:lang w:val="zh-CN" w:eastAsia="zh-CN"/>
        </w:rPr>
        <w:t>2024-2027</w:t>
      </w:r>
      <w:r>
        <w:rPr>
          <w:lang w:val="zh-CN" w:eastAsia="zh-CN"/>
        </w:rPr>
        <w:t>年及之后成功实现《国际电联战略规划》概述的各项总体战略目标提供了机遇。</w:t>
      </w:r>
    </w:p>
    <w:p w14:paraId="7E6A4002" w14:textId="77777777" w:rsidR="00AD30A2" w:rsidRDefault="00AD30A2">
      <w:pPr>
        <w:jc w:val="center"/>
      </w:pPr>
      <w:r>
        <w:t>______________</w:t>
      </w:r>
    </w:p>
    <w:p w14:paraId="1ECE5F67" w14:textId="77777777" w:rsidR="00AE195F" w:rsidRPr="00E24D59" w:rsidRDefault="00AE195F" w:rsidP="00E24D59">
      <w:pPr>
        <w:rPr>
          <w:lang w:eastAsia="zh-CN"/>
        </w:rPr>
      </w:pPr>
    </w:p>
    <w:sectPr w:rsidR="00AE195F" w:rsidRPr="00E24D59"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9991" w14:textId="77777777" w:rsidR="00AD30A2" w:rsidRDefault="00AD30A2">
      <w:r>
        <w:separator/>
      </w:r>
    </w:p>
  </w:endnote>
  <w:endnote w:type="continuationSeparator" w:id="0">
    <w:p w14:paraId="673012CC" w14:textId="77777777" w:rsidR="00AD30A2" w:rsidRDefault="00AD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9018ECD" w14:textId="77777777" w:rsidTr="00E31DCE">
      <w:trPr>
        <w:jc w:val="center"/>
      </w:trPr>
      <w:tc>
        <w:tcPr>
          <w:tcW w:w="1803" w:type="dxa"/>
          <w:vAlign w:val="center"/>
        </w:tcPr>
        <w:p w14:paraId="602B4B8C" w14:textId="14686F29" w:rsidR="00E24D59" w:rsidRDefault="007015E7" w:rsidP="00E24D59">
          <w:pPr>
            <w:pStyle w:val="Header"/>
            <w:jc w:val="left"/>
            <w:rPr>
              <w:noProof/>
            </w:rPr>
          </w:pPr>
          <w:r>
            <w:rPr>
              <w:noProof/>
            </w:rPr>
            <w:t>R2400822</w:t>
          </w:r>
        </w:p>
      </w:tc>
      <w:tc>
        <w:tcPr>
          <w:tcW w:w="8261" w:type="dxa"/>
        </w:tcPr>
        <w:p w14:paraId="77FE11E6" w14:textId="5ED0A16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D30A2">
            <w:rPr>
              <w:rFonts w:eastAsiaTheme="minorEastAsia" w:hint="eastAsia"/>
              <w:bCs/>
              <w:lang w:eastAsia="zh-CN"/>
            </w:rPr>
            <w:t>79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BD03E30"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604AA3C" w14:textId="77777777" w:rsidTr="00E31DCE">
      <w:trPr>
        <w:jc w:val="center"/>
      </w:trPr>
      <w:tc>
        <w:tcPr>
          <w:tcW w:w="1803" w:type="dxa"/>
          <w:vAlign w:val="center"/>
        </w:tcPr>
        <w:p w14:paraId="7A0AD8B5" w14:textId="77777777" w:rsidR="00E24D59" w:rsidRDefault="00E24D59" w:rsidP="00E24D59">
          <w:pPr>
            <w:pStyle w:val="Header"/>
            <w:jc w:val="left"/>
            <w:rPr>
              <w:noProof/>
            </w:rPr>
          </w:pPr>
          <w:r w:rsidRPr="00B93453">
            <w:rPr>
              <w:color w:val="0563C1"/>
              <w:szCs w:val="14"/>
            </w:rPr>
            <w:t>www.itu.int/council</w:t>
          </w:r>
        </w:p>
      </w:tc>
      <w:tc>
        <w:tcPr>
          <w:tcW w:w="8261" w:type="dxa"/>
        </w:tcPr>
        <w:p w14:paraId="0D2881B5" w14:textId="7D7DE63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D30A2">
            <w:rPr>
              <w:rFonts w:eastAsiaTheme="minorEastAsia" w:hint="eastAsia"/>
              <w:bCs/>
              <w:lang w:eastAsia="zh-CN"/>
            </w:rPr>
            <w:t>79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C03A373"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4298" w14:textId="77777777" w:rsidR="00AD30A2" w:rsidRDefault="00AD30A2">
      <w:r>
        <w:t>____________________</w:t>
      </w:r>
    </w:p>
  </w:footnote>
  <w:footnote w:type="continuationSeparator" w:id="0">
    <w:p w14:paraId="4F069E32" w14:textId="77777777" w:rsidR="00AD30A2" w:rsidRDefault="00AD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9B1241B" w14:textId="77777777" w:rsidTr="00E31DCE">
      <w:trPr>
        <w:trHeight w:val="1104"/>
        <w:jc w:val="center"/>
      </w:trPr>
      <w:tc>
        <w:tcPr>
          <w:tcW w:w="4390" w:type="dxa"/>
          <w:vAlign w:val="center"/>
        </w:tcPr>
        <w:p w14:paraId="26080BE9" w14:textId="77777777"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67AC9E58" wp14:editId="6443872F">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DBDC030" w14:textId="77777777" w:rsidR="00E24D59" w:rsidRDefault="00E24D59" w:rsidP="00E24D59">
          <w:pPr>
            <w:pStyle w:val="Header"/>
            <w:jc w:val="right"/>
            <w:rPr>
              <w:rFonts w:ascii="Arial" w:hAnsi="Arial" w:cs="Arial"/>
              <w:b/>
              <w:bCs/>
              <w:color w:val="009CD6"/>
              <w:szCs w:val="18"/>
            </w:rPr>
          </w:pPr>
        </w:p>
        <w:p w14:paraId="1382C369" w14:textId="77777777" w:rsidR="00E24D59" w:rsidRDefault="00E24D59" w:rsidP="00E24D59">
          <w:pPr>
            <w:pStyle w:val="Header"/>
            <w:jc w:val="right"/>
            <w:rPr>
              <w:rFonts w:ascii="Arial" w:hAnsi="Arial" w:cs="Arial"/>
              <w:b/>
              <w:bCs/>
              <w:color w:val="009CD6"/>
              <w:szCs w:val="18"/>
            </w:rPr>
          </w:pPr>
        </w:p>
        <w:p w14:paraId="1A8F620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6BC2C6B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DA60186" wp14:editId="3495374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DE1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F25F5D"/>
    <w:multiLevelType w:val="hybridMultilevel"/>
    <w:tmpl w:val="56C0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 w:numId="8" w16cid:durableId="1512718447">
    <w:abstractNumId w:val="7"/>
    <w:lvlOverride w:ilvl="0">
      <w:lvl w:ilvl="0" w:tplc="0809000F">
        <w:start w:val="1"/>
        <w:numFmt w:val="decimal"/>
        <w:lvlText w:val="%1."/>
        <w:lvlJc w:val="left"/>
        <w:pPr>
          <w:ind w:left="72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0D7AF7"/>
    <w:rsid w:val="00100D84"/>
    <w:rsid w:val="00124C9D"/>
    <w:rsid w:val="00157773"/>
    <w:rsid w:val="0018251A"/>
    <w:rsid w:val="00190272"/>
    <w:rsid w:val="00193244"/>
    <w:rsid w:val="00195C6C"/>
    <w:rsid w:val="00195FED"/>
    <w:rsid w:val="001A4BD6"/>
    <w:rsid w:val="001D5A18"/>
    <w:rsid w:val="00224449"/>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700D1F"/>
    <w:rsid w:val="007015E7"/>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D30A2"/>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55AD1"/>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7-C.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basic-texts-2023/RES-071-C.pdf" TargetMode="External"/><Relationship Id="rId4" Type="http://schemas.openxmlformats.org/officeDocument/2006/relationships/settings" Target="settings.xml"/><Relationship Id="rId9" Type="http://schemas.openxmlformats.org/officeDocument/2006/relationships/hyperlink" Target="https://www.itu.int/dms_pub/itu-d/opb/tdc/D-TDC-WTDC-2022-PDF-C.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1791</Words>
  <Characters>427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Chinese</dc:creator>
  <cp:keywords>C2024, C24 Council-24</cp:keywords>
  <dc:description/>
  <cp:lastModifiedBy>Brouard, Ricarda</cp:lastModifiedBy>
  <cp:revision>2</cp:revision>
  <cp:lastPrinted>2015-02-24T13:23:00Z</cp:lastPrinted>
  <dcterms:created xsi:type="dcterms:W3CDTF">2024-05-24T07:05:00Z</dcterms:created>
  <dcterms:modified xsi:type="dcterms:W3CDTF">2024-05-24T07:05:00Z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