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0AD3606">
        <w:trPr>
          <w:cantSplit/>
          <w:trHeight w:val="23"/>
        </w:trPr>
        <w:tc>
          <w:tcPr>
            <w:tcW w:w="3969" w:type="dxa"/>
            <w:vMerge w:val="restart"/>
            <w:tcMar>
              <w:left w:w="0" w:type="dxa"/>
            </w:tcMar>
          </w:tcPr>
          <w:p w14:paraId="60A806D3" w14:textId="207A699B"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053272">
              <w:rPr>
                <w:b/>
              </w:rPr>
              <w:t>PL 2</w:t>
            </w:r>
          </w:p>
        </w:tc>
        <w:tc>
          <w:tcPr>
            <w:tcW w:w="5245" w:type="dxa"/>
          </w:tcPr>
          <w:p w14:paraId="291AB2A2" w14:textId="57E827E4"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053272">
              <w:rPr>
                <w:b/>
              </w:rPr>
              <w:t>76</w:t>
            </w:r>
            <w:r>
              <w:rPr>
                <w:b/>
              </w:rPr>
              <w:t>-E</w:t>
            </w:r>
          </w:p>
        </w:tc>
      </w:tr>
      <w:tr w:rsidR="00AD3606" w:rsidRPr="00813E5E" w14:paraId="789B45BA" w14:textId="77777777" w:rsidTr="00AD360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261F7769" w:rsidR="00AD3606" w:rsidRPr="00E85629" w:rsidRDefault="00053272" w:rsidP="00AD3606">
            <w:pPr>
              <w:tabs>
                <w:tab w:val="left" w:pos="851"/>
              </w:tabs>
              <w:spacing w:before="0"/>
              <w:jc w:val="right"/>
              <w:rPr>
                <w:b/>
              </w:rPr>
            </w:pPr>
            <w:r>
              <w:rPr>
                <w:b/>
              </w:rPr>
              <w:t>21 May</w:t>
            </w:r>
            <w:r w:rsidR="00AD3606">
              <w:rPr>
                <w:b/>
              </w:rPr>
              <w:t xml:space="preserve"> 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1240D7D5" w:rsidR="00AD3606" w:rsidRPr="006850BE" w:rsidRDefault="00F513E3" w:rsidP="006850BE">
            <w:pPr>
              <w:pStyle w:val="Source"/>
              <w:framePr w:hSpace="0" w:wrap="auto" w:vAnchor="margin" w:hAnchor="text" w:xAlign="left" w:yAlign="inline"/>
            </w:pPr>
            <w:bookmarkStart w:id="8" w:name="dsource" w:colFirst="0" w:colLast="0"/>
            <w:bookmarkEnd w:id="7"/>
            <w:r>
              <w:t xml:space="preserve">Contribution by Australia </w:t>
            </w:r>
          </w:p>
        </w:tc>
      </w:tr>
      <w:tr w:rsidR="00AD3606" w:rsidRPr="00813E5E" w14:paraId="2340750D" w14:textId="77777777" w:rsidTr="00AD3606">
        <w:trPr>
          <w:cantSplit/>
        </w:trPr>
        <w:tc>
          <w:tcPr>
            <w:tcW w:w="9214" w:type="dxa"/>
            <w:gridSpan w:val="2"/>
            <w:tcMar>
              <w:left w:w="0" w:type="dxa"/>
            </w:tcMar>
          </w:tcPr>
          <w:p w14:paraId="47B91AA8" w14:textId="2273858D" w:rsidR="00AD3606" w:rsidRPr="006850BE" w:rsidRDefault="00053272" w:rsidP="006850BE">
            <w:pPr>
              <w:pStyle w:val="Subtitle"/>
              <w:framePr w:hSpace="0" w:wrap="auto" w:xAlign="left" w:yAlign="inline"/>
            </w:pPr>
            <w:bookmarkStart w:id="9" w:name="dtitle1" w:colFirst="0" w:colLast="0"/>
            <w:bookmarkEnd w:id="8"/>
            <w:r>
              <w:t>THEME FOR THE WORLD TELECOMMUNICATION/ICT POLICY FORUM 2026 (WTPF-26)</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1CBFE1AF" w:rsidR="00AD3606" w:rsidRPr="00F16BAB" w:rsidRDefault="00F16BAB" w:rsidP="00F16BAB">
            <w:pPr>
              <w:spacing w:before="160"/>
              <w:rPr>
                <w:b/>
                <w:bCs/>
                <w:sz w:val="26"/>
                <w:szCs w:val="26"/>
              </w:rPr>
            </w:pPr>
            <w:r w:rsidRPr="00F16BAB">
              <w:rPr>
                <w:b/>
                <w:bCs/>
                <w:sz w:val="26"/>
                <w:szCs w:val="26"/>
              </w:rPr>
              <w:t>Purpose</w:t>
            </w:r>
          </w:p>
          <w:p w14:paraId="3956F566" w14:textId="6D76821B" w:rsidR="00F513E3" w:rsidRPr="00BE7F8C" w:rsidRDefault="00F513E3" w:rsidP="00F513E3">
            <w:pPr>
              <w:jc w:val="both"/>
            </w:pPr>
            <w:r w:rsidRPr="00920479">
              <w:t xml:space="preserve">Resolution 2 (Rev. Bucharest, 2022) of the Plenipotentiary Conference resolves to hold the </w:t>
            </w:r>
            <w:r w:rsidR="002D5EE3">
              <w:t>W</w:t>
            </w:r>
            <w:r w:rsidRPr="00920479">
              <w:t xml:space="preserve">orld </w:t>
            </w:r>
            <w:r w:rsidR="002D5EE3">
              <w:t>T</w:t>
            </w:r>
            <w:r w:rsidRPr="00920479">
              <w:t xml:space="preserve">elecommunication/ICT </w:t>
            </w:r>
            <w:r w:rsidR="002D5EE3">
              <w:t>P</w:t>
            </w:r>
            <w:r w:rsidRPr="00920479">
              <w:t xml:space="preserve">olicy </w:t>
            </w:r>
            <w:r w:rsidR="002D5EE3">
              <w:t>F</w:t>
            </w:r>
            <w:r w:rsidRPr="00920479">
              <w:t>orum (WTPF)</w:t>
            </w:r>
            <w:r>
              <w:t xml:space="preserve"> and </w:t>
            </w:r>
            <w:r w:rsidRPr="00BE7F8C">
              <w:t>instructs the ITU Council to:</w:t>
            </w:r>
          </w:p>
          <w:p w14:paraId="5811138F" w14:textId="77777777" w:rsidR="00F513E3" w:rsidRPr="00BE7F8C" w:rsidRDefault="00F513E3" w:rsidP="00F513E3">
            <w:pPr>
              <w:numPr>
                <w:ilvl w:val="0"/>
                <w:numId w:val="2"/>
              </w:numPr>
              <w:jc w:val="both"/>
            </w:pPr>
            <w:r w:rsidRPr="00BE7F8C">
              <w:rPr>
                <w:b/>
                <w:bCs/>
              </w:rPr>
              <w:tab/>
              <w:t>decide</w:t>
            </w:r>
            <w:r w:rsidRPr="00BE7F8C">
              <w:t xml:space="preserve"> on the duration, date, venue, agenda and themes of any future WTPF;</w:t>
            </w:r>
          </w:p>
          <w:p w14:paraId="2228360F" w14:textId="77777777" w:rsidR="00F513E3" w:rsidRPr="00BE7F8C" w:rsidRDefault="00F513E3" w:rsidP="00F513E3">
            <w:pPr>
              <w:numPr>
                <w:ilvl w:val="0"/>
                <w:numId w:val="2"/>
              </w:numPr>
              <w:jc w:val="both"/>
            </w:pPr>
            <w:r w:rsidRPr="00BE7F8C">
              <w:tab/>
            </w:r>
            <w:r w:rsidRPr="00BE7F8C">
              <w:rPr>
                <w:b/>
                <w:bCs/>
              </w:rPr>
              <w:t>adopt</w:t>
            </w:r>
            <w:r w:rsidRPr="00BE7F8C">
              <w:t xml:space="preserve"> a procedure for preparation of the report by the Secretary-General to WTPF.</w:t>
            </w:r>
          </w:p>
          <w:p w14:paraId="7BAEA082" w14:textId="77777777" w:rsidR="00F513E3" w:rsidRPr="00813E5E" w:rsidRDefault="00F513E3" w:rsidP="00F513E3">
            <w:pPr>
              <w:jc w:val="both"/>
            </w:pPr>
            <w:r>
              <w:rPr>
                <w:rFonts w:cs="Calibri"/>
                <w:szCs w:val="24"/>
                <w:lang w:eastAsia="zh-CN"/>
              </w:rPr>
              <w:t xml:space="preserve">The Plenipotentiary Conference </w:t>
            </w:r>
            <w:r w:rsidRPr="00600ACD">
              <w:rPr>
                <w:rFonts w:asciiTheme="minorHAnsi" w:hAnsiTheme="minorHAnsi"/>
                <w:szCs w:val="24"/>
                <w:lang w:val="en-CA"/>
              </w:rPr>
              <w:t>also instruct</w:t>
            </w:r>
            <w:r>
              <w:rPr>
                <w:rFonts w:asciiTheme="minorHAnsi" w:hAnsiTheme="minorHAnsi"/>
                <w:szCs w:val="24"/>
                <w:lang w:val="en-CA"/>
              </w:rPr>
              <w:t>ed</w:t>
            </w:r>
            <w:r w:rsidRPr="00600ACD">
              <w:rPr>
                <w:rFonts w:asciiTheme="minorHAnsi" w:hAnsiTheme="minorHAnsi"/>
                <w:szCs w:val="24"/>
                <w:lang w:val="en-CA"/>
              </w:rPr>
              <w:t xml:space="preserve"> the Council to schedule a WTPF in 2026</w:t>
            </w:r>
            <w:r>
              <w:rPr>
                <w:rFonts w:asciiTheme="minorHAnsi" w:hAnsiTheme="minorHAnsi"/>
                <w:szCs w:val="24"/>
                <w:lang w:val="en-CA"/>
              </w:rPr>
              <w:t xml:space="preserve">. </w:t>
            </w:r>
            <w:r>
              <w:t xml:space="preserve">Contribution C/24-5 proposes a timeline for WTPF-26 and invites Council to provide guidance on this. </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5F2D2238" w14:textId="5300B2DC" w:rsidR="00F513E3" w:rsidRPr="0045477E" w:rsidRDefault="006670F0" w:rsidP="00F513E3">
            <w:r>
              <w:t>Australia</w:t>
            </w:r>
            <w:r w:rsidR="00F513E3">
              <w:t xml:space="preserve"> propose</w:t>
            </w:r>
            <w:r>
              <w:t>s</w:t>
            </w:r>
            <w:r w:rsidR="00F513E3">
              <w:t xml:space="preserve"> that Council should adopt the timeline proposed in C24</w:t>
            </w:r>
            <w:r w:rsidR="00053272">
              <w:t>/</w:t>
            </w:r>
            <w:r w:rsidR="00F513E3">
              <w:t>5 and decide on the follow</w:t>
            </w:r>
            <w:r w:rsidR="002D5EE3">
              <w:t>ing</w:t>
            </w:r>
            <w:r w:rsidR="00F513E3">
              <w:t xml:space="preserve"> theme for WTPF-26:</w:t>
            </w:r>
          </w:p>
          <w:p w14:paraId="03B82DA6" w14:textId="2DA102D1" w:rsidR="00657BF9" w:rsidRDefault="00F513E3" w:rsidP="00F513E3">
            <w:pPr>
              <w:rPr>
                <w:b/>
                <w:bCs/>
              </w:rPr>
            </w:pPr>
            <w:bookmarkStart w:id="10" w:name="_Hlk166859519"/>
            <w:bookmarkStart w:id="11" w:name="_Hlk166855440"/>
            <w:r w:rsidRPr="5A854A2C">
              <w:rPr>
                <w:b/>
                <w:bCs/>
              </w:rPr>
              <w:t>“</w:t>
            </w:r>
            <w:r w:rsidR="004B4735" w:rsidRPr="004B4735">
              <w:rPr>
                <w:b/>
                <w:bCs/>
              </w:rPr>
              <w:t>Policies to advance digital skills to increase diversity, promote gender equality and empower women in education, skills development and the ICT workforce, and promote diverse perspectives in the development of technology and its standards</w:t>
            </w:r>
            <w:r w:rsidR="00657BF9">
              <w:rPr>
                <w:b/>
                <w:bCs/>
              </w:rPr>
              <w:t>.”</w:t>
            </w:r>
          </w:p>
          <w:bookmarkEnd w:id="10"/>
          <w:p w14:paraId="2AAB18B0" w14:textId="77777777" w:rsidR="00AD3606" w:rsidRPr="00053272" w:rsidRDefault="00AD3606" w:rsidP="00F16BAB">
            <w:pPr>
              <w:spacing w:before="160"/>
              <w:rPr>
                <w:caps/>
                <w:sz w:val="22"/>
                <w:lang w:val="fr-CH"/>
              </w:rPr>
            </w:pPr>
            <w:r w:rsidRPr="00053272">
              <w:rPr>
                <w:sz w:val="22"/>
                <w:lang w:val="fr-CH"/>
              </w:rPr>
              <w:t>__________________</w:t>
            </w:r>
          </w:p>
          <w:bookmarkEnd w:id="11"/>
          <w:p w14:paraId="34D0D3E9" w14:textId="77777777" w:rsidR="006670F0" w:rsidRPr="00053272" w:rsidRDefault="00AD3606" w:rsidP="00F16BAB">
            <w:pPr>
              <w:spacing w:before="160"/>
              <w:rPr>
                <w:lang w:val="fr-CH"/>
              </w:rPr>
            </w:pPr>
            <w:r w:rsidRPr="00053272">
              <w:rPr>
                <w:b/>
                <w:bCs/>
                <w:sz w:val="26"/>
                <w:szCs w:val="26"/>
                <w:lang w:val="fr-CH"/>
              </w:rPr>
              <w:t>References</w:t>
            </w:r>
            <w:r w:rsidR="00683BB5" w:rsidRPr="00053272">
              <w:rPr>
                <w:b/>
                <w:bCs/>
                <w:sz w:val="26"/>
                <w:szCs w:val="26"/>
                <w:lang w:val="fr-CH"/>
              </w:rPr>
              <w:t xml:space="preserve"> </w:t>
            </w:r>
            <w:r w:rsidR="001034E8" w:rsidRPr="00053272">
              <w:rPr>
                <w:lang w:val="fr-CH"/>
              </w:rPr>
              <w:t xml:space="preserve"> </w:t>
            </w:r>
          </w:p>
          <w:p w14:paraId="3F54C97F" w14:textId="4EFFC669" w:rsidR="008F0E50" w:rsidRPr="00891FEC" w:rsidRDefault="00053272" w:rsidP="00053272">
            <w:pPr>
              <w:spacing w:before="160"/>
              <w:rPr>
                <w:i/>
                <w:iCs/>
                <w:sz w:val="22"/>
                <w:szCs w:val="22"/>
              </w:rPr>
            </w:pPr>
            <w:r w:rsidRPr="00891FEC">
              <w:rPr>
                <w:i/>
                <w:iCs/>
                <w:sz w:val="22"/>
                <w:szCs w:val="22"/>
                <w:lang w:val="en-GB"/>
              </w:rPr>
              <w:t xml:space="preserve">Council documents </w:t>
            </w:r>
            <w:hyperlink r:id="rId8" w:history="1">
              <w:r w:rsidRPr="00891FEC">
                <w:rPr>
                  <w:rStyle w:val="Hyperlink"/>
                  <w:i/>
                  <w:iCs/>
                  <w:sz w:val="22"/>
                  <w:szCs w:val="22"/>
                  <w:lang w:val="en-GB"/>
                </w:rPr>
                <w:t>C24/5</w:t>
              </w:r>
            </w:hyperlink>
            <w:r w:rsidRPr="00891FEC">
              <w:rPr>
                <w:i/>
                <w:iCs/>
                <w:sz w:val="22"/>
                <w:szCs w:val="22"/>
                <w:lang w:val="en-GB"/>
              </w:rPr>
              <w:t xml:space="preserve">, </w:t>
            </w:r>
            <w:hyperlink r:id="rId9" w:history="1">
              <w:r w:rsidRPr="00891FEC">
                <w:rPr>
                  <w:rStyle w:val="Hyperlink"/>
                  <w:i/>
                  <w:iCs/>
                  <w:sz w:val="22"/>
                  <w:szCs w:val="22"/>
                  <w:lang w:val="en-GB"/>
                </w:rPr>
                <w:t>C24/6 </w:t>
              </w:r>
            </w:hyperlink>
            <w:r w:rsidRPr="00891FEC">
              <w:rPr>
                <w:i/>
                <w:iCs/>
                <w:sz w:val="22"/>
                <w:szCs w:val="22"/>
                <w:lang w:val="en-GB"/>
              </w:rPr>
              <w:t xml:space="preserve">; </w:t>
            </w:r>
            <w:hyperlink r:id="rId10" w:history="1">
              <w:r w:rsidR="008F0E50" w:rsidRPr="00891FEC">
                <w:rPr>
                  <w:rStyle w:val="Hyperlink"/>
                  <w:i/>
                  <w:iCs/>
                  <w:sz w:val="22"/>
                  <w:szCs w:val="22"/>
                </w:rPr>
                <w:t>ITU Plenipotentiary Resolution 2 (Rev. Bucharest, 2022)</w:t>
              </w:r>
            </w:hyperlink>
          </w:p>
          <w:p w14:paraId="7A4A46BE" w14:textId="7938E443" w:rsidR="008F0E50" w:rsidRDefault="00891FEC" w:rsidP="00891FEC">
            <w:pPr>
              <w:spacing w:before="0"/>
            </w:pPr>
            <w:hyperlink r:id="rId11" w:history="1">
              <w:r w:rsidR="008F0E50" w:rsidRPr="00891FEC">
                <w:rPr>
                  <w:rStyle w:val="Hyperlink"/>
                  <w:i/>
                  <w:iCs/>
                  <w:sz w:val="22"/>
                  <w:szCs w:val="22"/>
                </w:rPr>
                <w:t>ITU Plenipotentiary Resolution 70 (Rev. Bucharest, 2022)</w:t>
              </w:r>
            </w:hyperlink>
          </w:p>
          <w:p w14:paraId="0175CD6C" w14:textId="10538664" w:rsidR="00881957" w:rsidRDefault="00881957" w:rsidP="002D5EE3">
            <w:pPr>
              <w:spacing w:before="160"/>
            </w:pPr>
          </w:p>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2"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2"/>
    <w:p w14:paraId="192D340E" w14:textId="77777777" w:rsidR="00053272" w:rsidRDefault="00053272">
      <w:pPr>
        <w:tabs>
          <w:tab w:val="clear" w:pos="567"/>
          <w:tab w:val="clear" w:pos="1134"/>
          <w:tab w:val="clear" w:pos="1701"/>
          <w:tab w:val="clear" w:pos="2268"/>
          <w:tab w:val="clear" w:pos="2835"/>
        </w:tabs>
        <w:overflowPunct/>
        <w:autoSpaceDE/>
        <w:autoSpaceDN/>
        <w:adjustRightInd/>
        <w:spacing w:before="0"/>
        <w:textAlignment w:val="auto"/>
        <w:rPr>
          <w:b/>
          <w:szCs w:val="24"/>
          <w:lang w:val="en-029"/>
        </w:rPr>
        <w:sectPr w:rsidR="00053272"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pPr>
    </w:p>
    <w:p w14:paraId="257674B4" w14:textId="063F6825" w:rsidR="00A514A4" w:rsidRPr="00053272" w:rsidRDefault="00475501" w:rsidP="007A3A90">
      <w:pPr>
        <w:tabs>
          <w:tab w:val="clear" w:pos="567"/>
          <w:tab w:val="clear" w:pos="1134"/>
          <w:tab w:val="clear" w:pos="1701"/>
          <w:tab w:val="clear" w:pos="2268"/>
          <w:tab w:val="clear" w:pos="2835"/>
        </w:tabs>
        <w:overflowPunct/>
        <w:autoSpaceDE/>
        <w:autoSpaceDN/>
        <w:adjustRightInd/>
        <w:spacing w:after="120"/>
        <w:textAlignment w:val="auto"/>
        <w:rPr>
          <w:b/>
          <w:szCs w:val="24"/>
          <w:lang w:val="en-029"/>
        </w:rPr>
      </w:pPr>
      <w:r w:rsidRPr="00053272">
        <w:rPr>
          <w:b/>
          <w:szCs w:val="24"/>
          <w:lang w:val="en-029"/>
        </w:rPr>
        <w:lastRenderedPageBreak/>
        <w:t>Introduction</w:t>
      </w:r>
    </w:p>
    <w:p w14:paraId="57F8A4F9" w14:textId="7AACCD4E" w:rsidR="00952B8C" w:rsidRPr="00053272" w:rsidRDefault="00B944DF" w:rsidP="007A3A90">
      <w:pPr>
        <w:pStyle w:val="PlainText"/>
        <w:spacing w:before="120" w:after="120"/>
        <w:rPr>
          <w:sz w:val="23"/>
          <w:szCs w:val="23"/>
        </w:rPr>
      </w:pPr>
      <w:bookmarkStart w:id="14" w:name="_Hlk167178937"/>
      <w:bookmarkStart w:id="15" w:name="_Hlk167086984"/>
      <w:bookmarkStart w:id="16" w:name="_Hlk167087048"/>
      <w:r w:rsidRPr="00053272">
        <w:rPr>
          <w:sz w:val="23"/>
          <w:szCs w:val="23"/>
        </w:rPr>
        <w:t>T</w:t>
      </w:r>
      <w:r w:rsidR="00952B8C" w:rsidRPr="00053272">
        <w:rPr>
          <w:sz w:val="23"/>
          <w:szCs w:val="23"/>
        </w:rPr>
        <w:t xml:space="preserve">he United Nations Development Programme (UNDP) </w:t>
      </w:r>
      <w:r w:rsidRPr="00053272">
        <w:rPr>
          <w:sz w:val="23"/>
          <w:szCs w:val="23"/>
        </w:rPr>
        <w:t>reported the regional disparities in women’s</w:t>
      </w:r>
      <w:r w:rsidR="00952B8C" w:rsidRPr="00053272">
        <w:rPr>
          <w:sz w:val="23"/>
          <w:szCs w:val="23"/>
        </w:rPr>
        <w:t xml:space="preserve"> digital literacy</w:t>
      </w:r>
      <w:r w:rsidR="007A7319" w:rsidRPr="00053272">
        <w:rPr>
          <w:sz w:val="23"/>
          <w:szCs w:val="23"/>
        </w:rPr>
        <w:t>, with</w:t>
      </w:r>
      <w:r w:rsidR="00952B8C" w:rsidRPr="00053272">
        <w:rPr>
          <w:sz w:val="23"/>
          <w:szCs w:val="23"/>
        </w:rPr>
        <w:t xml:space="preserve"> men </w:t>
      </w:r>
      <w:r w:rsidR="007A7319" w:rsidRPr="00053272">
        <w:rPr>
          <w:sz w:val="23"/>
          <w:szCs w:val="23"/>
        </w:rPr>
        <w:t>being</w:t>
      </w:r>
      <w:r w:rsidR="00952B8C" w:rsidRPr="00053272">
        <w:rPr>
          <w:sz w:val="23"/>
          <w:szCs w:val="23"/>
        </w:rPr>
        <w:t xml:space="preserve"> 52 percent</w:t>
      </w:r>
      <w:r w:rsidRPr="00053272">
        <w:rPr>
          <w:sz w:val="23"/>
          <w:szCs w:val="23"/>
        </w:rPr>
        <w:t xml:space="preserve"> more likely to be online than women</w:t>
      </w:r>
      <w:r w:rsidR="00952B8C" w:rsidRPr="00053272">
        <w:rPr>
          <w:sz w:val="23"/>
          <w:szCs w:val="23"/>
        </w:rPr>
        <w:t xml:space="preserve"> in least developed countries</w:t>
      </w:r>
      <w:r w:rsidRPr="00053272">
        <w:rPr>
          <w:sz w:val="23"/>
          <w:szCs w:val="23"/>
        </w:rPr>
        <w:t>, as compared to 21 percent globally</w:t>
      </w:r>
      <w:r w:rsidR="00952B8C" w:rsidRPr="00053272">
        <w:rPr>
          <w:sz w:val="23"/>
          <w:szCs w:val="23"/>
        </w:rPr>
        <w:t xml:space="preserve">. </w:t>
      </w:r>
      <w:r w:rsidR="002D5EE3" w:rsidRPr="00053272">
        <w:rPr>
          <w:sz w:val="23"/>
          <w:szCs w:val="23"/>
        </w:rPr>
        <w:t>The UNDP</w:t>
      </w:r>
      <w:r w:rsidR="007A7319" w:rsidRPr="00053272">
        <w:rPr>
          <w:sz w:val="23"/>
          <w:szCs w:val="23"/>
        </w:rPr>
        <w:t xml:space="preserve"> further</w:t>
      </w:r>
      <w:r w:rsidR="00952B8C" w:rsidRPr="00053272">
        <w:rPr>
          <w:sz w:val="23"/>
          <w:szCs w:val="23"/>
        </w:rPr>
        <w:t xml:space="preserve"> state</w:t>
      </w:r>
      <w:r w:rsidR="007054AB" w:rsidRPr="00053272">
        <w:rPr>
          <w:sz w:val="23"/>
          <w:szCs w:val="23"/>
        </w:rPr>
        <w:t>s</w:t>
      </w:r>
      <w:r w:rsidR="00952B8C" w:rsidRPr="00053272">
        <w:rPr>
          <w:sz w:val="23"/>
          <w:szCs w:val="23"/>
        </w:rPr>
        <w:t xml:space="preserve"> that women’s full participation and decision-making in innovation, technological change and digitalisation is a prerequisite to deliver transformative impact </w:t>
      </w:r>
      <w:proofErr w:type="gramStart"/>
      <w:r w:rsidR="007A7319" w:rsidRPr="00053272">
        <w:rPr>
          <w:sz w:val="23"/>
          <w:szCs w:val="23"/>
        </w:rPr>
        <w:t xml:space="preserve">in order </w:t>
      </w:r>
      <w:r w:rsidR="00952B8C" w:rsidRPr="00053272">
        <w:rPr>
          <w:sz w:val="23"/>
          <w:szCs w:val="23"/>
        </w:rPr>
        <w:t>to</w:t>
      </w:r>
      <w:proofErr w:type="gramEnd"/>
      <w:r w:rsidR="00952B8C" w:rsidRPr="00053272">
        <w:rPr>
          <w:sz w:val="23"/>
          <w:szCs w:val="23"/>
        </w:rPr>
        <w:t xml:space="preserve"> achieve the Sustainable Development Goals</w:t>
      </w:r>
      <w:r w:rsidR="00952B8C" w:rsidRPr="00053272">
        <w:rPr>
          <w:rStyle w:val="FootnoteReference"/>
          <w:sz w:val="20"/>
          <w:szCs w:val="20"/>
        </w:rPr>
        <w:footnoteReference w:id="2"/>
      </w:r>
      <w:r w:rsidR="00952B8C" w:rsidRPr="00053272">
        <w:rPr>
          <w:sz w:val="23"/>
          <w:szCs w:val="23"/>
        </w:rPr>
        <w:t xml:space="preserve">. </w:t>
      </w:r>
      <w:r w:rsidR="002D5EE3" w:rsidRPr="00053272">
        <w:rPr>
          <w:sz w:val="23"/>
          <w:szCs w:val="23"/>
        </w:rPr>
        <w:t>ITU’s Facts and Figures 2023 Report</w:t>
      </w:r>
      <w:r w:rsidR="002D5EE3" w:rsidRPr="00053272">
        <w:rPr>
          <w:rStyle w:val="FootnoteReference"/>
          <w:sz w:val="20"/>
          <w:szCs w:val="20"/>
        </w:rPr>
        <w:footnoteReference w:id="3"/>
      </w:r>
      <w:r w:rsidR="002D5EE3" w:rsidRPr="00053272">
        <w:rPr>
          <w:sz w:val="23"/>
          <w:szCs w:val="23"/>
        </w:rPr>
        <w:t xml:space="preserve"> highlights that women are still overrepresented in the global offline population, outnumbering men by 17 percent and being 8 percent less likely to own a mobile phone.</w:t>
      </w:r>
    </w:p>
    <w:p w14:paraId="05C56FEF" w14:textId="571EA469" w:rsidR="00D64F03" w:rsidRPr="00053272" w:rsidRDefault="00952B8C" w:rsidP="007A3A90">
      <w:pPr>
        <w:pStyle w:val="PlainText"/>
        <w:spacing w:before="120" w:after="120"/>
        <w:rPr>
          <w:sz w:val="23"/>
          <w:szCs w:val="23"/>
        </w:rPr>
      </w:pPr>
      <w:r w:rsidRPr="00053272">
        <w:rPr>
          <w:sz w:val="23"/>
          <w:szCs w:val="23"/>
        </w:rPr>
        <w:t xml:space="preserve">Technology often reflects the society in which it is created, </w:t>
      </w:r>
      <w:proofErr w:type="gramStart"/>
      <w:r w:rsidRPr="00053272">
        <w:rPr>
          <w:sz w:val="23"/>
          <w:szCs w:val="23"/>
        </w:rPr>
        <w:t>developed</w:t>
      </w:r>
      <w:proofErr w:type="gramEnd"/>
      <w:r w:rsidRPr="00053272">
        <w:rPr>
          <w:sz w:val="23"/>
          <w:szCs w:val="23"/>
        </w:rPr>
        <w:t xml:space="preserve"> and used. Where gender inequality and discrimination against women and girls persist, there will also be disparities in access </w:t>
      </w:r>
      <w:r w:rsidR="007A7319" w:rsidRPr="00053272">
        <w:rPr>
          <w:sz w:val="23"/>
          <w:szCs w:val="23"/>
        </w:rPr>
        <w:t xml:space="preserve">to </w:t>
      </w:r>
      <w:r w:rsidRPr="00053272">
        <w:rPr>
          <w:sz w:val="23"/>
          <w:szCs w:val="23"/>
        </w:rPr>
        <w:t xml:space="preserve">and utilisation of telecommunications/ICTs. </w:t>
      </w:r>
      <w:bookmarkEnd w:id="14"/>
      <w:r w:rsidR="00D64F03" w:rsidRPr="00053272">
        <w:rPr>
          <w:sz w:val="23"/>
          <w:szCs w:val="23"/>
        </w:rPr>
        <w:t xml:space="preserve">The under-representation of women in the design, </w:t>
      </w:r>
      <w:proofErr w:type="gramStart"/>
      <w:r w:rsidR="00D64F03" w:rsidRPr="00053272">
        <w:rPr>
          <w:sz w:val="23"/>
          <w:szCs w:val="23"/>
        </w:rPr>
        <w:t>development</w:t>
      </w:r>
      <w:proofErr w:type="gramEnd"/>
      <w:r w:rsidR="00D64F03" w:rsidRPr="00053272">
        <w:rPr>
          <w:sz w:val="23"/>
          <w:szCs w:val="23"/>
        </w:rPr>
        <w:t xml:space="preserve"> and use of technologies</w:t>
      </w:r>
      <w:r w:rsidR="00DE0F47" w:rsidRPr="00053272">
        <w:rPr>
          <w:rStyle w:val="FootnoteReference"/>
          <w:sz w:val="20"/>
          <w:szCs w:val="20"/>
        </w:rPr>
        <w:footnoteReference w:id="4"/>
      </w:r>
      <w:r w:rsidR="00D64F03" w:rsidRPr="00053272">
        <w:rPr>
          <w:sz w:val="23"/>
          <w:szCs w:val="23"/>
        </w:rPr>
        <w:t xml:space="preserve"> is a significant concern, given the increasingly central role these technologies play in all aspects of life. This gap denies opportunities for women to access and use technology, which can have profound implications for both women and broader society. </w:t>
      </w:r>
    </w:p>
    <w:bookmarkEnd w:id="15"/>
    <w:bookmarkEnd w:id="16"/>
    <w:p w14:paraId="2A2A846B" w14:textId="09A48F5A" w:rsidR="002D5EE3" w:rsidRPr="00053272" w:rsidRDefault="002D5EE3" w:rsidP="007A3A90">
      <w:pPr>
        <w:pStyle w:val="PlainText"/>
        <w:spacing w:before="120" w:after="120"/>
        <w:rPr>
          <w:sz w:val="23"/>
          <w:szCs w:val="23"/>
        </w:rPr>
      </w:pPr>
      <w:r w:rsidRPr="00053272">
        <w:rPr>
          <w:sz w:val="23"/>
          <w:szCs w:val="23"/>
        </w:rPr>
        <w:t>The importance of enhancing women’s participation in technology and leadership roles cannot be overstated.</w:t>
      </w:r>
      <w:r w:rsidR="009F5455" w:rsidRPr="00053272">
        <w:rPr>
          <w:sz w:val="23"/>
          <w:szCs w:val="23"/>
        </w:rPr>
        <w:t xml:space="preserve"> </w:t>
      </w:r>
      <w:r w:rsidR="00A561BF" w:rsidRPr="00053272">
        <w:rPr>
          <w:sz w:val="23"/>
          <w:szCs w:val="23"/>
        </w:rPr>
        <w:t xml:space="preserve">In fact, </w:t>
      </w:r>
      <w:r w:rsidR="009F5455" w:rsidRPr="00053272">
        <w:rPr>
          <w:sz w:val="23"/>
          <w:szCs w:val="23"/>
        </w:rPr>
        <w:t xml:space="preserve">ITU Plenipotentiary Resolution 70 (Rev. Bucharest, 2022) </w:t>
      </w:r>
      <w:r w:rsidR="000C2F81" w:rsidRPr="00053272">
        <w:rPr>
          <w:sz w:val="23"/>
          <w:szCs w:val="23"/>
        </w:rPr>
        <w:t>invites Member States and Sector Members</w:t>
      </w:r>
      <w:r w:rsidR="00D155CD" w:rsidRPr="00053272">
        <w:rPr>
          <w:sz w:val="23"/>
          <w:szCs w:val="23"/>
        </w:rPr>
        <w:t xml:space="preserve"> </w:t>
      </w:r>
      <w:r w:rsidR="009F5455" w:rsidRPr="00053272">
        <w:rPr>
          <w:sz w:val="23"/>
          <w:szCs w:val="23"/>
        </w:rPr>
        <w:t>“foster successful strategies to strengthen gender equality in senior-level positions in telecommunication/ICT administrations, government, regulatory bodies and intergovernmental organizations, including ITU, and in the private sector</w:t>
      </w:r>
      <w:r w:rsidR="000C06DB" w:rsidRPr="00053272">
        <w:rPr>
          <w:sz w:val="23"/>
          <w:szCs w:val="23"/>
        </w:rPr>
        <w:t>.</w:t>
      </w:r>
      <w:r w:rsidR="009F5455" w:rsidRPr="00053272">
        <w:rPr>
          <w:sz w:val="23"/>
          <w:szCs w:val="23"/>
        </w:rPr>
        <w:t xml:space="preserve">” </w:t>
      </w:r>
    </w:p>
    <w:p w14:paraId="76450A50" w14:textId="39A492BB" w:rsidR="00881957" w:rsidRPr="00053272" w:rsidRDefault="000A747C" w:rsidP="007A3A90">
      <w:pPr>
        <w:pStyle w:val="PlainText"/>
        <w:spacing w:before="120" w:after="120"/>
        <w:rPr>
          <w:sz w:val="23"/>
          <w:szCs w:val="23"/>
        </w:rPr>
      </w:pPr>
      <w:r w:rsidRPr="00053272">
        <w:rPr>
          <w:sz w:val="23"/>
          <w:szCs w:val="23"/>
        </w:rPr>
        <w:t xml:space="preserve">ITU is currently </w:t>
      </w:r>
      <w:r w:rsidR="007A7319" w:rsidRPr="00053272">
        <w:rPr>
          <w:sz w:val="23"/>
          <w:szCs w:val="23"/>
        </w:rPr>
        <w:t>addressing</w:t>
      </w:r>
      <w:r w:rsidRPr="00053272">
        <w:rPr>
          <w:sz w:val="23"/>
          <w:szCs w:val="23"/>
        </w:rPr>
        <w:t xml:space="preserve"> some of these issues through study groups and initiatives, including the Network of Women. However, it is important that the Union’s efforts extend beyond purely technical skills to encompass a deeper understanding of how individuals’ behaviours and cultural norms intersect with technology. </w:t>
      </w:r>
      <w:r w:rsidR="00AA172A" w:rsidRPr="00053272">
        <w:rPr>
          <w:sz w:val="23"/>
          <w:szCs w:val="23"/>
        </w:rPr>
        <w:t xml:space="preserve">ITU has emphasised this need </w:t>
      </w:r>
      <w:r w:rsidR="00881957" w:rsidRPr="00053272">
        <w:rPr>
          <w:sz w:val="23"/>
          <w:szCs w:val="23"/>
        </w:rPr>
        <w:t xml:space="preserve">in </w:t>
      </w:r>
      <w:hyperlink r:id="rId15" w:history="1">
        <w:r w:rsidR="00881957" w:rsidRPr="00053272">
          <w:rPr>
            <w:rStyle w:val="Hyperlink"/>
            <w:sz w:val="23"/>
            <w:szCs w:val="23"/>
          </w:rPr>
          <w:t>C24</w:t>
        </w:r>
        <w:r w:rsidR="00053272" w:rsidRPr="00053272">
          <w:rPr>
            <w:rStyle w:val="Hyperlink"/>
            <w:sz w:val="23"/>
            <w:szCs w:val="23"/>
          </w:rPr>
          <w:t>/</w:t>
        </w:r>
        <w:r w:rsidR="00881957" w:rsidRPr="00053272">
          <w:rPr>
            <w:rStyle w:val="Hyperlink"/>
            <w:sz w:val="23"/>
            <w:szCs w:val="23"/>
          </w:rPr>
          <w:t>6</w:t>
        </w:r>
      </w:hyperlink>
      <w:r w:rsidR="00881957" w:rsidRPr="00053272">
        <w:rPr>
          <w:sz w:val="23"/>
          <w:szCs w:val="23"/>
        </w:rPr>
        <w:t>, requesting a “more concerted effort across ITU and its membership” to reinforce ITU’s work towards gender equality for a more equal and inclusive digital future for all.</w:t>
      </w:r>
    </w:p>
    <w:p w14:paraId="5751D19A" w14:textId="3BCD4F34" w:rsidR="00952B8C" w:rsidRPr="00053272" w:rsidRDefault="005F5467" w:rsidP="007A3A90">
      <w:pPr>
        <w:pStyle w:val="PlainText"/>
        <w:spacing w:before="120" w:after="120"/>
        <w:rPr>
          <w:sz w:val="23"/>
          <w:szCs w:val="23"/>
        </w:rPr>
      </w:pPr>
      <w:bookmarkStart w:id="17" w:name="_Hlk167180143"/>
      <w:bookmarkStart w:id="18" w:name="_Hlk167180435"/>
      <w:r w:rsidRPr="00053272">
        <w:rPr>
          <w:sz w:val="23"/>
          <w:szCs w:val="23"/>
        </w:rPr>
        <w:t xml:space="preserve">The urgency to address the issue of women’s underrepresentation in technology and leadership roles stems from the need to harness the full potential of talent, </w:t>
      </w:r>
      <w:proofErr w:type="gramStart"/>
      <w:r w:rsidRPr="00053272">
        <w:rPr>
          <w:sz w:val="23"/>
          <w:szCs w:val="23"/>
        </w:rPr>
        <w:t>drive</w:t>
      </w:r>
      <w:proofErr w:type="gramEnd"/>
      <w:r w:rsidR="007054AB" w:rsidRPr="00053272">
        <w:rPr>
          <w:sz w:val="23"/>
          <w:szCs w:val="23"/>
        </w:rPr>
        <w:t xml:space="preserve"> and</w:t>
      </w:r>
      <w:r w:rsidRPr="00053272">
        <w:rPr>
          <w:sz w:val="23"/>
          <w:szCs w:val="23"/>
        </w:rPr>
        <w:t xml:space="preserve"> innovation</w:t>
      </w:r>
      <w:r w:rsidR="00993184" w:rsidRPr="00053272">
        <w:rPr>
          <w:sz w:val="23"/>
          <w:szCs w:val="23"/>
        </w:rPr>
        <w:t xml:space="preserve">. This will facilitate the development of </w:t>
      </w:r>
      <w:bookmarkEnd w:id="17"/>
      <w:r w:rsidRPr="00053272">
        <w:rPr>
          <w:sz w:val="23"/>
          <w:szCs w:val="23"/>
        </w:rPr>
        <w:t xml:space="preserve">a more diverse, </w:t>
      </w:r>
      <w:proofErr w:type="gramStart"/>
      <w:r w:rsidRPr="00053272">
        <w:rPr>
          <w:sz w:val="23"/>
          <w:szCs w:val="23"/>
        </w:rPr>
        <w:t>inclusive</w:t>
      </w:r>
      <w:proofErr w:type="gramEnd"/>
      <w:r w:rsidRPr="00053272">
        <w:rPr>
          <w:sz w:val="23"/>
          <w:szCs w:val="23"/>
        </w:rPr>
        <w:t xml:space="preserve"> and successful future</w:t>
      </w:r>
      <w:r w:rsidR="00993184" w:rsidRPr="00053272">
        <w:rPr>
          <w:sz w:val="23"/>
          <w:szCs w:val="23"/>
        </w:rPr>
        <w:t xml:space="preserve"> that corresponds with the constantly evolving landscape of technology.</w:t>
      </w:r>
    </w:p>
    <w:p w14:paraId="726AE50C" w14:textId="52731772" w:rsidR="00475501" w:rsidRPr="00053272" w:rsidRDefault="00475501" w:rsidP="007A3A90">
      <w:pPr>
        <w:pStyle w:val="PlainText"/>
        <w:spacing w:before="240" w:after="120"/>
        <w:rPr>
          <w:b/>
          <w:sz w:val="24"/>
          <w:szCs w:val="24"/>
        </w:rPr>
      </w:pPr>
      <w:r w:rsidRPr="00053272">
        <w:rPr>
          <w:b/>
          <w:sz w:val="24"/>
          <w:szCs w:val="24"/>
        </w:rPr>
        <w:t>Proposal</w:t>
      </w:r>
    </w:p>
    <w:p w14:paraId="5BB132D7" w14:textId="61929ACA" w:rsidR="00475501" w:rsidRPr="00053272" w:rsidRDefault="008F4888" w:rsidP="007A3A90">
      <w:pPr>
        <w:pStyle w:val="PlainText"/>
        <w:spacing w:before="120" w:after="120"/>
        <w:rPr>
          <w:sz w:val="23"/>
          <w:szCs w:val="23"/>
        </w:rPr>
      </w:pPr>
      <w:bookmarkStart w:id="19" w:name="_Hlk167181967"/>
      <w:bookmarkEnd w:id="18"/>
      <w:r w:rsidRPr="00053272">
        <w:rPr>
          <w:sz w:val="23"/>
          <w:szCs w:val="23"/>
        </w:rPr>
        <w:t xml:space="preserve">Australia </w:t>
      </w:r>
      <w:r w:rsidR="000C06DB" w:rsidRPr="00053272">
        <w:rPr>
          <w:sz w:val="23"/>
          <w:szCs w:val="23"/>
        </w:rPr>
        <w:t xml:space="preserve">recognises the opportunity for improvement in promoting </w:t>
      </w:r>
      <w:r w:rsidRPr="00053272">
        <w:rPr>
          <w:sz w:val="23"/>
          <w:szCs w:val="23"/>
        </w:rPr>
        <w:t xml:space="preserve">diversity </w:t>
      </w:r>
      <w:r w:rsidR="000C06DB" w:rsidRPr="00053272">
        <w:rPr>
          <w:sz w:val="23"/>
          <w:szCs w:val="23"/>
        </w:rPr>
        <w:t xml:space="preserve">among </w:t>
      </w:r>
      <w:r w:rsidRPr="00053272">
        <w:rPr>
          <w:sz w:val="23"/>
          <w:szCs w:val="23"/>
        </w:rPr>
        <w:t xml:space="preserve">those involved in designing and developing technologies, </w:t>
      </w:r>
      <w:proofErr w:type="gramStart"/>
      <w:r w:rsidRPr="00053272">
        <w:rPr>
          <w:sz w:val="23"/>
          <w:szCs w:val="23"/>
        </w:rPr>
        <w:t>setting</w:t>
      </w:r>
      <w:proofErr w:type="gramEnd"/>
      <w:r w:rsidRPr="00053272">
        <w:rPr>
          <w:sz w:val="23"/>
          <w:szCs w:val="23"/>
        </w:rPr>
        <w:t xml:space="preserve"> and implementing regulations, shaping policies, making decisions, and accessing technologies.</w:t>
      </w:r>
      <w:r w:rsidR="003C72DD" w:rsidRPr="00053272">
        <w:rPr>
          <w:sz w:val="23"/>
          <w:szCs w:val="23"/>
        </w:rPr>
        <w:t xml:space="preserve"> </w:t>
      </w:r>
      <w:bookmarkStart w:id="20" w:name="_Hlk166859743"/>
      <w:bookmarkEnd w:id="19"/>
      <w:r w:rsidR="003C55A8" w:rsidRPr="00053272">
        <w:rPr>
          <w:sz w:val="23"/>
          <w:szCs w:val="23"/>
        </w:rPr>
        <w:t>As such</w:t>
      </w:r>
      <w:r w:rsidRPr="00053272">
        <w:rPr>
          <w:sz w:val="23"/>
          <w:szCs w:val="23"/>
        </w:rPr>
        <w:t xml:space="preserve">, </w:t>
      </w:r>
      <w:r w:rsidR="00657BF9" w:rsidRPr="00053272">
        <w:rPr>
          <w:sz w:val="23"/>
          <w:szCs w:val="23"/>
        </w:rPr>
        <w:t xml:space="preserve">WTPF-26 </w:t>
      </w:r>
      <w:r w:rsidR="003C55A8" w:rsidRPr="00053272">
        <w:rPr>
          <w:sz w:val="23"/>
          <w:szCs w:val="23"/>
        </w:rPr>
        <w:t xml:space="preserve">could serve </w:t>
      </w:r>
      <w:r w:rsidRPr="00053272">
        <w:rPr>
          <w:sz w:val="23"/>
          <w:szCs w:val="23"/>
        </w:rPr>
        <w:t xml:space="preserve">to facilitate discussions on this policy </w:t>
      </w:r>
      <w:r w:rsidR="007735E6" w:rsidRPr="00053272">
        <w:rPr>
          <w:sz w:val="23"/>
          <w:szCs w:val="23"/>
        </w:rPr>
        <w:t>issue</w:t>
      </w:r>
      <w:r w:rsidRPr="00053272">
        <w:rPr>
          <w:sz w:val="23"/>
          <w:szCs w:val="23"/>
        </w:rPr>
        <w:t xml:space="preserve">, </w:t>
      </w:r>
      <w:r w:rsidR="003C55A8" w:rsidRPr="00053272">
        <w:rPr>
          <w:sz w:val="23"/>
          <w:szCs w:val="23"/>
        </w:rPr>
        <w:t xml:space="preserve">focusing </w:t>
      </w:r>
      <w:r w:rsidR="007735E6" w:rsidRPr="00053272">
        <w:rPr>
          <w:sz w:val="23"/>
          <w:szCs w:val="23"/>
        </w:rPr>
        <w:t xml:space="preserve">on the following topic: </w:t>
      </w:r>
    </w:p>
    <w:bookmarkEnd w:id="20"/>
    <w:p w14:paraId="0D6344F7" w14:textId="24BAA782" w:rsidR="008F4888" w:rsidRDefault="00EC4CA6" w:rsidP="007A3A90">
      <w:pPr>
        <w:pStyle w:val="PlainText"/>
        <w:spacing w:before="120" w:after="120"/>
        <w:rPr>
          <w:b/>
          <w:sz w:val="23"/>
          <w:szCs w:val="23"/>
        </w:rPr>
      </w:pPr>
      <w:r w:rsidRPr="00053272">
        <w:rPr>
          <w:b/>
          <w:sz w:val="23"/>
          <w:szCs w:val="23"/>
        </w:rPr>
        <w:t>“</w:t>
      </w:r>
      <w:r w:rsidR="00D155CD" w:rsidRPr="00053272">
        <w:rPr>
          <w:b/>
          <w:sz w:val="23"/>
          <w:szCs w:val="23"/>
        </w:rPr>
        <w:t>Policies to advance digital skills to increase diversity, promote gender equality and empower women in education, skills development and the ICT workforce, and promote diverse perspectives in the development of technology and its standards</w:t>
      </w:r>
      <w:r w:rsidRPr="00053272">
        <w:rPr>
          <w:b/>
          <w:sz w:val="23"/>
          <w:szCs w:val="23"/>
        </w:rPr>
        <w:t>.”</w:t>
      </w:r>
    </w:p>
    <w:p w14:paraId="5FFFD29E" w14:textId="4B7779BA" w:rsidR="007A3A90" w:rsidRPr="007A3A90" w:rsidRDefault="007A3A90" w:rsidP="007A3A90">
      <w:pPr>
        <w:pStyle w:val="PlainText"/>
        <w:spacing w:before="120"/>
        <w:jc w:val="center"/>
        <w:rPr>
          <w:bCs/>
        </w:rPr>
      </w:pPr>
      <w:r w:rsidRPr="007A3A90">
        <w:rPr>
          <w:bCs/>
          <w:sz w:val="23"/>
          <w:szCs w:val="23"/>
        </w:rPr>
        <w:t>_____________</w:t>
      </w:r>
    </w:p>
    <w:sectPr w:rsidR="007A3A90" w:rsidRPr="007A3A90" w:rsidSect="00053272">
      <w:headerReference w:type="first" r:id="rId16"/>
      <w:footerReference w:type="first" r:id="rId17"/>
      <w:pgSz w:w="11907" w:h="16834" w:code="9"/>
      <w:pgMar w:top="1134" w:right="1418" w:bottom="1134" w:left="1418" w:header="72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263B8" w14:textId="77777777" w:rsidR="000C06DB" w:rsidRDefault="000C06DB">
      <w:r>
        <w:separator/>
      </w:r>
    </w:p>
  </w:endnote>
  <w:endnote w:type="continuationSeparator" w:id="0">
    <w:p w14:paraId="25658F2E" w14:textId="77777777" w:rsidR="000C06DB" w:rsidRDefault="000C06DB">
      <w:r>
        <w:continuationSeparator/>
      </w:r>
    </w:p>
  </w:endnote>
  <w:endnote w:type="continuationNotice" w:id="1">
    <w:p w14:paraId="369700D9" w14:textId="77777777" w:rsidR="00F471F3" w:rsidRDefault="00F471F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C06DB" w:rsidRPr="00784011" w14:paraId="07402CB9" w14:textId="77777777" w:rsidTr="000C06DB">
      <w:trPr>
        <w:jc w:val="center"/>
      </w:trPr>
      <w:tc>
        <w:tcPr>
          <w:tcW w:w="1803" w:type="dxa"/>
          <w:vAlign w:val="center"/>
        </w:tcPr>
        <w:p w14:paraId="727FD637" w14:textId="65FE69A3" w:rsidR="000C06DB" w:rsidRDefault="000C06DB" w:rsidP="00EE49E8">
          <w:pPr>
            <w:pStyle w:val="Header"/>
            <w:jc w:val="left"/>
          </w:pPr>
        </w:p>
      </w:tc>
      <w:tc>
        <w:tcPr>
          <w:tcW w:w="8261" w:type="dxa"/>
        </w:tcPr>
        <w:p w14:paraId="2D49E76E" w14:textId="618F737A" w:rsidR="000C06DB" w:rsidRPr="00E06FD5" w:rsidRDefault="000C06DB"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053272">
            <w:rPr>
              <w:bCs/>
            </w:rPr>
            <w:t>76</w:t>
          </w:r>
          <w:r w:rsidRPr="00623AE3">
            <w:rPr>
              <w:bCs/>
            </w:rPr>
            <w:t>-E</w:t>
          </w:r>
          <w:r>
            <w:rPr>
              <w:bCs/>
            </w:rPr>
            <w:tab/>
          </w:r>
          <w:r>
            <w:rPr>
              <w:noProof w:val="0"/>
            </w:rPr>
            <w:fldChar w:fldCharType="begin"/>
          </w:r>
          <w:r>
            <w:instrText>PAGE</w:instrText>
          </w:r>
          <w:r>
            <w:rPr>
              <w:noProof w:val="0"/>
            </w:rPr>
            <w:fldChar w:fldCharType="separate"/>
          </w:r>
          <w:r>
            <w:t>1</w:t>
          </w:r>
          <w:r>
            <w:fldChar w:fldCharType="end"/>
          </w:r>
        </w:p>
      </w:tc>
    </w:tr>
  </w:tbl>
  <w:p w14:paraId="44006CCE" w14:textId="77777777" w:rsidR="000C06DB" w:rsidRPr="00DB1936" w:rsidRDefault="000C06DB"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C06DB" w:rsidRPr="00784011" w14:paraId="4F588A4C" w14:textId="77777777" w:rsidTr="00EE49E8">
      <w:trPr>
        <w:jc w:val="center"/>
      </w:trPr>
      <w:tc>
        <w:tcPr>
          <w:tcW w:w="1803" w:type="dxa"/>
          <w:vAlign w:val="center"/>
        </w:tcPr>
        <w:p w14:paraId="4E7A2825" w14:textId="77777777" w:rsidR="000C06DB" w:rsidRDefault="00891FEC" w:rsidP="00EE49E8">
          <w:pPr>
            <w:pStyle w:val="Header"/>
            <w:jc w:val="left"/>
          </w:pPr>
          <w:hyperlink r:id="rId1" w:history="1">
            <w:r w:rsidR="000C06DB" w:rsidRPr="00A514A4">
              <w:rPr>
                <w:rStyle w:val="Hyperlink"/>
                <w:szCs w:val="14"/>
                <w:u w:val="none"/>
              </w:rPr>
              <w:t>www.itu.int/council</w:t>
            </w:r>
          </w:hyperlink>
        </w:p>
      </w:tc>
      <w:tc>
        <w:tcPr>
          <w:tcW w:w="8261" w:type="dxa"/>
        </w:tcPr>
        <w:p w14:paraId="3F62E0D8" w14:textId="772F6531" w:rsidR="000C06DB" w:rsidRPr="00E06FD5" w:rsidRDefault="000C06DB"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053272">
            <w:rPr>
              <w:bCs/>
            </w:rPr>
            <w:t>76</w:t>
          </w:r>
          <w:r w:rsidRPr="00623AE3">
            <w:rPr>
              <w:bCs/>
            </w:rPr>
            <w:t>-E</w:t>
          </w:r>
          <w:r>
            <w:rPr>
              <w:bCs/>
            </w:rPr>
            <w:tab/>
          </w:r>
          <w:r>
            <w:rPr>
              <w:noProof w:val="0"/>
            </w:rPr>
            <w:fldChar w:fldCharType="begin"/>
          </w:r>
          <w:r>
            <w:instrText>PAGE</w:instrText>
          </w:r>
          <w:r>
            <w:rPr>
              <w:noProof w:val="0"/>
            </w:rPr>
            <w:fldChar w:fldCharType="separate"/>
          </w:r>
          <w:r>
            <w:t>1</w:t>
          </w:r>
          <w:r>
            <w:fldChar w:fldCharType="end"/>
          </w:r>
        </w:p>
      </w:tc>
    </w:tr>
  </w:tbl>
  <w:p w14:paraId="12BE588F" w14:textId="77777777" w:rsidR="000C06DB" w:rsidRPr="00623AE3" w:rsidRDefault="000C06DB"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53272" w:rsidRPr="00784011" w14:paraId="143032E6" w14:textId="77777777" w:rsidTr="00EE49E8">
      <w:trPr>
        <w:jc w:val="center"/>
      </w:trPr>
      <w:tc>
        <w:tcPr>
          <w:tcW w:w="1803" w:type="dxa"/>
          <w:vAlign w:val="center"/>
        </w:tcPr>
        <w:p w14:paraId="2AEDD5E0" w14:textId="01A7E753" w:rsidR="00053272" w:rsidRDefault="00053272" w:rsidP="00EE49E8">
          <w:pPr>
            <w:pStyle w:val="Header"/>
            <w:jc w:val="left"/>
          </w:pPr>
          <w:hyperlink r:id="rId1" w:history="1">
            <w:r w:rsidRPr="00A514A4">
              <w:rPr>
                <w:rStyle w:val="Hyperlink"/>
                <w:szCs w:val="14"/>
                <w:u w:val="none"/>
              </w:rPr>
              <w:t>l</w:t>
            </w:r>
          </w:hyperlink>
        </w:p>
      </w:tc>
      <w:tc>
        <w:tcPr>
          <w:tcW w:w="8261" w:type="dxa"/>
        </w:tcPr>
        <w:p w14:paraId="0132C806" w14:textId="77777777" w:rsidR="00053272" w:rsidRPr="00E06FD5" w:rsidRDefault="00053272"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76</w:t>
          </w:r>
          <w:r w:rsidRPr="00623AE3">
            <w:rPr>
              <w:bCs/>
            </w:rPr>
            <w:t>-E</w:t>
          </w:r>
          <w:r>
            <w:rPr>
              <w:bCs/>
            </w:rPr>
            <w:tab/>
          </w:r>
          <w:r>
            <w:rPr>
              <w:noProof w:val="0"/>
            </w:rPr>
            <w:fldChar w:fldCharType="begin"/>
          </w:r>
          <w:r>
            <w:instrText>PAGE</w:instrText>
          </w:r>
          <w:r>
            <w:rPr>
              <w:noProof w:val="0"/>
            </w:rPr>
            <w:fldChar w:fldCharType="separate"/>
          </w:r>
          <w:r>
            <w:t>1</w:t>
          </w:r>
          <w:r>
            <w:fldChar w:fldCharType="end"/>
          </w:r>
        </w:p>
      </w:tc>
    </w:tr>
  </w:tbl>
  <w:p w14:paraId="181D552F" w14:textId="77777777" w:rsidR="00053272" w:rsidRPr="00053272" w:rsidRDefault="00053272" w:rsidP="00EE49E8">
    <w:pPr>
      <w:pStyle w:val="Header"/>
      <w:tabs>
        <w:tab w:val="left" w:pos="8080"/>
        <w:tab w:val="right" w:pos="9072"/>
      </w:tabs>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2646" w14:textId="77777777" w:rsidR="000C06DB" w:rsidRDefault="000C06DB">
      <w:r>
        <w:t>____________________</w:t>
      </w:r>
    </w:p>
  </w:footnote>
  <w:footnote w:type="continuationSeparator" w:id="0">
    <w:p w14:paraId="7D598308" w14:textId="77777777" w:rsidR="000C06DB" w:rsidRDefault="000C06DB">
      <w:r>
        <w:continuationSeparator/>
      </w:r>
    </w:p>
  </w:footnote>
  <w:footnote w:type="continuationNotice" w:id="1">
    <w:p w14:paraId="600E9B2D" w14:textId="77777777" w:rsidR="00F471F3" w:rsidRDefault="00F471F3">
      <w:pPr>
        <w:spacing w:before="0"/>
      </w:pPr>
    </w:p>
  </w:footnote>
  <w:footnote w:id="2">
    <w:p w14:paraId="7D3926A6" w14:textId="68B2AC82" w:rsidR="000C06DB" w:rsidRPr="007A3A90" w:rsidRDefault="000C06DB" w:rsidP="007A3A90">
      <w:pPr>
        <w:pStyle w:val="PlainText"/>
        <w:ind w:left="284" w:hanging="284"/>
        <w:rPr>
          <w:sz w:val="20"/>
          <w:szCs w:val="20"/>
          <w:lang w:val="en-US"/>
        </w:rPr>
      </w:pPr>
      <w:r w:rsidRPr="007A3A90">
        <w:rPr>
          <w:rStyle w:val="FootnoteReference"/>
          <w:sz w:val="18"/>
          <w:szCs w:val="18"/>
        </w:rPr>
        <w:footnoteRef/>
      </w:r>
      <w:r w:rsidRPr="007A3A90">
        <w:rPr>
          <w:sz w:val="20"/>
          <w:szCs w:val="20"/>
        </w:rPr>
        <w:t xml:space="preserve"> </w:t>
      </w:r>
      <w:r w:rsidR="00053272" w:rsidRPr="007A3A90">
        <w:rPr>
          <w:sz w:val="20"/>
          <w:szCs w:val="20"/>
        </w:rPr>
        <w:tab/>
      </w:r>
      <w:r w:rsidRPr="007A3A90">
        <w:rPr>
          <w:sz w:val="20"/>
          <w:szCs w:val="20"/>
        </w:rPr>
        <w:t xml:space="preserve">UNDP, 2023, </w:t>
      </w:r>
      <w:r w:rsidRPr="007A3A90">
        <w:rPr>
          <w:i/>
          <w:sz w:val="20"/>
          <w:szCs w:val="20"/>
        </w:rPr>
        <w:t>Achieving gender equality</w:t>
      </w:r>
      <w:r w:rsidRPr="007A3A90">
        <w:rPr>
          <w:sz w:val="20"/>
          <w:szCs w:val="20"/>
        </w:rPr>
        <w:t xml:space="preserve">, </w:t>
      </w:r>
      <w:hyperlink r:id="rId1" w:history="1">
        <w:r w:rsidR="007A3A90" w:rsidRPr="00046959">
          <w:rPr>
            <w:rStyle w:val="Hyperlink"/>
            <w:sz w:val="20"/>
            <w:szCs w:val="20"/>
          </w:rPr>
          <w:t>https://www.undp.org/stories/bridging-gender-digital-divide-way-out-crisis</w:t>
        </w:r>
      </w:hyperlink>
      <w:r w:rsidRPr="007A3A90">
        <w:rPr>
          <w:sz w:val="20"/>
          <w:szCs w:val="20"/>
        </w:rPr>
        <w:t xml:space="preserve">). </w:t>
      </w:r>
    </w:p>
  </w:footnote>
  <w:footnote w:id="3">
    <w:p w14:paraId="04F440CF" w14:textId="7514C87F" w:rsidR="000C06DB" w:rsidRPr="007A3A90" w:rsidRDefault="000C06DB" w:rsidP="007A3A90">
      <w:pPr>
        <w:pStyle w:val="FootnoteText"/>
        <w:tabs>
          <w:tab w:val="clear" w:pos="256"/>
        </w:tabs>
        <w:spacing w:before="0"/>
        <w:ind w:left="284" w:hanging="284"/>
        <w:rPr>
          <w:sz w:val="20"/>
          <w:lang w:val="en-US"/>
        </w:rPr>
      </w:pPr>
      <w:r w:rsidRPr="007A3A90">
        <w:rPr>
          <w:rStyle w:val="FootnoteReference"/>
          <w:sz w:val="18"/>
          <w:szCs w:val="18"/>
        </w:rPr>
        <w:footnoteRef/>
      </w:r>
      <w:r w:rsidRPr="007A3A90">
        <w:rPr>
          <w:sz w:val="20"/>
        </w:rPr>
        <w:t xml:space="preserve"> </w:t>
      </w:r>
      <w:r w:rsidR="00053272" w:rsidRPr="007A3A90">
        <w:rPr>
          <w:sz w:val="20"/>
        </w:rPr>
        <w:tab/>
      </w:r>
      <w:r w:rsidRPr="007A3A90">
        <w:rPr>
          <w:sz w:val="20"/>
          <w:lang w:val="en-US"/>
        </w:rPr>
        <w:t xml:space="preserve">ITU, 2023, Fact and Figures 2023: </w:t>
      </w:r>
      <w:hyperlink r:id="rId2" w:history="1">
        <w:r w:rsidRPr="007A3A90">
          <w:rPr>
            <w:rStyle w:val="Hyperlink"/>
            <w:sz w:val="20"/>
            <w:lang w:val="en-US"/>
          </w:rPr>
          <w:t>https://www.itu.int/itu-d/reports/statistics/facts-figures-2023/</w:t>
        </w:r>
      </w:hyperlink>
      <w:r w:rsidR="00053272" w:rsidRPr="007A3A90">
        <w:rPr>
          <w:rStyle w:val="Hyperlink"/>
          <w:color w:val="auto"/>
          <w:sz w:val="20"/>
          <w:u w:val="none"/>
          <w:lang w:val="en-US"/>
        </w:rPr>
        <w:t>.</w:t>
      </w:r>
    </w:p>
  </w:footnote>
  <w:footnote w:id="4">
    <w:p w14:paraId="60AFC29C" w14:textId="4C20295F" w:rsidR="00DE0F47" w:rsidRPr="009774E6" w:rsidRDefault="00DE0F47" w:rsidP="007A3A90">
      <w:pPr>
        <w:pStyle w:val="FootnoteText"/>
        <w:tabs>
          <w:tab w:val="clear" w:pos="256"/>
        </w:tabs>
        <w:spacing w:before="0"/>
        <w:ind w:left="284" w:hanging="284"/>
        <w:rPr>
          <w:sz w:val="20"/>
          <w:lang w:val="en-US"/>
        </w:rPr>
      </w:pPr>
      <w:r w:rsidRPr="007A3A90">
        <w:rPr>
          <w:rStyle w:val="FootnoteReference"/>
          <w:sz w:val="18"/>
          <w:szCs w:val="18"/>
        </w:rPr>
        <w:footnoteRef/>
      </w:r>
      <w:r w:rsidRPr="007A3A90">
        <w:rPr>
          <w:sz w:val="20"/>
        </w:rPr>
        <w:t xml:space="preserve"> </w:t>
      </w:r>
      <w:r w:rsidR="00053272" w:rsidRPr="007A3A90">
        <w:rPr>
          <w:sz w:val="20"/>
        </w:rPr>
        <w:tab/>
      </w:r>
      <w:r w:rsidRPr="007A3A90">
        <w:rPr>
          <w:sz w:val="20"/>
          <w:lang w:val="en-US"/>
        </w:rPr>
        <w:t xml:space="preserve">UN Women, 2023, </w:t>
      </w:r>
      <w:hyperlink r:id="rId3" w:history="1">
        <w:r w:rsidRPr="007A3A90">
          <w:rPr>
            <w:rStyle w:val="Hyperlink"/>
            <w:sz w:val="20"/>
          </w:rPr>
          <w:t>Power on: How we can supercharge an equitable digital future</w:t>
        </w:r>
      </w:hyperlink>
      <w:r w:rsidR="00053272" w:rsidRPr="007A3A90">
        <w:rPr>
          <w:sz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0C06DB" w:rsidRPr="00784011" w14:paraId="6D4BB9D4" w14:textId="77777777" w:rsidTr="000C06DB">
      <w:trPr>
        <w:trHeight w:val="1104"/>
        <w:jc w:val="center"/>
      </w:trPr>
      <w:tc>
        <w:tcPr>
          <w:tcW w:w="4390" w:type="dxa"/>
          <w:vAlign w:val="center"/>
        </w:tcPr>
        <w:p w14:paraId="3E21B143" w14:textId="41A3D2F7" w:rsidR="000C06DB" w:rsidRPr="009621F8" w:rsidRDefault="000C06DB" w:rsidP="00AD3606">
          <w:pPr>
            <w:pStyle w:val="Header"/>
            <w:jc w:val="left"/>
            <w:rPr>
              <w:rFonts w:ascii="Arial" w:hAnsi="Arial" w:cs="Arial"/>
              <w:b/>
              <w:bCs/>
              <w:color w:val="009CD6"/>
              <w:sz w:val="36"/>
              <w:szCs w:val="36"/>
            </w:rPr>
          </w:pPr>
          <w:bookmarkStart w:id="13" w:name="_Hlk133422111"/>
          <w: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0C06DB" w:rsidRDefault="000C06DB" w:rsidP="00AD3606">
          <w:pPr>
            <w:pStyle w:val="Header"/>
            <w:jc w:val="right"/>
            <w:rPr>
              <w:rFonts w:ascii="Arial" w:hAnsi="Arial" w:cs="Arial"/>
              <w:b/>
              <w:bCs/>
              <w:color w:val="009CD6"/>
              <w:szCs w:val="18"/>
            </w:rPr>
          </w:pPr>
        </w:p>
        <w:p w14:paraId="10B673DE" w14:textId="25E43F9A" w:rsidR="000C06DB" w:rsidRDefault="000C06DB" w:rsidP="00AD3606">
          <w:pPr>
            <w:pStyle w:val="Header"/>
            <w:jc w:val="right"/>
            <w:rPr>
              <w:rFonts w:ascii="Arial" w:hAnsi="Arial" w:cs="Arial"/>
              <w:b/>
              <w:bCs/>
              <w:color w:val="009CD6"/>
              <w:szCs w:val="18"/>
            </w:rPr>
          </w:pPr>
        </w:p>
        <w:p w14:paraId="4287C2DF" w14:textId="0EBBF8F9" w:rsidR="000C06DB" w:rsidRPr="00784011" w:rsidRDefault="000C06DB"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4136AD56" w:rsidR="000C06DB" w:rsidRDefault="000C06DB">
    <w:pPr>
      <w:pStyle w:val="Header"/>
    </w:pPr>
    <w:r w:rsidRPr="00802C2C">
      <w:rPr>
        <w:rFonts w:ascii="Avenir Nxt2 W1G Medium" w:eastAsia="Avenir Nxt2 W1G Medium" w:hAnsi="Avenir Nxt2 W1G Medium" w:cs="Avenir Nxt2 W1G Medium"/>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7D5ED"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3EFD" w14:textId="3859B0D2" w:rsidR="00053272" w:rsidRDefault="000532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031729F"/>
    <w:multiLevelType w:val="hybridMultilevel"/>
    <w:tmpl w:val="8EB0A1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689151">
    <w:abstractNumId w:val="0"/>
  </w:num>
  <w:num w:numId="2" w16cid:durableId="219177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3583"/>
    <w:rsid w:val="000210D4"/>
    <w:rsid w:val="0004698E"/>
    <w:rsid w:val="00053272"/>
    <w:rsid w:val="00054BC6"/>
    <w:rsid w:val="00062509"/>
    <w:rsid w:val="00063016"/>
    <w:rsid w:val="00066795"/>
    <w:rsid w:val="00076AF6"/>
    <w:rsid w:val="00085CF2"/>
    <w:rsid w:val="000977DA"/>
    <w:rsid w:val="000A747C"/>
    <w:rsid w:val="000B1705"/>
    <w:rsid w:val="000C06DB"/>
    <w:rsid w:val="000C2F81"/>
    <w:rsid w:val="000D75B2"/>
    <w:rsid w:val="001034E8"/>
    <w:rsid w:val="001121F5"/>
    <w:rsid w:val="001400DC"/>
    <w:rsid w:val="00140CE1"/>
    <w:rsid w:val="0017539C"/>
    <w:rsid w:val="00175AC2"/>
    <w:rsid w:val="0017609F"/>
    <w:rsid w:val="00186CB1"/>
    <w:rsid w:val="001A7D1D"/>
    <w:rsid w:val="001B51DD"/>
    <w:rsid w:val="001C628E"/>
    <w:rsid w:val="001E0F7B"/>
    <w:rsid w:val="002119FD"/>
    <w:rsid w:val="002130E0"/>
    <w:rsid w:val="00264425"/>
    <w:rsid w:val="00265875"/>
    <w:rsid w:val="0027303B"/>
    <w:rsid w:val="0028109B"/>
    <w:rsid w:val="00283746"/>
    <w:rsid w:val="002A2188"/>
    <w:rsid w:val="002A2AC7"/>
    <w:rsid w:val="002B1F58"/>
    <w:rsid w:val="002C1C7A"/>
    <w:rsid w:val="002C54E2"/>
    <w:rsid w:val="002D5EE3"/>
    <w:rsid w:val="0030160F"/>
    <w:rsid w:val="00320223"/>
    <w:rsid w:val="00322D0D"/>
    <w:rsid w:val="00361465"/>
    <w:rsid w:val="00381B69"/>
    <w:rsid w:val="003877F5"/>
    <w:rsid w:val="003942D4"/>
    <w:rsid w:val="003958A8"/>
    <w:rsid w:val="003C2533"/>
    <w:rsid w:val="003C55A8"/>
    <w:rsid w:val="003C72DD"/>
    <w:rsid w:val="003D5A7F"/>
    <w:rsid w:val="004016E2"/>
    <w:rsid w:val="0040435A"/>
    <w:rsid w:val="00416A24"/>
    <w:rsid w:val="00431D9E"/>
    <w:rsid w:val="00433CE8"/>
    <w:rsid w:val="00434A5C"/>
    <w:rsid w:val="00451AE9"/>
    <w:rsid w:val="004544D9"/>
    <w:rsid w:val="00472BAD"/>
    <w:rsid w:val="00475501"/>
    <w:rsid w:val="00484009"/>
    <w:rsid w:val="00490E72"/>
    <w:rsid w:val="00491157"/>
    <w:rsid w:val="004921C8"/>
    <w:rsid w:val="00495B0B"/>
    <w:rsid w:val="004A1B8B"/>
    <w:rsid w:val="004B4735"/>
    <w:rsid w:val="004D1851"/>
    <w:rsid w:val="004D599D"/>
    <w:rsid w:val="004E2EA5"/>
    <w:rsid w:val="004E3AEB"/>
    <w:rsid w:val="0050223C"/>
    <w:rsid w:val="005156C7"/>
    <w:rsid w:val="005243FF"/>
    <w:rsid w:val="00532E9C"/>
    <w:rsid w:val="00564FBC"/>
    <w:rsid w:val="005800BC"/>
    <w:rsid w:val="00582442"/>
    <w:rsid w:val="005C5DB7"/>
    <w:rsid w:val="005D57D0"/>
    <w:rsid w:val="005F3269"/>
    <w:rsid w:val="005F5467"/>
    <w:rsid w:val="00623AE3"/>
    <w:rsid w:val="0064737F"/>
    <w:rsid w:val="006535F1"/>
    <w:rsid w:val="0065557D"/>
    <w:rsid w:val="00657BF9"/>
    <w:rsid w:val="00660D50"/>
    <w:rsid w:val="00662984"/>
    <w:rsid w:val="006670F0"/>
    <w:rsid w:val="006716BB"/>
    <w:rsid w:val="00683BB5"/>
    <w:rsid w:val="006850BE"/>
    <w:rsid w:val="006B1859"/>
    <w:rsid w:val="006B4DF8"/>
    <w:rsid w:val="006B6680"/>
    <w:rsid w:val="006B6DCC"/>
    <w:rsid w:val="00702DEF"/>
    <w:rsid w:val="007054AB"/>
    <w:rsid w:val="00706861"/>
    <w:rsid w:val="0075051B"/>
    <w:rsid w:val="007735E6"/>
    <w:rsid w:val="00777E4E"/>
    <w:rsid w:val="00782555"/>
    <w:rsid w:val="00793188"/>
    <w:rsid w:val="00794D34"/>
    <w:rsid w:val="007A3A90"/>
    <w:rsid w:val="007A7319"/>
    <w:rsid w:val="007B4C84"/>
    <w:rsid w:val="007C4BBC"/>
    <w:rsid w:val="00813E5E"/>
    <w:rsid w:val="0083581B"/>
    <w:rsid w:val="00863874"/>
    <w:rsid w:val="00864AFF"/>
    <w:rsid w:val="00865925"/>
    <w:rsid w:val="00881957"/>
    <w:rsid w:val="00891FEC"/>
    <w:rsid w:val="008B4A6A"/>
    <w:rsid w:val="008C2D09"/>
    <w:rsid w:val="008C7E27"/>
    <w:rsid w:val="008F0E50"/>
    <w:rsid w:val="008F4888"/>
    <w:rsid w:val="008F5607"/>
    <w:rsid w:val="008F7448"/>
    <w:rsid w:val="0090147A"/>
    <w:rsid w:val="009173EF"/>
    <w:rsid w:val="00932906"/>
    <w:rsid w:val="00952B8C"/>
    <w:rsid w:val="00961B0B"/>
    <w:rsid w:val="00962D33"/>
    <w:rsid w:val="009774E6"/>
    <w:rsid w:val="00993184"/>
    <w:rsid w:val="009B38C3"/>
    <w:rsid w:val="009E17BD"/>
    <w:rsid w:val="009E485A"/>
    <w:rsid w:val="009F5455"/>
    <w:rsid w:val="00A04CEC"/>
    <w:rsid w:val="00A15642"/>
    <w:rsid w:val="00A27F92"/>
    <w:rsid w:val="00A32257"/>
    <w:rsid w:val="00A36D20"/>
    <w:rsid w:val="00A514A4"/>
    <w:rsid w:val="00A55622"/>
    <w:rsid w:val="00A561BF"/>
    <w:rsid w:val="00A61C00"/>
    <w:rsid w:val="00A83502"/>
    <w:rsid w:val="00A964B6"/>
    <w:rsid w:val="00AA172A"/>
    <w:rsid w:val="00AA1EE8"/>
    <w:rsid w:val="00AC5A8A"/>
    <w:rsid w:val="00AD15B3"/>
    <w:rsid w:val="00AD3606"/>
    <w:rsid w:val="00AD4A3D"/>
    <w:rsid w:val="00AF6E49"/>
    <w:rsid w:val="00B04A67"/>
    <w:rsid w:val="00B0583C"/>
    <w:rsid w:val="00B269B6"/>
    <w:rsid w:val="00B40A81"/>
    <w:rsid w:val="00B44910"/>
    <w:rsid w:val="00B50900"/>
    <w:rsid w:val="00B72267"/>
    <w:rsid w:val="00B76EB6"/>
    <w:rsid w:val="00B7737B"/>
    <w:rsid w:val="00B824C8"/>
    <w:rsid w:val="00B84B9D"/>
    <w:rsid w:val="00B86857"/>
    <w:rsid w:val="00B944DF"/>
    <w:rsid w:val="00BC251A"/>
    <w:rsid w:val="00BD032B"/>
    <w:rsid w:val="00BE2640"/>
    <w:rsid w:val="00C01189"/>
    <w:rsid w:val="00C374DE"/>
    <w:rsid w:val="00C47AD4"/>
    <w:rsid w:val="00C52D81"/>
    <w:rsid w:val="00C55198"/>
    <w:rsid w:val="00C72FAC"/>
    <w:rsid w:val="00C87A7E"/>
    <w:rsid w:val="00CA6393"/>
    <w:rsid w:val="00CB18FF"/>
    <w:rsid w:val="00CD0C08"/>
    <w:rsid w:val="00CE03FB"/>
    <w:rsid w:val="00CE433C"/>
    <w:rsid w:val="00CF0161"/>
    <w:rsid w:val="00CF33F3"/>
    <w:rsid w:val="00D06183"/>
    <w:rsid w:val="00D155CD"/>
    <w:rsid w:val="00D22C42"/>
    <w:rsid w:val="00D64F03"/>
    <w:rsid w:val="00D65041"/>
    <w:rsid w:val="00DA134B"/>
    <w:rsid w:val="00DB1936"/>
    <w:rsid w:val="00DB384B"/>
    <w:rsid w:val="00DC5EC9"/>
    <w:rsid w:val="00DE0F47"/>
    <w:rsid w:val="00DF0189"/>
    <w:rsid w:val="00DF5B4C"/>
    <w:rsid w:val="00E06FD5"/>
    <w:rsid w:val="00E10E80"/>
    <w:rsid w:val="00E124F0"/>
    <w:rsid w:val="00E227F3"/>
    <w:rsid w:val="00E23618"/>
    <w:rsid w:val="00E46B22"/>
    <w:rsid w:val="00E545C6"/>
    <w:rsid w:val="00E60F04"/>
    <w:rsid w:val="00E65B24"/>
    <w:rsid w:val="00E854E4"/>
    <w:rsid w:val="00E86DBF"/>
    <w:rsid w:val="00E961D4"/>
    <w:rsid w:val="00EB0D6F"/>
    <w:rsid w:val="00EB2232"/>
    <w:rsid w:val="00EC4CA6"/>
    <w:rsid w:val="00EC5337"/>
    <w:rsid w:val="00ED1A1B"/>
    <w:rsid w:val="00EE49E8"/>
    <w:rsid w:val="00EE5CB8"/>
    <w:rsid w:val="00F02263"/>
    <w:rsid w:val="00F16BAB"/>
    <w:rsid w:val="00F2150A"/>
    <w:rsid w:val="00F231D8"/>
    <w:rsid w:val="00F44C00"/>
    <w:rsid w:val="00F45D2C"/>
    <w:rsid w:val="00F46C5F"/>
    <w:rsid w:val="00F471F3"/>
    <w:rsid w:val="00F513E3"/>
    <w:rsid w:val="00F632C0"/>
    <w:rsid w:val="00F74710"/>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noProof/>
      <w:sz w:val="24"/>
      <w:lang w:val="en-AU"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6670F0"/>
    <w:rPr>
      <w:color w:val="605E5C"/>
      <w:shd w:val="clear" w:color="auto" w:fill="E1DFDD"/>
    </w:rPr>
  </w:style>
  <w:style w:type="paragraph" w:styleId="PlainText">
    <w:name w:val="Plain Text"/>
    <w:basedOn w:val="Normal"/>
    <w:link w:val="PlainTextChar"/>
    <w:uiPriority w:val="99"/>
    <w:unhideWhenUsed/>
    <w:rsid w:val="008F4888"/>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theme="minorBidi"/>
      <w:noProof w:val="0"/>
      <w:sz w:val="22"/>
      <w:szCs w:val="21"/>
    </w:rPr>
  </w:style>
  <w:style w:type="character" w:customStyle="1" w:styleId="PlainTextChar">
    <w:name w:val="Plain Text Char"/>
    <w:basedOn w:val="DefaultParagraphFont"/>
    <w:link w:val="PlainText"/>
    <w:uiPriority w:val="99"/>
    <w:rsid w:val="008F4888"/>
    <w:rPr>
      <w:rFonts w:ascii="Calibri" w:eastAsiaTheme="minorHAnsi" w:hAnsi="Calibri" w:cstheme="minorBidi"/>
      <w:sz w:val="22"/>
      <w:szCs w:val="21"/>
      <w:lang w:val="en-AU" w:eastAsia="en-US"/>
    </w:rPr>
  </w:style>
  <w:style w:type="paragraph" w:styleId="Revision">
    <w:name w:val="Revision"/>
    <w:hidden/>
    <w:uiPriority w:val="99"/>
    <w:semiHidden/>
    <w:rsid w:val="00E961D4"/>
    <w:rPr>
      <w:rFonts w:ascii="Calibri" w:hAnsi="Calibri"/>
      <w:noProof/>
      <w:sz w:val="24"/>
      <w:lang w:val="en-AU" w:eastAsia="en-US"/>
    </w:rPr>
  </w:style>
  <w:style w:type="character" w:customStyle="1" w:styleId="FootnoteTextChar">
    <w:name w:val="Footnote Text Char"/>
    <w:basedOn w:val="DefaultParagraphFont"/>
    <w:link w:val="FootnoteText"/>
    <w:rsid w:val="00952B8C"/>
    <w:rPr>
      <w:rFonts w:ascii="Calibri" w:hAnsi="Calibri"/>
      <w:noProof/>
      <w:sz w:val="24"/>
      <w:lang w:val="en-AU" w:eastAsia="en-US"/>
    </w:rPr>
  </w:style>
  <w:style w:type="character" w:styleId="CommentReference">
    <w:name w:val="annotation reference"/>
    <w:basedOn w:val="DefaultParagraphFont"/>
    <w:semiHidden/>
    <w:unhideWhenUsed/>
    <w:rsid w:val="00062509"/>
    <w:rPr>
      <w:sz w:val="16"/>
      <w:szCs w:val="16"/>
    </w:rPr>
  </w:style>
  <w:style w:type="paragraph" w:styleId="CommentText">
    <w:name w:val="annotation text"/>
    <w:basedOn w:val="Normal"/>
    <w:link w:val="CommentTextChar"/>
    <w:unhideWhenUsed/>
    <w:rsid w:val="00062509"/>
    <w:rPr>
      <w:sz w:val="20"/>
    </w:rPr>
  </w:style>
  <w:style w:type="character" w:customStyle="1" w:styleId="CommentTextChar">
    <w:name w:val="Comment Text Char"/>
    <w:basedOn w:val="DefaultParagraphFont"/>
    <w:link w:val="CommentText"/>
    <w:rsid w:val="00062509"/>
    <w:rPr>
      <w:rFonts w:ascii="Calibri" w:hAnsi="Calibri"/>
      <w:noProof/>
      <w:lang w:val="en-AU" w:eastAsia="en-US"/>
    </w:rPr>
  </w:style>
  <w:style w:type="paragraph" w:styleId="CommentSubject">
    <w:name w:val="annotation subject"/>
    <w:basedOn w:val="CommentText"/>
    <w:next w:val="CommentText"/>
    <w:link w:val="CommentSubjectChar"/>
    <w:semiHidden/>
    <w:unhideWhenUsed/>
    <w:rsid w:val="00062509"/>
    <w:rPr>
      <w:b/>
      <w:bCs/>
    </w:rPr>
  </w:style>
  <w:style w:type="character" w:customStyle="1" w:styleId="CommentSubjectChar">
    <w:name w:val="Comment Subject Char"/>
    <w:basedOn w:val="CommentTextChar"/>
    <w:link w:val="CommentSubject"/>
    <w:semiHidden/>
    <w:rsid w:val="00062509"/>
    <w:rPr>
      <w:rFonts w:ascii="Calibri" w:hAnsi="Calibri"/>
      <w:b/>
      <w:bCs/>
      <w:noProof/>
      <w:lang w:val="en-AU" w:eastAsia="en-US"/>
    </w:rPr>
  </w:style>
  <w:style w:type="paragraph" w:styleId="BalloonText">
    <w:name w:val="Balloon Text"/>
    <w:basedOn w:val="Normal"/>
    <w:link w:val="BalloonTextChar"/>
    <w:semiHidden/>
    <w:unhideWhenUsed/>
    <w:rsid w:val="0006250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62509"/>
    <w:rPr>
      <w:rFonts w:ascii="Segoe UI" w:hAnsi="Segoe UI" w:cs="Segoe UI"/>
      <w:noProof/>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294189">
      <w:bodyDiv w:val="1"/>
      <w:marLeft w:val="0"/>
      <w:marRight w:val="0"/>
      <w:marTop w:val="0"/>
      <w:marBottom w:val="0"/>
      <w:divBdr>
        <w:top w:val="none" w:sz="0" w:space="0" w:color="auto"/>
        <w:left w:val="none" w:sz="0" w:space="0" w:color="auto"/>
        <w:bottom w:val="none" w:sz="0" w:space="0" w:color="auto"/>
        <w:right w:val="none" w:sz="0" w:space="0" w:color="auto"/>
      </w:divBdr>
    </w:div>
    <w:div w:id="20746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05/e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ction/gender-equality/Documents/S22-PP-Res70-E.pdf" TargetMode="External"/><Relationship Id="rId5" Type="http://schemas.openxmlformats.org/officeDocument/2006/relationships/webSettings" Target="webSettings.xml"/><Relationship Id="rId15" Type="http://schemas.openxmlformats.org/officeDocument/2006/relationships/hyperlink" Target="https://www.itu.int/md/S24-CL-C-0006/en" TargetMode="External"/><Relationship Id="rId10" Type="http://schemas.openxmlformats.org/officeDocument/2006/relationships/hyperlink" Target="https://www.itu.int/en/council/Documents/basic-texts-2023/RES-002-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4-CL-C-0006/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url?sa=t&amp;rct=j&amp;q=&amp;esrc=s&amp;source=web&amp;cd=&amp;cad=rja&amp;uact=8&amp;ved=2ahUKEwiT0bSVy52GAxWjxjgGHV9KDr0QFnoECBAQAQ&amp;url=https%3A%2F%2Fwww.unwomen.org%2Fen%2Fnews-stories%2Fexplainer%2F2023%2F02%2Fpower-on-how-we-can-supercharge-an-equitable-digital-future&amp;usg=AOvVaw1d6Lsb3W62g4-TAgIwxYkh&amp;opi=89978449" TargetMode="External"/><Relationship Id="rId2" Type="http://schemas.openxmlformats.org/officeDocument/2006/relationships/hyperlink" Target="https://www.itu.int/itu-d/reports/statistics/facts-figures-2023/" TargetMode="External"/><Relationship Id="rId1" Type="http://schemas.openxmlformats.org/officeDocument/2006/relationships/hyperlink" Target="https://www.undp.org/stories/bridging-gender-digital-divide-way-out-cris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12D58-38CA-415A-B5B2-8BC8547A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1</TotalTime>
  <Pages>2</Pages>
  <Words>637</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4838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Austration - Theme for WTPF-26</dc:title>
  <dc:subject>Council 2024</dc:subject>
  <dc:creator>author</dc:creator>
  <cp:keywords>C2024, C24, Council-24</cp:keywords>
  <dc:description/>
  <cp:lastModifiedBy>Brouard, Ricarda</cp:lastModifiedBy>
  <cp:revision>3</cp:revision>
  <cp:lastPrinted>2000-07-18T13:30:00Z</cp:lastPrinted>
  <dcterms:created xsi:type="dcterms:W3CDTF">2024-05-21T09:15:00Z</dcterms:created>
  <dcterms:modified xsi:type="dcterms:W3CDTF">2024-05-21T09:16:00Z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