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2C04F171" w14:textId="77777777" w:rsidTr="00F363FE">
        <w:tc>
          <w:tcPr>
            <w:tcW w:w="6512" w:type="dxa"/>
          </w:tcPr>
          <w:p w14:paraId="6A253062" w14:textId="0056CD46"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574694">
              <w:rPr>
                <w:rFonts w:hint="cs"/>
                <w:b/>
                <w:bCs/>
                <w:rtl/>
                <w:lang w:bidi="ar-EG"/>
              </w:rPr>
              <w:t xml:space="preserve"> </w:t>
            </w:r>
            <w:r w:rsidR="00574694">
              <w:rPr>
                <w:b/>
                <w:bCs/>
                <w:lang w:bidi="ar-EG"/>
              </w:rPr>
              <w:t>PL 2</w:t>
            </w:r>
          </w:p>
        </w:tc>
        <w:tc>
          <w:tcPr>
            <w:tcW w:w="3117" w:type="dxa"/>
          </w:tcPr>
          <w:p w14:paraId="2FBE2101" w14:textId="6CEF77FE"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574694">
              <w:rPr>
                <w:b/>
                <w:bCs/>
                <w:lang w:bidi="ar-EG"/>
              </w:rPr>
              <w:t>75</w:t>
            </w:r>
            <w:r w:rsidRPr="007B0AA0">
              <w:rPr>
                <w:b/>
                <w:bCs/>
                <w:lang w:bidi="ar-EG"/>
              </w:rPr>
              <w:t>-A</w:t>
            </w:r>
          </w:p>
        </w:tc>
      </w:tr>
      <w:tr w:rsidR="007B0AA0" w14:paraId="34259DC8" w14:textId="77777777" w:rsidTr="00F363FE">
        <w:tc>
          <w:tcPr>
            <w:tcW w:w="6512" w:type="dxa"/>
          </w:tcPr>
          <w:p w14:paraId="54AF39DE" w14:textId="77777777" w:rsidR="007B0AA0" w:rsidRPr="007B0AA0" w:rsidRDefault="007B0AA0" w:rsidP="00F363FE">
            <w:pPr>
              <w:spacing w:before="60" w:after="60" w:line="260" w:lineRule="exact"/>
              <w:rPr>
                <w:b/>
                <w:bCs/>
                <w:rtl/>
                <w:lang w:bidi="ar-EG"/>
              </w:rPr>
            </w:pPr>
          </w:p>
        </w:tc>
        <w:tc>
          <w:tcPr>
            <w:tcW w:w="3117" w:type="dxa"/>
          </w:tcPr>
          <w:p w14:paraId="614BCDDE" w14:textId="02A966E6" w:rsidR="007B0AA0" w:rsidRPr="007B0AA0" w:rsidRDefault="00574694" w:rsidP="00F363FE">
            <w:pPr>
              <w:spacing w:before="60" w:after="60" w:line="260" w:lineRule="exact"/>
              <w:rPr>
                <w:b/>
                <w:bCs/>
                <w:rtl/>
                <w:lang w:bidi="ar-EG"/>
              </w:rPr>
            </w:pPr>
            <w:r>
              <w:rPr>
                <w:b/>
                <w:bCs/>
                <w:lang w:bidi="ar-EG"/>
              </w:rPr>
              <w:t>20</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06542A14" w14:textId="77777777" w:rsidTr="00F363FE">
        <w:tc>
          <w:tcPr>
            <w:tcW w:w="6512" w:type="dxa"/>
          </w:tcPr>
          <w:p w14:paraId="2222DD39" w14:textId="77777777" w:rsidR="007B0AA0" w:rsidRPr="007B0AA0" w:rsidRDefault="007B0AA0" w:rsidP="00F363FE">
            <w:pPr>
              <w:spacing w:before="60" w:after="60" w:line="260" w:lineRule="exact"/>
              <w:rPr>
                <w:b/>
                <w:bCs/>
                <w:rtl/>
                <w:lang w:bidi="ar-EG"/>
              </w:rPr>
            </w:pPr>
          </w:p>
        </w:tc>
        <w:tc>
          <w:tcPr>
            <w:tcW w:w="3117" w:type="dxa"/>
          </w:tcPr>
          <w:p w14:paraId="2E8D85D6" w14:textId="4650C99F"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574694">
              <w:rPr>
                <w:rFonts w:hint="cs"/>
                <w:b/>
                <w:bCs/>
                <w:rtl/>
                <w:lang w:bidi="ar-EG"/>
              </w:rPr>
              <w:t>بالإنكليزية</w:t>
            </w:r>
          </w:p>
        </w:tc>
      </w:tr>
      <w:tr w:rsidR="007B0AA0" w14:paraId="0154706E" w14:textId="77777777" w:rsidTr="00F363FE">
        <w:tc>
          <w:tcPr>
            <w:tcW w:w="6512" w:type="dxa"/>
          </w:tcPr>
          <w:p w14:paraId="65DEF1BE" w14:textId="77777777" w:rsidR="007B0AA0" w:rsidRDefault="007B0AA0" w:rsidP="00F363FE">
            <w:pPr>
              <w:spacing w:before="60" w:after="60" w:line="260" w:lineRule="exact"/>
              <w:rPr>
                <w:lang w:bidi="ar-EG"/>
              </w:rPr>
            </w:pPr>
          </w:p>
        </w:tc>
        <w:tc>
          <w:tcPr>
            <w:tcW w:w="3117" w:type="dxa"/>
          </w:tcPr>
          <w:p w14:paraId="34ECF3DF" w14:textId="77777777" w:rsidR="007B0AA0" w:rsidRDefault="007B0AA0" w:rsidP="00F363FE">
            <w:pPr>
              <w:spacing w:before="60" w:after="60" w:line="260" w:lineRule="exact"/>
              <w:rPr>
                <w:rtl/>
                <w:lang w:bidi="ar-EG"/>
              </w:rPr>
            </w:pPr>
          </w:p>
        </w:tc>
      </w:tr>
      <w:tr w:rsidR="007B0AA0" w14:paraId="3D70E90F" w14:textId="77777777" w:rsidTr="00EE7446">
        <w:tc>
          <w:tcPr>
            <w:tcW w:w="9629" w:type="dxa"/>
            <w:gridSpan w:val="2"/>
          </w:tcPr>
          <w:p w14:paraId="1F69EB34" w14:textId="35644053" w:rsidR="007B0AA0" w:rsidRDefault="00574694" w:rsidP="00093F8E">
            <w:pPr>
              <w:pStyle w:val="Source"/>
              <w:jc w:val="both"/>
              <w:rPr>
                <w:rtl/>
                <w:lang w:bidi="ar-EG"/>
              </w:rPr>
            </w:pPr>
            <w:r w:rsidRPr="00574694">
              <w:rPr>
                <w:rFonts w:hint="cs"/>
                <w:rtl/>
                <w:lang w:bidi="ar-EG"/>
              </w:rPr>
              <w:t>مساهمة من فرنسا</w:t>
            </w:r>
            <w:r w:rsidRPr="00574694">
              <w:rPr>
                <w:rFonts w:hint="cs"/>
                <w:rtl/>
              </w:rPr>
              <w:t xml:space="preserve"> والنرويج والبرتغال</w:t>
            </w:r>
            <w:r w:rsidR="00BD5C0A">
              <w:rPr>
                <w:rFonts w:hint="cs"/>
                <w:rtl/>
                <w:lang w:bidi="ar-EG"/>
              </w:rPr>
              <w:t xml:space="preserve"> ورومانيا</w:t>
            </w:r>
            <w:r w:rsidRPr="00574694">
              <w:rPr>
                <w:rFonts w:hint="cs"/>
                <w:rtl/>
              </w:rPr>
              <w:t xml:space="preserve"> والمملكة </w:t>
            </w:r>
            <w:r w:rsidRPr="00574694">
              <w:rPr>
                <w:rtl/>
              </w:rPr>
              <w:t>المتحدة لبريطانيا العظمى وأيرلندا الشمالية</w:t>
            </w:r>
          </w:p>
        </w:tc>
      </w:tr>
      <w:tr w:rsidR="007B0AA0" w14:paraId="1AA484BC" w14:textId="77777777" w:rsidTr="007B0AA0">
        <w:tc>
          <w:tcPr>
            <w:tcW w:w="9629" w:type="dxa"/>
            <w:gridSpan w:val="2"/>
            <w:tcBorders>
              <w:bottom w:val="single" w:sz="4" w:space="0" w:color="auto"/>
            </w:tcBorders>
          </w:tcPr>
          <w:p w14:paraId="2FA9A826" w14:textId="78F1BBD1" w:rsidR="007B0AA0" w:rsidRDefault="00574694" w:rsidP="00574694">
            <w:pPr>
              <w:pStyle w:val="Subtitle0"/>
            </w:pPr>
            <w:bookmarkStart w:id="0" w:name="_Toc280260232"/>
            <w:bookmarkStart w:id="1" w:name="_Toc414526633"/>
            <w:bookmarkStart w:id="2" w:name="_Toc415560053"/>
            <w:bookmarkStart w:id="3" w:name="_Toc536090453"/>
            <w:r w:rsidRPr="00574694">
              <w:rPr>
                <w:rFonts w:hint="cs"/>
                <w:rtl/>
                <w:lang w:bidi="ar-SA"/>
              </w:rPr>
              <w:t>موضوع المنتدى</w:t>
            </w:r>
            <w:r w:rsidRPr="00574694">
              <w:rPr>
                <w:rtl/>
                <w:lang w:bidi="ar-SA"/>
              </w:rPr>
              <w:t xml:space="preserve"> العالمي لسياسات الاتصالات/تكنولوجيا المعلومات والاتصالات</w:t>
            </w:r>
            <w:bookmarkEnd w:id="0"/>
            <w:bookmarkEnd w:id="1"/>
            <w:bookmarkEnd w:id="2"/>
            <w:bookmarkEnd w:id="3"/>
          </w:p>
        </w:tc>
      </w:tr>
      <w:tr w:rsidR="007B0AA0" w14:paraId="6B45356D" w14:textId="77777777" w:rsidTr="007B0AA0">
        <w:tc>
          <w:tcPr>
            <w:tcW w:w="9629" w:type="dxa"/>
            <w:gridSpan w:val="2"/>
            <w:tcBorders>
              <w:top w:val="single" w:sz="4" w:space="0" w:color="auto"/>
              <w:bottom w:val="single" w:sz="4" w:space="0" w:color="auto"/>
            </w:tcBorders>
          </w:tcPr>
          <w:p w14:paraId="3484EC5A" w14:textId="18EB551B" w:rsidR="007B0AA0" w:rsidRPr="007B0AA0" w:rsidRDefault="007B0AA0" w:rsidP="007B0AA0">
            <w:pPr>
              <w:rPr>
                <w:b/>
                <w:bCs/>
                <w:rtl/>
              </w:rPr>
            </w:pPr>
            <w:r w:rsidRPr="007B0AA0">
              <w:rPr>
                <w:rFonts w:hint="cs"/>
                <w:b/>
                <w:bCs/>
                <w:rtl/>
              </w:rPr>
              <w:t>الغرض</w:t>
            </w:r>
          </w:p>
          <w:p w14:paraId="723021EA" w14:textId="50363DC4" w:rsidR="00574694" w:rsidRPr="00EB391C" w:rsidRDefault="00574694" w:rsidP="00574694">
            <w:pPr>
              <w:rPr>
                <w:rtl/>
                <w:lang w:bidi="ar-EG"/>
              </w:rPr>
            </w:pPr>
            <w:r w:rsidRPr="00574694">
              <w:rPr>
                <w:rFonts w:hint="cs"/>
                <w:rtl/>
                <w:lang w:bidi="ar-EG"/>
              </w:rPr>
              <w:t xml:space="preserve">قرر </w:t>
            </w:r>
            <w:r w:rsidRPr="00EB391C">
              <w:rPr>
                <w:rFonts w:hint="cs"/>
                <w:rtl/>
                <w:lang w:bidi="ar-EG"/>
              </w:rPr>
              <w:t xml:space="preserve">مؤتمر المندوبين المفوضين بموجب القرار 2 (المراجَع في بوخارست، 2022) </w:t>
            </w:r>
            <w:r w:rsidRPr="00EB391C">
              <w:rPr>
                <w:rFonts w:hint="cs"/>
                <w:rtl/>
              </w:rPr>
              <w:t>عقد المنتدى العالمي لسياسات الاتصالات/</w:t>
            </w:r>
            <w:r w:rsidRPr="00EB391C">
              <w:rPr>
                <w:rtl/>
              </w:rPr>
              <w:t>تكنولوجيا المعلومات والاتصالات</w:t>
            </w:r>
            <w:r w:rsidRPr="00EB391C">
              <w:rPr>
                <w:rFonts w:hint="cs"/>
                <w:rtl/>
              </w:rPr>
              <w:t xml:space="preserve"> </w:t>
            </w:r>
            <w:r w:rsidRPr="00EB391C">
              <w:t>(WTPF)</w:t>
            </w:r>
            <w:r w:rsidRPr="00EB391C">
              <w:rPr>
                <w:rFonts w:hint="cs"/>
                <w:rtl/>
              </w:rPr>
              <w:t xml:space="preserve"> ويكلف مجلس الاتحاد بما يلي:</w:t>
            </w:r>
          </w:p>
          <w:p w14:paraId="3B92097E" w14:textId="77777777" w:rsidR="00574694" w:rsidRPr="00EB391C" w:rsidRDefault="00574694" w:rsidP="00F5309E">
            <w:pPr>
              <w:pStyle w:val="enumlev1"/>
              <w:rPr>
                <w:rtl/>
              </w:rPr>
            </w:pPr>
            <w:r w:rsidRPr="00EB391C">
              <w:t>1</w:t>
            </w:r>
            <w:r w:rsidRPr="00EB391C">
              <w:rPr>
                <w:rtl/>
              </w:rPr>
              <w:tab/>
              <w:t xml:space="preserve">أن </w:t>
            </w:r>
            <w:r w:rsidRPr="00EB391C">
              <w:rPr>
                <w:rFonts w:hint="cs"/>
                <w:rtl/>
              </w:rPr>
              <w:t>يحدد</w:t>
            </w:r>
            <w:r w:rsidRPr="00EB391C">
              <w:rPr>
                <w:rtl/>
              </w:rPr>
              <w:t xml:space="preserve"> مدة انعقاد كل منتدى مقبل من المنتديات العالمية لسياسات الاتصالات/تكنولوجيا المعلومات والاتصالات، وتاريخه ومكان انعقاده وجدول أعماله والمواضيع التي يبحث</w:t>
            </w:r>
            <w:r w:rsidRPr="00EB391C">
              <w:rPr>
                <w:rFonts w:hint="cs"/>
                <w:rtl/>
              </w:rPr>
              <w:t> </w:t>
            </w:r>
            <w:proofErr w:type="gramStart"/>
            <w:r w:rsidRPr="00EB391C">
              <w:rPr>
                <w:rtl/>
              </w:rPr>
              <w:t>فيها؛</w:t>
            </w:r>
            <w:proofErr w:type="gramEnd"/>
          </w:p>
          <w:p w14:paraId="6C82F2F9" w14:textId="77777777" w:rsidR="00574694" w:rsidRPr="00EB391C" w:rsidRDefault="00574694" w:rsidP="00F5309E">
            <w:pPr>
              <w:pStyle w:val="enumlev1"/>
              <w:rPr>
                <w:rtl/>
                <w:lang w:bidi="ar-EG"/>
              </w:rPr>
            </w:pPr>
            <w:r w:rsidRPr="00EB391C">
              <w:t>2</w:t>
            </w:r>
            <w:r w:rsidRPr="00EB391C">
              <w:rPr>
                <w:rtl/>
              </w:rPr>
              <w:tab/>
              <w:t>أن</w:t>
            </w:r>
            <w:r w:rsidRPr="00EB391C">
              <w:rPr>
                <w:b/>
                <w:bCs/>
                <w:rtl/>
              </w:rPr>
              <w:t xml:space="preserve"> </w:t>
            </w:r>
            <w:r w:rsidRPr="00EB391C">
              <w:rPr>
                <w:rtl/>
              </w:rPr>
              <w:t>يعتمد الإجراءات اللازمة لإعداد تقرير الأمين</w:t>
            </w:r>
            <w:r w:rsidRPr="00EB391C">
              <w:rPr>
                <w:rFonts w:hint="cs"/>
                <w:rtl/>
              </w:rPr>
              <w:t>ة</w:t>
            </w:r>
            <w:r w:rsidRPr="00EB391C">
              <w:rPr>
                <w:rtl/>
              </w:rPr>
              <w:t xml:space="preserve"> العام</w:t>
            </w:r>
            <w:r w:rsidRPr="00EB391C">
              <w:rPr>
                <w:rFonts w:hint="cs"/>
                <w:rtl/>
              </w:rPr>
              <w:t>ة</w:t>
            </w:r>
            <w:r w:rsidRPr="00EB391C">
              <w:rPr>
                <w:rtl/>
              </w:rPr>
              <w:t xml:space="preserve"> </w:t>
            </w:r>
            <w:r w:rsidRPr="00EB391C">
              <w:rPr>
                <w:rFonts w:hint="cs"/>
                <w:rtl/>
              </w:rPr>
              <w:t>المقدم إلى المنتدى</w:t>
            </w:r>
            <w:r w:rsidRPr="00EB391C">
              <w:rPr>
                <w:rFonts w:hint="cs"/>
                <w:rtl/>
                <w:lang w:bidi="ar-EG"/>
              </w:rPr>
              <w:t>.</w:t>
            </w:r>
          </w:p>
          <w:p w14:paraId="6A6BFA2E" w14:textId="4546CB79" w:rsidR="007B0AA0" w:rsidRDefault="00FD53D4" w:rsidP="00CC3338">
            <w:pPr>
              <w:rPr>
                <w:rtl/>
              </w:rPr>
            </w:pPr>
            <w:r w:rsidRPr="00EB391C">
              <w:rPr>
                <w:spacing w:val="-2"/>
                <w:rtl/>
                <w:lang w:bidi="ar-EG"/>
              </w:rPr>
              <w:t xml:space="preserve">وكلَّف </w:t>
            </w:r>
            <w:r w:rsidR="00574694" w:rsidRPr="00EB391C">
              <w:rPr>
                <w:spacing w:val="-2"/>
                <w:rtl/>
                <w:lang w:bidi="ar-EG"/>
              </w:rPr>
              <w:t xml:space="preserve">مؤتمر المندوبين المفوضين المجلس </w:t>
            </w:r>
            <w:r w:rsidR="00574694" w:rsidRPr="00EB391C">
              <w:rPr>
                <w:rFonts w:hint="cs"/>
                <w:spacing w:val="-2"/>
                <w:rtl/>
                <w:lang w:bidi="ar-EG"/>
              </w:rPr>
              <w:t>أيضاً بتحديد موعد</w:t>
            </w:r>
            <w:r w:rsidR="00574694" w:rsidRPr="00EB391C">
              <w:rPr>
                <w:spacing w:val="-2"/>
                <w:rtl/>
                <w:lang w:bidi="ar-EG"/>
              </w:rPr>
              <w:t xml:space="preserve"> </w:t>
            </w:r>
            <w:r w:rsidR="00574694" w:rsidRPr="00EB391C">
              <w:rPr>
                <w:spacing w:val="-2"/>
                <w:rtl/>
                <w:lang w:bidi="ar-SY"/>
              </w:rPr>
              <w:t>للمنتدى العالمي لسياسات الاتصالات/تكنولوجيا المعلومات والاتصالات</w:t>
            </w:r>
            <w:r w:rsidR="00574694" w:rsidRPr="00EB391C">
              <w:rPr>
                <w:spacing w:val="-2"/>
              </w:rPr>
              <w:t xml:space="preserve"> </w:t>
            </w:r>
            <w:r w:rsidR="00574694" w:rsidRPr="00EB391C">
              <w:rPr>
                <w:spacing w:val="-2"/>
                <w:rtl/>
                <w:lang w:bidi="ar-SY"/>
              </w:rPr>
              <w:t>في عام 2026</w:t>
            </w:r>
            <w:r w:rsidR="00574694" w:rsidRPr="00EB391C">
              <w:rPr>
                <w:spacing w:val="-2"/>
                <w:rtl/>
                <w:lang w:bidi="ar-EG"/>
              </w:rPr>
              <w:t>.</w:t>
            </w:r>
            <w:r w:rsidR="00CC3338" w:rsidRPr="00EB391C">
              <w:rPr>
                <w:rFonts w:hint="cs"/>
                <w:spacing w:val="-2"/>
                <w:rtl/>
                <w:lang w:bidi="ar-EG"/>
              </w:rPr>
              <w:t xml:space="preserve"> </w:t>
            </w:r>
            <w:r w:rsidR="00574694" w:rsidRPr="00EB391C">
              <w:rPr>
                <w:rFonts w:hint="cs"/>
                <w:rtl/>
                <w:lang w:bidi="ar-EG"/>
              </w:rPr>
              <w:t>و</w:t>
            </w:r>
            <w:r w:rsidR="00574694" w:rsidRPr="00EB391C">
              <w:rPr>
                <w:rtl/>
                <w:lang w:bidi="ar-EG"/>
              </w:rPr>
              <w:t xml:space="preserve">تقترح المساهمة </w:t>
            </w:r>
            <w:r w:rsidR="00574694" w:rsidRPr="00EB391C">
              <w:rPr>
                <w:cs/>
                <w:lang w:bidi="ar-EG"/>
              </w:rPr>
              <w:t>‎</w:t>
            </w:r>
            <w:r w:rsidR="00574694" w:rsidRPr="00EB391C">
              <w:t>C24/5</w:t>
            </w:r>
            <w:r w:rsidR="00574694" w:rsidRPr="00EB391C">
              <w:rPr>
                <w:rtl/>
                <w:lang w:bidi="ar-EG"/>
              </w:rPr>
              <w:t xml:space="preserve"> ‏جدولا</w:t>
            </w:r>
            <w:r w:rsidR="00574694" w:rsidRPr="00EB391C">
              <w:rPr>
                <w:rFonts w:hint="cs"/>
                <w:rtl/>
                <w:lang w:bidi="ar-EG"/>
              </w:rPr>
              <w:t>ً</w:t>
            </w:r>
            <w:r w:rsidR="00574694" w:rsidRPr="00EB391C">
              <w:rPr>
                <w:rtl/>
                <w:lang w:bidi="ar-EG"/>
              </w:rPr>
              <w:t xml:space="preserve"> زمنيا</w:t>
            </w:r>
            <w:r w:rsidR="00574694" w:rsidRPr="00EB391C">
              <w:rPr>
                <w:rFonts w:hint="cs"/>
                <w:rtl/>
                <w:lang w:bidi="ar-EG"/>
              </w:rPr>
              <w:t>ً</w:t>
            </w:r>
            <w:r w:rsidR="00574694" w:rsidRPr="00EB391C">
              <w:rPr>
                <w:rtl/>
                <w:lang w:bidi="ar-EG"/>
              </w:rPr>
              <w:t xml:space="preserve"> للمنتدى </w:t>
            </w:r>
            <w:r w:rsidR="00574694" w:rsidRPr="00EB391C">
              <w:rPr>
                <w:rFonts w:hint="cs"/>
                <w:rtl/>
                <w:lang w:bidi="ar-EG"/>
              </w:rPr>
              <w:t xml:space="preserve">في </w:t>
            </w:r>
            <w:r w:rsidR="00574694" w:rsidRPr="00EB391C">
              <w:rPr>
                <w:rtl/>
                <w:lang w:bidi="ar-EG"/>
              </w:rPr>
              <w:t xml:space="preserve">عام </w:t>
            </w:r>
            <w:r w:rsidR="00574694" w:rsidRPr="00EB391C">
              <w:rPr>
                <w:cs/>
                <w:lang w:bidi="ar-EG"/>
              </w:rPr>
              <w:t>‎</w:t>
            </w:r>
            <w:r w:rsidR="00574694" w:rsidRPr="00EB391C">
              <w:t>2026</w:t>
            </w:r>
            <w:r w:rsidR="00574694" w:rsidRPr="00EB391C">
              <w:rPr>
                <w:rtl/>
                <w:lang w:bidi="ar-EG"/>
              </w:rPr>
              <w:t xml:space="preserve"> ‏وتدعو المجلس إلى تقديم توجيهات بشأن</w:t>
            </w:r>
            <w:r w:rsidR="00CC3338" w:rsidRPr="00EB391C">
              <w:rPr>
                <w:rFonts w:hint="cs"/>
                <w:rtl/>
                <w:lang w:bidi="ar-EG"/>
              </w:rPr>
              <w:t> </w:t>
            </w:r>
            <w:r w:rsidR="00574694" w:rsidRPr="00EB391C">
              <w:rPr>
                <w:rtl/>
                <w:lang w:bidi="ar-EG"/>
              </w:rPr>
              <w:t>ذلك.</w:t>
            </w:r>
            <w:r w:rsidR="00574694" w:rsidRPr="00EB391C">
              <w:rPr>
                <w:cs/>
                <w:lang w:bidi="ar-EG"/>
              </w:rPr>
              <w:t>‎</w:t>
            </w:r>
          </w:p>
          <w:p w14:paraId="4B69AD79" w14:textId="77777777" w:rsidR="007B0AA0" w:rsidRPr="007B0AA0" w:rsidRDefault="007B0AA0" w:rsidP="007B0AA0">
            <w:pPr>
              <w:rPr>
                <w:b/>
                <w:bCs/>
                <w:rtl/>
              </w:rPr>
            </w:pPr>
            <w:r w:rsidRPr="007B0AA0">
              <w:rPr>
                <w:rFonts w:hint="cs"/>
                <w:b/>
                <w:bCs/>
                <w:rtl/>
              </w:rPr>
              <w:t>الإجراء المطلوب من المجلس</w:t>
            </w:r>
          </w:p>
          <w:p w14:paraId="72E9F0EE" w14:textId="77777777" w:rsidR="00574694" w:rsidRPr="00574694" w:rsidRDefault="00574694" w:rsidP="00574694">
            <w:pPr>
              <w:rPr>
                <w:rtl/>
              </w:rPr>
            </w:pPr>
            <w:r w:rsidRPr="00574694">
              <w:rPr>
                <w:rtl/>
              </w:rPr>
              <w:t xml:space="preserve">نقترح أن </w:t>
            </w:r>
            <w:r w:rsidRPr="00574694">
              <w:rPr>
                <w:b/>
                <w:bCs/>
                <w:rtl/>
              </w:rPr>
              <w:t>يعتمد</w:t>
            </w:r>
            <w:r w:rsidRPr="00574694">
              <w:rPr>
                <w:rtl/>
              </w:rPr>
              <w:t xml:space="preserve"> المجلس الجدول الزمني المقترح في الوثيقة </w:t>
            </w:r>
            <w:r w:rsidRPr="00574694">
              <w:rPr>
                <w:cs/>
              </w:rPr>
              <w:t>‎</w:t>
            </w:r>
            <w:r w:rsidRPr="00574694">
              <w:t>C24/5</w:t>
            </w:r>
            <w:r w:rsidRPr="00574694">
              <w:rPr>
                <w:rtl/>
              </w:rPr>
              <w:t xml:space="preserve"> ‏وأن يتخذ </w:t>
            </w:r>
            <w:r w:rsidRPr="00574694">
              <w:rPr>
                <w:b/>
                <w:bCs/>
                <w:rtl/>
              </w:rPr>
              <w:t>قرارا</w:t>
            </w:r>
            <w:r w:rsidRPr="00574694">
              <w:rPr>
                <w:rFonts w:hint="cs"/>
                <w:b/>
                <w:bCs/>
                <w:rtl/>
              </w:rPr>
              <w:t>ً</w:t>
            </w:r>
            <w:r w:rsidRPr="00574694">
              <w:rPr>
                <w:rtl/>
              </w:rPr>
              <w:t xml:space="preserve"> بشأن </w:t>
            </w:r>
            <w:r w:rsidRPr="00574694">
              <w:rPr>
                <w:rFonts w:hint="cs"/>
                <w:rtl/>
              </w:rPr>
              <w:t>الموضوع التالي</w:t>
            </w:r>
            <w:r w:rsidRPr="00574694">
              <w:rPr>
                <w:rtl/>
              </w:rPr>
              <w:t xml:space="preserve"> </w:t>
            </w:r>
            <w:r w:rsidRPr="00574694">
              <w:rPr>
                <w:rFonts w:hint="cs"/>
                <w:rtl/>
              </w:rPr>
              <w:t>ل</w:t>
            </w:r>
            <w:r w:rsidRPr="00574694">
              <w:rPr>
                <w:rtl/>
              </w:rPr>
              <w:t xml:space="preserve">لمنتدى العالمي لسياسات الاتصالات/تكنولوجيا المعلومات والاتصالات لعام </w:t>
            </w:r>
            <w:r w:rsidRPr="00574694">
              <w:rPr>
                <w:cs/>
              </w:rPr>
              <w:t>‎</w:t>
            </w:r>
            <w:r w:rsidRPr="00574694">
              <w:t>2026</w:t>
            </w:r>
            <w:r w:rsidRPr="00574694">
              <w:rPr>
                <w:rFonts w:hint="cs"/>
                <w:rtl/>
              </w:rPr>
              <w:t>:</w:t>
            </w:r>
          </w:p>
          <w:p w14:paraId="3030D0FA" w14:textId="13CCC1DD" w:rsidR="007B0AA0" w:rsidRPr="00CC3338" w:rsidRDefault="00574694" w:rsidP="00574694">
            <w:pPr>
              <w:rPr>
                <w:spacing w:val="-6"/>
                <w:rtl/>
              </w:rPr>
            </w:pPr>
            <w:r w:rsidRPr="00CC3338">
              <w:rPr>
                <w:rFonts w:hint="cs"/>
                <w:b/>
                <w:bCs/>
                <w:spacing w:val="-6"/>
                <w:rtl/>
              </w:rPr>
              <w:t>"</w:t>
            </w:r>
            <w:r w:rsidRPr="00CC3338">
              <w:rPr>
                <w:b/>
                <w:bCs/>
                <w:spacing w:val="-6"/>
                <w:rtl/>
              </w:rPr>
              <w:t xml:space="preserve">سياسات الاتصالات/تكنولوجيا المعلومات والاتصالات لتحقيق </w:t>
            </w:r>
            <w:r w:rsidRPr="00CC3338">
              <w:rPr>
                <w:rFonts w:hint="cs"/>
                <w:b/>
                <w:bCs/>
                <w:spacing w:val="-6"/>
                <w:rtl/>
              </w:rPr>
              <w:t>مستوى صافٍ صفري للانبعاثا</w:t>
            </w:r>
            <w:r w:rsidRPr="00CC3338">
              <w:rPr>
                <w:b/>
                <w:bCs/>
                <w:spacing w:val="-6"/>
                <w:rtl/>
              </w:rPr>
              <w:t>ت والتصدي للتحديات البيئية</w:t>
            </w:r>
            <w:r w:rsidRPr="00CC3338">
              <w:rPr>
                <w:rFonts w:hint="cs"/>
                <w:b/>
                <w:bCs/>
                <w:spacing w:val="-6"/>
                <w:rtl/>
              </w:rPr>
              <w:t>"</w:t>
            </w:r>
          </w:p>
          <w:p w14:paraId="5BCDCE60"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17324A0" w14:textId="77777777" w:rsidR="007B0AA0" w:rsidRPr="007B0AA0" w:rsidRDefault="007B0AA0" w:rsidP="007B0AA0">
            <w:pPr>
              <w:rPr>
                <w:b/>
                <w:bCs/>
                <w:rtl/>
              </w:rPr>
            </w:pPr>
            <w:r w:rsidRPr="007B0AA0">
              <w:rPr>
                <w:rFonts w:hint="cs"/>
                <w:b/>
                <w:bCs/>
                <w:rtl/>
              </w:rPr>
              <w:t>المراجع</w:t>
            </w:r>
          </w:p>
          <w:p w14:paraId="1F5C1D9B" w14:textId="3FD479D3" w:rsidR="00CF3C01" w:rsidRPr="00CF3C01" w:rsidRDefault="00CF3C01" w:rsidP="005F4544">
            <w:pPr>
              <w:pStyle w:val="enumlev1"/>
              <w:rPr>
                <w:rtl/>
              </w:rPr>
            </w:pPr>
            <w:r w:rsidRPr="00CF3C01">
              <w:rPr>
                <w:rFonts w:hint="cs"/>
                <w:rtl/>
              </w:rPr>
              <w:t>1</w:t>
            </w:r>
            <w:r w:rsidRPr="00CF3C01">
              <w:rPr>
                <w:rtl/>
              </w:rPr>
              <w:tab/>
              <w:t xml:space="preserve">تقرير </w:t>
            </w:r>
            <w:r w:rsidRPr="00CF3C01">
              <w:rPr>
                <w:rFonts w:hint="cs"/>
                <w:rtl/>
              </w:rPr>
              <w:t>ا</w:t>
            </w:r>
            <w:r w:rsidRPr="00CF3C01">
              <w:rPr>
                <w:rtl/>
              </w:rPr>
              <w:t>لهيئة الحكومية الدولية المعنية بتغير المناخ</w:t>
            </w:r>
            <w:r w:rsidRPr="00CF3C01">
              <w:rPr>
                <w:rFonts w:hint="cs"/>
                <w:rtl/>
              </w:rPr>
              <w:t xml:space="preserve">، </w:t>
            </w:r>
            <w:hyperlink r:id="rId8" w:history="1">
              <w:r w:rsidRPr="00CF3C01">
                <w:rPr>
                  <w:rStyle w:val="Hyperlink"/>
                  <w:rFonts w:hint="cs"/>
                  <w:i/>
                  <w:iCs/>
                  <w:rtl/>
                </w:rPr>
                <w:t>تغير المناخ 2023: تقرير تجميعي</w:t>
              </w:r>
            </w:hyperlink>
            <w:r w:rsidRPr="00CF3C01">
              <w:rPr>
                <w:rFonts w:hint="cs"/>
                <w:rtl/>
              </w:rPr>
              <w:t xml:space="preserve"> (2023)</w:t>
            </w:r>
          </w:p>
          <w:p w14:paraId="2BE874C3" w14:textId="5552615A" w:rsidR="00CF3C01" w:rsidRPr="00CF3C01" w:rsidRDefault="00CF3C01" w:rsidP="005F4544">
            <w:pPr>
              <w:pStyle w:val="enumlev1"/>
              <w:rPr>
                <w:rtl/>
              </w:rPr>
            </w:pPr>
            <w:r w:rsidRPr="00CF3C01">
              <w:rPr>
                <w:rFonts w:hint="cs"/>
                <w:rtl/>
              </w:rPr>
              <w:t>2</w:t>
            </w:r>
            <w:r w:rsidRPr="00CF3C01">
              <w:rPr>
                <w:rtl/>
              </w:rPr>
              <w:tab/>
              <w:t xml:space="preserve">هيئة المنظمين الأوروبيين للاتصالات </w:t>
            </w:r>
            <w:r w:rsidRPr="00CF3C01">
              <w:rPr>
                <w:rFonts w:hint="cs"/>
                <w:rtl/>
              </w:rPr>
              <w:t xml:space="preserve">الإلكترونية </w:t>
            </w:r>
            <w:r w:rsidRPr="00CF3C01">
              <w:t>(BEREC)</w:t>
            </w:r>
            <w:r w:rsidRPr="00CF3C01">
              <w:rPr>
                <w:rFonts w:hint="cs"/>
                <w:rtl/>
              </w:rPr>
              <w:t xml:space="preserve">، </w:t>
            </w:r>
            <w:hyperlink r:id="rId9" w:history="1">
              <w:r w:rsidRPr="00CF3C01">
                <w:rPr>
                  <w:rStyle w:val="Hyperlink"/>
                  <w:i/>
                  <w:iCs/>
                  <w:rtl/>
                </w:rPr>
                <w:t>الأثر البيئي للاتصالات الإلكترونية</w:t>
              </w:r>
            </w:hyperlink>
            <w:r w:rsidRPr="00CF3C01">
              <w:rPr>
                <w:cs/>
              </w:rPr>
              <w:t>‎</w:t>
            </w:r>
            <w:r w:rsidRPr="00CF3C01">
              <w:rPr>
                <w:rFonts w:hint="cs"/>
                <w:rtl/>
              </w:rPr>
              <w:t xml:space="preserve"> (2022)، 2</w:t>
            </w:r>
          </w:p>
          <w:p w14:paraId="0FD43230" w14:textId="11A399CA" w:rsidR="00CF3C01" w:rsidRPr="00CF3C01" w:rsidRDefault="00CF3C01" w:rsidP="005F4544">
            <w:pPr>
              <w:pStyle w:val="enumlev1"/>
              <w:rPr>
                <w:rtl/>
              </w:rPr>
            </w:pPr>
            <w:r w:rsidRPr="00CF3C01">
              <w:rPr>
                <w:rFonts w:hint="cs"/>
                <w:rtl/>
              </w:rPr>
              <w:t>3</w:t>
            </w:r>
            <w:r w:rsidRPr="00CF3C01">
              <w:rPr>
                <w:rtl/>
              </w:rPr>
              <w:tab/>
            </w:r>
            <w:r w:rsidRPr="00CF3C01">
              <w:rPr>
                <w:rFonts w:hint="cs"/>
                <w:rtl/>
              </w:rPr>
              <w:t xml:space="preserve">الاتحاد الدولي للاتصالات </w:t>
            </w:r>
            <w:hyperlink r:id="rId10" w:history="1">
              <w:r w:rsidRPr="00FD53D4">
                <w:rPr>
                  <w:rStyle w:val="Hyperlink"/>
                  <w:rFonts w:hint="cs"/>
                  <w:i/>
                  <w:iCs/>
                  <w:rtl/>
                </w:rPr>
                <w:t>و</w:t>
              </w:r>
              <w:r w:rsidRPr="00FD53D4">
                <w:rPr>
                  <w:rStyle w:val="Hyperlink"/>
                  <w:i/>
                  <w:iCs/>
                  <w:rtl/>
                </w:rPr>
                <w:t>الأمم المتحدة والمنتدى الاقتصادي العالمي والشركاء يجتمعون للتصدي لتحديات المخلفات الإلكترونية</w:t>
              </w:r>
            </w:hyperlink>
            <w:r w:rsidRPr="00CF3C01">
              <w:rPr>
                <w:rFonts w:hint="cs"/>
                <w:rtl/>
              </w:rPr>
              <w:t xml:space="preserve"> (2019)</w:t>
            </w:r>
          </w:p>
          <w:p w14:paraId="3950C93F" w14:textId="6E60D24E" w:rsidR="005F4544" w:rsidRDefault="00CF3C01" w:rsidP="00093F8E">
            <w:pPr>
              <w:pStyle w:val="enumlev1"/>
              <w:spacing w:after="120"/>
              <w:rPr>
                <w:rtl/>
              </w:rPr>
            </w:pPr>
            <w:r w:rsidRPr="00CF3C01">
              <w:rPr>
                <w:rFonts w:hint="cs"/>
                <w:rtl/>
              </w:rPr>
              <w:t>4</w:t>
            </w:r>
            <w:r w:rsidRPr="00CF3C01">
              <w:rPr>
                <w:rtl/>
              </w:rPr>
              <w:tab/>
            </w:r>
            <w:r w:rsidRPr="00CF3C01">
              <w:rPr>
                <w:rFonts w:hint="cs"/>
                <w:rtl/>
              </w:rPr>
              <w:t xml:space="preserve">رابطة </w:t>
            </w:r>
            <w:r w:rsidRPr="00CF3C01">
              <w:rPr>
                <w:rtl/>
              </w:rPr>
              <w:t>النظام العالمي للاتصالات المتنقلة</w:t>
            </w:r>
            <w:r w:rsidRPr="00CF3C01">
              <w:rPr>
                <w:rFonts w:hint="cs"/>
                <w:rtl/>
              </w:rPr>
              <w:t xml:space="preserve"> </w:t>
            </w:r>
            <w:r w:rsidRPr="00CF3C01">
              <w:rPr>
                <w:lang w:val="en-GB"/>
              </w:rPr>
              <w:t>(GSMA)</w:t>
            </w:r>
            <w:r w:rsidRPr="00CF3C01">
              <w:rPr>
                <w:rFonts w:hint="cs"/>
                <w:rtl/>
              </w:rPr>
              <w:t xml:space="preserve">، </w:t>
            </w:r>
            <w:hyperlink r:id="rId11" w:history="1">
              <w:r w:rsidRPr="006537CE">
                <w:rPr>
                  <w:rStyle w:val="Hyperlink"/>
                  <w:rFonts w:hint="cs"/>
                  <w:i/>
                  <w:iCs/>
                  <w:rtl/>
                </w:rPr>
                <w:t>تأثير التمكين</w:t>
              </w:r>
            </w:hyperlink>
            <w:r w:rsidRPr="00CF3C01">
              <w:rPr>
                <w:rFonts w:hint="cs"/>
                <w:rtl/>
              </w:rPr>
              <w:t xml:space="preserve"> (2019)، 9</w:t>
            </w:r>
          </w:p>
        </w:tc>
      </w:tr>
    </w:tbl>
    <w:p w14:paraId="280F1481" w14:textId="77777777" w:rsidR="00F50E3F" w:rsidRDefault="00F50E3F" w:rsidP="00CF3C01">
      <w:pPr>
        <w:rPr>
          <w:rtl/>
          <w:lang w:bidi="ar-EG"/>
        </w:rPr>
      </w:pPr>
      <w:r>
        <w:rPr>
          <w:rtl/>
          <w:lang w:bidi="ar-EG"/>
        </w:rPr>
        <w:br w:type="page"/>
      </w:r>
    </w:p>
    <w:p w14:paraId="641EBB4A" w14:textId="77777777" w:rsidR="00E90E14" w:rsidRDefault="00E90E14" w:rsidP="00EB391C">
      <w:pPr>
        <w:rPr>
          <w:rtl/>
          <w:lang w:bidi="ar-EG"/>
        </w:rPr>
      </w:pPr>
      <w:r>
        <w:rPr>
          <w:rtl/>
          <w:lang w:bidi="ar-EG"/>
        </w:rPr>
        <w:lastRenderedPageBreak/>
        <w:t>قدّرت الهيئة الحكومية الدولية المعنية بتغير المناخ أن تغير المناخ يشكل تهديداً لرفاهية الإنسان وصحة الكوكب وأن هناك فرصة وجيزة ومتضائلة لتأمين مستقبل مستدام وصالح للعيش للجميع (1).</w:t>
      </w:r>
    </w:p>
    <w:p w14:paraId="0A03DFBA" w14:textId="77777777" w:rsidR="00E90E14" w:rsidRPr="00241977" w:rsidRDefault="00E90E14" w:rsidP="00EB391C">
      <w:pPr>
        <w:rPr>
          <w:spacing w:val="-2"/>
          <w:rtl/>
          <w:lang w:bidi="ar-EG"/>
        </w:rPr>
      </w:pPr>
      <w:r w:rsidRPr="00241977">
        <w:rPr>
          <w:spacing w:val="-2"/>
          <w:rtl/>
          <w:lang w:bidi="ar-EG"/>
        </w:rPr>
        <w:t>‏وتساهم الاتصالات/تكنولوجيا المعلومات والاتصالات مساهمة كبيرة ومتزايدة في الانبعاثات، وتستهلك كميات متزايدة من الموارد المحدودة</w:t>
      </w:r>
      <w:r w:rsidRPr="00241977">
        <w:rPr>
          <w:spacing w:val="-2"/>
          <w:cs/>
          <w:lang w:bidi="ar-EG"/>
        </w:rPr>
        <w:t>‎</w:t>
      </w:r>
      <w:r w:rsidRPr="00241977">
        <w:rPr>
          <w:spacing w:val="-2"/>
          <w:rtl/>
          <w:lang w:bidi="ar-EG"/>
        </w:rPr>
        <w:t>. وتشير تقديرات تقرير هيئة المنظمين الأوروبيين للاتصالات الإلكترونية (</w:t>
      </w:r>
      <w:r w:rsidRPr="00241977">
        <w:rPr>
          <w:spacing w:val="-2"/>
          <w:lang w:bidi="ar-EG"/>
        </w:rPr>
        <w:t>BEREC</w:t>
      </w:r>
      <w:r w:rsidRPr="00241977">
        <w:rPr>
          <w:spacing w:val="-2"/>
          <w:rtl/>
          <w:lang w:bidi="ar-EG"/>
        </w:rPr>
        <w:t xml:space="preserve">) لعام 2022 إلى أن القطاع يساهم بحوالي 2-4% من الانبعاثات العالمية (2). وتشير تقديرات وكالات الأمم المتحدة إلى أن الاقتصاد العالمي أنتج في عام 2018 حوالي </w:t>
      </w:r>
      <w:r w:rsidRPr="00241977">
        <w:rPr>
          <w:spacing w:val="-2"/>
          <w:cs/>
          <w:lang w:bidi="ar-EG"/>
        </w:rPr>
        <w:t>‎</w:t>
      </w:r>
      <w:r w:rsidRPr="00241977">
        <w:rPr>
          <w:spacing w:val="-2"/>
          <w:lang w:bidi="ar-EG"/>
        </w:rPr>
        <w:t>50</w:t>
      </w:r>
      <w:r w:rsidRPr="00241977">
        <w:rPr>
          <w:spacing w:val="-2"/>
          <w:rtl/>
          <w:lang w:bidi="ar-EG"/>
        </w:rPr>
        <w:t xml:space="preserve"> ‏مليون طن من المخلفات الإلكترونية والكهربائية (</w:t>
      </w:r>
      <w:r w:rsidRPr="00241977">
        <w:rPr>
          <w:spacing w:val="-2"/>
          <w:cs/>
          <w:lang w:bidi="ar-EG"/>
        </w:rPr>
        <w:t>‎</w:t>
      </w:r>
      <w:r w:rsidRPr="00241977">
        <w:rPr>
          <w:spacing w:val="-2"/>
          <w:lang w:bidi="ar-EG"/>
        </w:rPr>
        <w:t>3</w:t>
      </w:r>
      <w:r w:rsidRPr="00241977">
        <w:rPr>
          <w:spacing w:val="-2"/>
          <w:rtl/>
          <w:lang w:bidi="ar-EG"/>
        </w:rPr>
        <w:t>). وللحد من الأثر البيئي لتكنولوجيا المعلومات والاتصالات، يجري وضع منهجيات لفهم أثرها البيئي، وتحديد المؤشرات والتدابير المشتركة، ووضع ممارسات جديدة تعزز التصميم البيئي والاستدامة</w:t>
      </w:r>
      <w:r w:rsidRPr="00241977">
        <w:rPr>
          <w:spacing w:val="-2"/>
          <w:cs/>
          <w:lang w:bidi="ar-EG"/>
        </w:rPr>
        <w:t>‎</w:t>
      </w:r>
      <w:r w:rsidRPr="00241977">
        <w:rPr>
          <w:spacing w:val="-2"/>
          <w:rtl/>
          <w:lang w:bidi="ar-EG"/>
        </w:rPr>
        <w:t>.</w:t>
      </w:r>
    </w:p>
    <w:p w14:paraId="51AA8DE1" w14:textId="77777777" w:rsidR="00E90E14" w:rsidRDefault="00E90E14" w:rsidP="00EB391C">
      <w:pPr>
        <w:rPr>
          <w:rtl/>
          <w:lang w:bidi="ar-EG"/>
        </w:rPr>
      </w:pPr>
      <w:r>
        <w:rPr>
          <w:rtl/>
          <w:lang w:bidi="ar-EG"/>
        </w:rPr>
        <w:t>ويمكن أن تتأثر الاتصالات/تكنولوجيا المعلومات والاتصالات بتغير المناخ. ويمكن أن تؤدي الأحداث المناخية القاسية مثل الفيضانات وموجات الحر إلى انقطاع الخدمة مع ما يترتب على ذلك من آثار اجتماعية واقتصادية كبيرة.</w:t>
      </w:r>
      <w:r>
        <w:rPr>
          <w:cs/>
          <w:lang w:bidi="ar-EG"/>
        </w:rPr>
        <w:t>‎</w:t>
      </w:r>
      <w:r>
        <w:rPr>
          <w:rtl/>
          <w:lang w:bidi="ar-EG"/>
        </w:rPr>
        <w:t xml:space="preserve"> ‏وللحكومات والهيئات التنظيمية والصناعة مصلحة مشتركة في وضع نماذج </w:t>
      </w:r>
      <w:proofErr w:type="spellStart"/>
      <w:r>
        <w:rPr>
          <w:rtl/>
          <w:lang w:bidi="ar-EG"/>
        </w:rPr>
        <w:t>سياساتية</w:t>
      </w:r>
      <w:proofErr w:type="spellEnd"/>
      <w:r>
        <w:rPr>
          <w:rtl/>
          <w:lang w:bidi="ar-EG"/>
        </w:rPr>
        <w:t xml:space="preserve"> وتنظيمية، وقواعد ممارسات، وأطر أخرى لدعم مرونة الشبكات في مواجهة هذه التحديات.</w:t>
      </w:r>
      <w:r>
        <w:rPr>
          <w:cs/>
          <w:lang w:bidi="ar-EG"/>
        </w:rPr>
        <w:t>‎‎</w:t>
      </w:r>
    </w:p>
    <w:p w14:paraId="1711CA21" w14:textId="45510B89" w:rsidR="00E90E14" w:rsidRPr="00003F65" w:rsidRDefault="00E90E14" w:rsidP="00EB391C">
      <w:pPr>
        <w:rPr>
          <w:spacing w:val="-2"/>
          <w:rtl/>
          <w:lang w:bidi="ar-EG"/>
        </w:rPr>
      </w:pPr>
      <w:r w:rsidRPr="00003F65">
        <w:rPr>
          <w:spacing w:val="-2"/>
          <w:rtl/>
          <w:lang w:bidi="ar-EG"/>
        </w:rPr>
        <w:t xml:space="preserve">ويجب أن يستفيد واضعو السياسات أيضاً من الدور التحويلي الذي يمكن أن تؤديه الاتصالات/تكنولوجيا المعلومات والاتصالات في الحد من انبعاثات غازات الاحتباس الحراري والتخفيف من آثار تغير المناخ. ومع زيادة التوصيلية، يمكن لقطاعات مثل النقل والطاقة والتصنيع تحويل انبعاثاتها رقمياً وتقليلها. وتشير تقديرات </w:t>
      </w:r>
      <w:r w:rsidRPr="00003F65">
        <w:rPr>
          <w:spacing w:val="-2"/>
          <w:cs/>
          <w:lang w:bidi="ar-EG"/>
        </w:rPr>
        <w:t>‎</w:t>
      </w:r>
      <w:r w:rsidRPr="00003F65">
        <w:rPr>
          <w:spacing w:val="-2"/>
          <w:rtl/>
          <w:lang w:bidi="ar-EG"/>
        </w:rPr>
        <w:t>رابطة النظام العالمي للاتصالات المتنقلة إلى أن "‏تأثير</w:t>
      </w:r>
      <w:r w:rsidR="00003F65">
        <w:rPr>
          <w:rFonts w:hint="cs"/>
          <w:spacing w:val="-2"/>
          <w:rtl/>
          <w:lang w:bidi="ar-EG"/>
        </w:rPr>
        <w:t> </w:t>
      </w:r>
      <w:r w:rsidRPr="00003F65">
        <w:rPr>
          <w:spacing w:val="-2"/>
          <w:rtl/>
          <w:lang w:bidi="ar-EG"/>
        </w:rPr>
        <w:t xml:space="preserve">التمكين" هذا يتيح تحقيق وفورات بنسبة </w:t>
      </w:r>
      <w:r w:rsidRPr="00003F65">
        <w:rPr>
          <w:spacing w:val="-2"/>
          <w:cs/>
          <w:lang w:bidi="ar-EG"/>
        </w:rPr>
        <w:t>‎</w:t>
      </w:r>
      <w:r w:rsidRPr="00003F65">
        <w:rPr>
          <w:spacing w:val="-2"/>
          <w:lang w:bidi="ar-EG"/>
        </w:rPr>
        <w:t>10</w:t>
      </w:r>
      <w:r w:rsidRPr="00003F65">
        <w:rPr>
          <w:spacing w:val="-2"/>
          <w:rtl/>
          <w:lang w:bidi="ar-EG"/>
        </w:rPr>
        <w:t>:</w:t>
      </w:r>
      <w:r w:rsidRPr="00003F65">
        <w:rPr>
          <w:spacing w:val="-2"/>
          <w:lang w:bidi="ar-EG"/>
        </w:rPr>
        <w:t>1</w:t>
      </w:r>
      <w:r w:rsidRPr="00003F65">
        <w:rPr>
          <w:spacing w:val="-2"/>
          <w:rtl/>
          <w:lang w:bidi="ar-EG"/>
        </w:rPr>
        <w:t>‏ (4). ويمكن لخدمات الاتصالات أيضاً أن تؤدي أدواراً منقذة للحياة في الكوارث الطبيعية والأحوال الجوية القاسية.</w:t>
      </w:r>
      <w:r w:rsidRPr="00003F65">
        <w:rPr>
          <w:spacing w:val="-2"/>
          <w:cs/>
          <w:lang w:bidi="ar-EG"/>
        </w:rPr>
        <w:t>‎</w:t>
      </w:r>
    </w:p>
    <w:p w14:paraId="20842237" w14:textId="2E7ED108" w:rsidR="00E90E14" w:rsidRDefault="00E90E14" w:rsidP="00EB391C">
      <w:pPr>
        <w:rPr>
          <w:rtl/>
          <w:lang w:bidi="ar-EG"/>
        </w:rPr>
      </w:pPr>
      <w:r>
        <w:rPr>
          <w:rtl/>
          <w:lang w:bidi="ar-EG"/>
        </w:rPr>
        <w:t>وقد أُنجزت بعض الأعمال بالفعل بشأن هذه القضايا في الاتحاد. ومنها على سبيل المثال ما يلي:</w:t>
      </w:r>
    </w:p>
    <w:p w14:paraId="082163BD" w14:textId="22C5C956" w:rsidR="00E90E14" w:rsidRDefault="001834F9" w:rsidP="001834F9">
      <w:pPr>
        <w:pStyle w:val="enumlev1"/>
        <w:rPr>
          <w:rtl/>
        </w:rPr>
      </w:pPr>
      <w:bookmarkStart w:id="4" w:name="_Hlk116318639"/>
      <w:r w:rsidRPr="001834F9">
        <w:sym w:font="Symbol" w:char="F0B7"/>
      </w:r>
      <w:bookmarkEnd w:id="4"/>
      <w:r w:rsidR="00E90E14">
        <w:rPr>
          <w:rtl/>
        </w:rPr>
        <w:tab/>
        <w:t>يقوم قطاع تنمية الاتصالات بدراسة تكنولوجيا المعلومات والاتصالات وتغير المناخ والطريقة التي يمكن بها لتكنولوجيا المعلومات والاتصالات أن تساعد في مراقبة تغير المناخ.</w:t>
      </w:r>
      <w:r w:rsidR="00E90E14">
        <w:rPr>
          <w:cs/>
        </w:rPr>
        <w:t>‎</w:t>
      </w:r>
    </w:p>
    <w:p w14:paraId="03FBEF47" w14:textId="658B62BC" w:rsidR="00E90E14" w:rsidRDefault="001834F9" w:rsidP="001834F9">
      <w:pPr>
        <w:pStyle w:val="enumlev1"/>
        <w:rPr>
          <w:rtl/>
        </w:rPr>
      </w:pPr>
      <w:r w:rsidRPr="001834F9">
        <w:sym w:font="Symbol" w:char="F0B7"/>
      </w:r>
      <w:r w:rsidR="00E90E14">
        <w:rPr>
          <w:rtl/>
        </w:rPr>
        <w:tab/>
        <w:t xml:space="preserve">تجري لجنة الدراسات </w:t>
      </w:r>
      <w:r w:rsidR="00E90E14">
        <w:rPr>
          <w:cs/>
        </w:rPr>
        <w:t>‎</w:t>
      </w:r>
      <w:r w:rsidR="00E90E14">
        <w:t>5</w:t>
      </w:r>
      <w:r w:rsidR="00E90E14">
        <w:rPr>
          <w:rtl/>
        </w:rPr>
        <w:t xml:space="preserve"> ‏التابعة لقطاع تقييس الاتصالات دراسات بشأن منهجيات تقييم آثار تكنولوجيا المعلومات والاتصالات على تغير المناخ وتنشر مبادئ توجيهية لاستعمال تكنولوجيا المعلومات والاتصالات بطريقة مراعية للبيئة.</w:t>
      </w:r>
      <w:r w:rsidR="00E90E14">
        <w:rPr>
          <w:cs/>
        </w:rPr>
        <w:t>‎</w:t>
      </w:r>
    </w:p>
    <w:p w14:paraId="7317314F" w14:textId="26D4C161" w:rsidR="00E90E14" w:rsidRDefault="001834F9" w:rsidP="001834F9">
      <w:pPr>
        <w:pStyle w:val="enumlev1"/>
        <w:rPr>
          <w:rtl/>
        </w:rPr>
      </w:pPr>
      <w:r w:rsidRPr="001834F9">
        <w:sym w:font="Symbol" w:char="F0B7"/>
      </w:r>
      <w:r w:rsidR="00E90E14">
        <w:rPr>
          <w:rtl/>
        </w:rPr>
        <w:tab/>
        <w:t>يرتئي قطاع الاتصالات الراديوية أن الاتصالات المتنقلة الدولية</w:t>
      </w:r>
      <w:r w:rsidR="00705871">
        <w:rPr>
          <w:rFonts w:hint="cs"/>
          <w:rtl/>
        </w:rPr>
        <w:t>-</w:t>
      </w:r>
      <w:r w:rsidR="00E90E14">
        <w:rPr>
          <w:cs/>
        </w:rPr>
        <w:t>‎</w:t>
      </w:r>
      <w:r w:rsidR="00E90E14">
        <w:t>2030</w:t>
      </w:r>
      <w:r w:rsidR="00E90E14">
        <w:rPr>
          <w:rtl/>
        </w:rPr>
        <w:t xml:space="preserve"> ينبغي أن ترتكز على كفاءة استخدام الطاقة والتكنولوجيات منخفضة استهلاك الطاقة والحد من انبعاثات غازات الاحتباس الحراري والاستخدام المناسب للموارد في إطار النموذج المطبق للاقتصاد الدائري.</w:t>
      </w:r>
      <w:r w:rsidR="00E90E14">
        <w:rPr>
          <w:cs/>
        </w:rPr>
        <w:t>‎</w:t>
      </w:r>
    </w:p>
    <w:p w14:paraId="5BCB9E95" w14:textId="50D42503" w:rsidR="00E90E14" w:rsidRDefault="00E90E14" w:rsidP="00EB391C">
      <w:pPr>
        <w:rPr>
          <w:rtl/>
          <w:lang w:bidi="ar-EG"/>
        </w:rPr>
      </w:pPr>
      <w:r>
        <w:rPr>
          <w:cs/>
          <w:lang w:bidi="ar-EG"/>
        </w:rPr>
        <w:t>‎</w:t>
      </w:r>
      <w:r>
        <w:rPr>
          <w:rtl/>
          <w:lang w:bidi="ar-EG"/>
        </w:rPr>
        <w:t>وتبعث هذه الأمثلة وغيرها على التفاؤل، ولكن حجم التحدي وطابعه الملح يتطلبان نهجاً سياسياً أكثر استدامة وتنسيقاً وابتكاراً. ‏ويجب القيام بعمل عاجل لمعالجة هذه القضايا بطريقة شاملة ومشتركة ووضع جدول أعمال سياسي طموح واستشرافي.</w:t>
      </w:r>
      <w:r>
        <w:rPr>
          <w:cs/>
          <w:lang w:bidi="ar-EG"/>
        </w:rPr>
        <w:t>‎</w:t>
      </w:r>
      <w:r>
        <w:rPr>
          <w:rtl/>
          <w:lang w:bidi="ar-EG"/>
        </w:rPr>
        <w:t xml:space="preserve"> وكما</w:t>
      </w:r>
      <w:r w:rsidR="001834F9">
        <w:rPr>
          <w:rFonts w:hint="cs"/>
          <w:rtl/>
          <w:lang w:bidi="ar-EG"/>
        </w:rPr>
        <w:t> </w:t>
      </w:r>
      <w:r>
        <w:rPr>
          <w:rtl/>
          <w:lang w:bidi="ar-EG"/>
        </w:rPr>
        <w:t>ناقش فريق تعبئة الموارد التابع لفريق العمل التابع للمجلس والمعني بالموارد المالية والبشرية، فإن هذا التوسع في</w:t>
      </w:r>
      <w:r w:rsidR="001834F9">
        <w:rPr>
          <w:rFonts w:hint="cs"/>
          <w:rtl/>
          <w:lang w:bidi="ar-EG"/>
        </w:rPr>
        <w:t> </w:t>
      </w:r>
      <w:r>
        <w:rPr>
          <w:rtl/>
          <w:lang w:bidi="ar-EG"/>
        </w:rPr>
        <w:t>الطموح بشأن العمل الرقمي المراعي للبيئة سيقع خارج نطاق أنشطة الاتحاد الأساسية الممولة حالياً.</w:t>
      </w:r>
      <w:r>
        <w:rPr>
          <w:cs/>
          <w:lang w:bidi="ar-EG"/>
        </w:rPr>
        <w:t>‎</w:t>
      </w:r>
    </w:p>
    <w:p w14:paraId="2D8F8FC6" w14:textId="77777777" w:rsidR="00E90E14" w:rsidRDefault="00E90E14" w:rsidP="00EB391C">
      <w:pPr>
        <w:rPr>
          <w:rtl/>
          <w:lang w:bidi="ar-EG"/>
        </w:rPr>
      </w:pPr>
      <w:r>
        <w:rPr>
          <w:rtl/>
          <w:lang w:bidi="ar-EG"/>
        </w:rPr>
        <w:t xml:space="preserve">ويمكن أن يكون المنتدى </w:t>
      </w:r>
      <w:r>
        <w:rPr>
          <w:cs/>
          <w:lang w:bidi="ar-EG"/>
        </w:rPr>
        <w:t>‎</w:t>
      </w:r>
      <w:r>
        <w:rPr>
          <w:lang w:bidi="ar-EG"/>
        </w:rPr>
        <w:t>WTPF-26</w:t>
      </w:r>
      <w:r>
        <w:rPr>
          <w:rtl/>
          <w:lang w:bidi="ar-EG"/>
        </w:rPr>
        <w:t xml:space="preserve"> بمثابة ‏منصة تتيح إجراء مناقشة أوسع نطاقاً وموجهة نحو المستقبل بشأن قضايا السياسة العامة التي لا تتناسب دائماً مع هيكل القطاع. فعلى سبيل المثال يمكن أن ينظر في آراء تتعلق بالمواضيع التالية:</w:t>
      </w:r>
    </w:p>
    <w:p w14:paraId="778B6A01" w14:textId="4A994335" w:rsidR="00E90E14" w:rsidRDefault="00AA54AB" w:rsidP="00AA54AB">
      <w:pPr>
        <w:pStyle w:val="enumlev1"/>
        <w:rPr>
          <w:rtl/>
        </w:rPr>
      </w:pPr>
      <w:r w:rsidRPr="001834F9">
        <w:sym w:font="Symbol" w:char="F0B7"/>
      </w:r>
      <w:r w:rsidR="00E90E14">
        <w:rPr>
          <w:rtl/>
        </w:rPr>
        <w:tab/>
        <w:t>وضع سياسات للحد من الأثر البيئي للاتصالات/تكنولوجيا المعلومات والاتصالات ودعم صافي الانبعاثات الصفرية</w:t>
      </w:r>
      <w:r w:rsidR="00E90E14">
        <w:rPr>
          <w:cs/>
        </w:rPr>
        <w:t>‎</w:t>
      </w:r>
      <w:r w:rsidR="00E90E14">
        <w:rPr>
          <w:rtl/>
        </w:rPr>
        <w:t>.</w:t>
      </w:r>
    </w:p>
    <w:p w14:paraId="3A6EA8B7" w14:textId="3E2DBD26" w:rsidR="00E90E14" w:rsidRPr="00AA54AB" w:rsidRDefault="00AA54AB" w:rsidP="00AA54AB">
      <w:pPr>
        <w:pStyle w:val="enumlev1"/>
        <w:rPr>
          <w:spacing w:val="-4"/>
          <w:rtl/>
        </w:rPr>
      </w:pPr>
      <w:r w:rsidRPr="00AA54AB">
        <w:rPr>
          <w:spacing w:val="-4"/>
        </w:rPr>
        <w:sym w:font="Symbol" w:char="F0B7"/>
      </w:r>
      <w:r w:rsidR="00E90E14" w:rsidRPr="00AA54AB">
        <w:rPr>
          <w:spacing w:val="-4"/>
          <w:rtl/>
        </w:rPr>
        <w:tab/>
        <w:t>وضع سياسات لتسخير إمكانات الاتصالات/تكنولوجيا المعلومات والاتصالات لرصد آثار تغير المناخ والتخفيف من حدتها.</w:t>
      </w:r>
      <w:r w:rsidR="00E90E14" w:rsidRPr="00AA54AB">
        <w:rPr>
          <w:spacing w:val="-4"/>
          <w:cs/>
        </w:rPr>
        <w:t>‎</w:t>
      </w:r>
    </w:p>
    <w:p w14:paraId="424B542A" w14:textId="4AD3F12A" w:rsidR="00E90E14" w:rsidRDefault="00AA54AB" w:rsidP="00AA54AB">
      <w:pPr>
        <w:pStyle w:val="enumlev1"/>
        <w:rPr>
          <w:rtl/>
        </w:rPr>
      </w:pPr>
      <w:r w:rsidRPr="001834F9">
        <w:sym w:font="Symbol" w:char="F0B7"/>
      </w:r>
      <w:r w:rsidR="00E90E14">
        <w:rPr>
          <w:rtl/>
        </w:rPr>
        <w:tab/>
        <w:t>وضع سياسات لتعزيز مرونة الاتصالات/تكنولوجيا المعلومات والاتصالات في مواجهة آثار تغير المناخ.</w:t>
      </w:r>
      <w:r w:rsidR="00E90E14">
        <w:rPr>
          <w:cs/>
        </w:rPr>
        <w:t>‎</w:t>
      </w:r>
    </w:p>
    <w:p w14:paraId="5EE8A75F" w14:textId="79E6733A" w:rsidR="00E90E14" w:rsidRDefault="00E90E14" w:rsidP="00EB391C">
      <w:pPr>
        <w:rPr>
          <w:rtl/>
          <w:lang w:bidi="ar-EG"/>
        </w:rPr>
      </w:pPr>
      <w:r>
        <w:rPr>
          <w:rtl/>
          <w:lang w:bidi="ar-EG"/>
        </w:rPr>
        <w:t>ويمكن للمنتدى أن يدعو الحكومات والهيئات التنظيمية والقطاع الخاص وأصحاب المصلحة الآخرين إلى دعم مناقشة مستنيرة ومثمرة، في ضوء مجموعة من التجارب والمنظورات العالمية</w:t>
      </w:r>
      <w:r>
        <w:rPr>
          <w:cs/>
          <w:lang w:bidi="ar-EG"/>
        </w:rPr>
        <w:t>‎</w:t>
      </w:r>
      <w:r>
        <w:rPr>
          <w:rtl/>
          <w:lang w:bidi="ar-EG"/>
        </w:rPr>
        <w:t>. ‏ومن شأن ذلك أن يدعم الدول الأعضاء في تحقيق أهدافها المتعلقة بالتحول الرقمي وصافي الانبعاثات الصفرية، وقد يوفر أيضاً مدخلات مهمة في مناقشات تغير المناخ.</w:t>
      </w:r>
      <w:r>
        <w:rPr>
          <w:cs/>
          <w:lang w:bidi="ar-EG"/>
        </w:rPr>
        <w:t>‎</w:t>
      </w:r>
      <w:r w:rsidR="00394A34">
        <w:rPr>
          <w:rFonts w:hint="cs"/>
          <w:rtl/>
          <w:cs/>
          <w:lang w:bidi="ar-EG"/>
        </w:rPr>
        <w:t xml:space="preserve"> </w:t>
      </w:r>
    </w:p>
    <w:p w14:paraId="65926C55" w14:textId="1E69D8BB" w:rsidR="00F50E3F" w:rsidRDefault="00E90E14" w:rsidP="00EB391C">
      <w:pPr>
        <w:rPr>
          <w:rtl/>
          <w:lang w:bidi="ar-EG"/>
        </w:rPr>
      </w:pPr>
      <w:r>
        <w:rPr>
          <w:rtl/>
          <w:lang w:bidi="ar-EG"/>
        </w:rPr>
        <w:t xml:space="preserve">وإن التصدي للتحديات البيئية يمثل أولوية عالمية ملحة. ويمكن أن يوفر المنتدى </w:t>
      </w:r>
      <w:r>
        <w:rPr>
          <w:cs/>
          <w:lang w:bidi="ar-EG"/>
        </w:rPr>
        <w:t>‎</w:t>
      </w:r>
      <w:r>
        <w:rPr>
          <w:lang w:bidi="ar-EG"/>
        </w:rPr>
        <w:t>WTPF-26</w:t>
      </w:r>
      <w:r>
        <w:rPr>
          <w:rtl/>
          <w:lang w:bidi="ar-EG"/>
        </w:rPr>
        <w:t xml:space="preserve"> ‏منصة مهمة لمعالجة الفرص والتحديات بشكل شامل، والجمع بين واضعي السياسات لصياغة رؤية مشتركة ووضع جدول أعمال السياسات للمستقبل.</w:t>
      </w:r>
      <w:r>
        <w:rPr>
          <w:cs/>
          <w:lang w:bidi="ar-EG"/>
        </w:rPr>
        <w:t>‎</w:t>
      </w:r>
    </w:p>
    <w:p w14:paraId="3D52E00E" w14:textId="10F5C6B3" w:rsidR="00F50E3F" w:rsidRDefault="00347B6D"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w:t>
      </w:r>
    </w:p>
    <w:sectPr w:rsidR="00F50E3F" w:rsidSect="006C3242">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AEB2" w14:textId="77777777" w:rsidR="00340858" w:rsidRDefault="00340858" w:rsidP="006C3242">
      <w:pPr>
        <w:spacing w:before="0" w:line="240" w:lineRule="auto"/>
      </w:pPr>
      <w:r>
        <w:separator/>
      </w:r>
    </w:p>
  </w:endnote>
  <w:endnote w:type="continuationSeparator" w:id="0">
    <w:p w14:paraId="75A87ACF" w14:textId="77777777" w:rsidR="00340858" w:rsidRDefault="0034085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53B38729" w14:textId="77777777" w:rsidTr="00357086">
      <w:trPr>
        <w:jc w:val="center"/>
      </w:trPr>
      <w:tc>
        <w:tcPr>
          <w:tcW w:w="868" w:type="pct"/>
          <w:vAlign w:val="center"/>
        </w:tcPr>
        <w:p w14:paraId="4B68A538" w14:textId="49D684E5"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08972346" w14:textId="1DA4F2A9"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1D441D">
            <w:rPr>
              <w:rFonts w:ascii="Calibri" w:hAnsi="Calibri" w:cs="Arial"/>
              <w:bCs/>
              <w:color w:val="7F7F7F"/>
              <w:sz w:val="18"/>
            </w:rPr>
            <w:t>75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930E450"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9550F48" w14:textId="2F99589D" w:rsidR="00387876" w:rsidRPr="0026373E" w:rsidRDefault="00387876" w:rsidP="001D441D">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872FA24" w14:textId="77777777" w:rsidTr="00F50E3F">
      <w:trPr>
        <w:jc w:val="center"/>
      </w:trPr>
      <w:tc>
        <w:tcPr>
          <w:tcW w:w="868" w:type="pct"/>
          <w:vAlign w:val="center"/>
        </w:tcPr>
        <w:p w14:paraId="35AA267D" w14:textId="77777777" w:rsidR="007B0AA0" w:rsidRPr="007B0AA0" w:rsidRDefault="00BD5C0A"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B935F20" w14:textId="58A009F9"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E90E14">
            <w:rPr>
              <w:rFonts w:ascii="Calibri" w:hAnsi="Calibri" w:cs="Arial"/>
              <w:bCs/>
              <w:color w:val="7F7F7F"/>
              <w:sz w:val="18"/>
            </w:rPr>
            <w:t>75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FB54709"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DF2F0B2" w14:textId="0277237E" w:rsidR="00387876" w:rsidRPr="0026373E" w:rsidRDefault="00387876" w:rsidP="001D441D">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577F" w14:textId="77777777" w:rsidR="00340858" w:rsidRDefault="00340858" w:rsidP="006C3242">
      <w:pPr>
        <w:spacing w:before="0" w:line="240" w:lineRule="auto"/>
      </w:pPr>
      <w:r>
        <w:separator/>
      </w:r>
    </w:p>
  </w:footnote>
  <w:footnote w:type="continuationSeparator" w:id="0">
    <w:p w14:paraId="5622DD49" w14:textId="77777777" w:rsidR="00340858" w:rsidRDefault="0034085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9964"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CA670FF" wp14:editId="1849EAE3">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FF885"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66C4D0DE" wp14:editId="278DBCA7">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58"/>
    <w:rsid w:val="00003F65"/>
    <w:rsid w:val="0006468A"/>
    <w:rsid w:val="00090574"/>
    <w:rsid w:val="0009186A"/>
    <w:rsid w:val="00093F8E"/>
    <w:rsid w:val="000C1C0E"/>
    <w:rsid w:val="000C548A"/>
    <w:rsid w:val="001834F9"/>
    <w:rsid w:val="00195B5F"/>
    <w:rsid w:val="001C0169"/>
    <w:rsid w:val="001D1D50"/>
    <w:rsid w:val="001D441D"/>
    <w:rsid w:val="001D6745"/>
    <w:rsid w:val="001E446E"/>
    <w:rsid w:val="002154EE"/>
    <w:rsid w:val="002276D2"/>
    <w:rsid w:val="0023283D"/>
    <w:rsid w:val="00241977"/>
    <w:rsid w:val="0026373E"/>
    <w:rsid w:val="00271C43"/>
    <w:rsid w:val="00290728"/>
    <w:rsid w:val="002978F4"/>
    <w:rsid w:val="002B028D"/>
    <w:rsid w:val="002E6541"/>
    <w:rsid w:val="00331E1D"/>
    <w:rsid w:val="00334924"/>
    <w:rsid w:val="00340858"/>
    <w:rsid w:val="003409BC"/>
    <w:rsid w:val="00347B6D"/>
    <w:rsid w:val="00357185"/>
    <w:rsid w:val="00383829"/>
    <w:rsid w:val="00387876"/>
    <w:rsid w:val="00394A34"/>
    <w:rsid w:val="003F4B29"/>
    <w:rsid w:val="0042686F"/>
    <w:rsid w:val="004317D8"/>
    <w:rsid w:val="00434183"/>
    <w:rsid w:val="00443869"/>
    <w:rsid w:val="00447F32"/>
    <w:rsid w:val="004B7334"/>
    <w:rsid w:val="004E11DC"/>
    <w:rsid w:val="00525DDD"/>
    <w:rsid w:val="005409AC"/>
    <w:rsid w:val="0055516A"/>
    <w:rsid w:val="00562A38"/>
    <w:rsid w:val="00574694"/>
    <w:rsid w:val="0058491B"/>
    <w:rsid w:val="00592EA5"/>
    <w:rsid w:val="005A3170"/>
    <w:rsid w:val="005F4544"/>
    <w:rsid w:val="006537CE"/>
    <w:rsid w:val="00677396"/>
    <w:rsid w:val="0069200F"/>
    <w:rsid w:val="006A65CB"/>
    <w:rsid w:val="006C3242"/>
    <w:rsid w:val="006C7CC0"/>
    <w:rsid w:val="006F63F7"/>
    <w:rsid w:val="007025C7"/>
    <w:rsid w:val="00705871"/>
    <w:rsid w:val="00706D7A"/>
    <w:rsid w:val="00722F0D"/>
    <w:rsid w:val="0074420E"/>
    <w:rsid w:val="00783E26"/>
    <w:rsid w:val="007B0AA0"/>
    <w:rsid w:val="007C3BC7"/>
    <w:rsid w:val="007C3BCD"/>
    <w:rsid w:val="007D4ACF"/>
    <w:rsid w:val="007F0787"/>
    <w:rsid w:val="00810B7B"/>
    <w:rsid w:val="0082358A"/>
    <w:rsid w:val="008235CD"/>
    <w:rsid w:val="00823F78"/>
    <w:rsid w:val="008247DE"/>
    <w:rsid w:val="008339C0"/>
    <w:rsid w:val="00840B10"/>
    <w:rsid w:val="008513CB"/>
    <w:rsid w:val="008A7F84"/>
    <w:rsid w:val="0091702E"/>
    <w:rsid w:val="00921310"/>
    <w:rsid w:val="00923B0C"/>
    <w:rsid w:val="0094021C"/>
    <w:rsid w:val="00952F86"/>
    <w:rsid w:val="00974B51"/>
    <w:rsid w:val="00982B28"/>
    <w:rsid w:val="009B236B"/>
    <w:rsid w:val="009D313F"/>
    <w:rsid w:val="00A1070D"/>
    <w:rsid w:val="00A47A5A"/>
    <w:rsid w:val="00A6683B"/>
    <w:rsid w:val="00A97F94"/>
    <w:rsid w:val="00AA54AB"/>
    <w:rsid w:val="00AA7EA2"/>
    <w:rsid w:val="00B03099"/>
    <w:rsid w:val="00B05BC8"/>
    <w:rsid w:val="00B6080B"/>
    <w:rsid w:val="00B64B47"/>
    <w:rsid w:val="00B91B14"/>
    <w:rsid w:val="00B95654"/>
    <w:rsid w:val="00BD5C0A"/>
    <w:rsid w:val="00C002DE"/>
    <w:rsid w:val="00C53BF8"/>
    <w:rsid w:val="00C66157"/>
    <w:rsid w:val="00C674FE"/>
    <w:rsid w:val="00C67501"/>
    <w:rsid w:val="00C75633"/>
    <w:rsid w:val="00CC3338"/>
    <w:rsid w:val="00CE2EE1"/>
    <w:rsid w:val="00CE3349"/>
    <w:rsid w:val="00CE36E5"/>
    <w:rsid w:val="00CF27F5"/>
    <w:rsid w:val="00CF3C01"/>
    <w:rsid w:val="00CF3FFD"/>
    <w:rsid w:val="00D10CCF"/>
    <w:rsid w:val="00D13941"/>
    <w:rsid w:val="00D63735"/>
    <w:rsid w:val="00D77D0F"/>
    <w:rsid w:val="00DA1CF0"/>
    <w:rsid w:val="00DC1E02"/>
    <w:rsid w:val="00DC24B4"/>
    <w:rsid w:val="00DC5FB0"/>
    <w:rsid w:val="00DF16DC"/>
    <w:rsid w:val="00E45211"/>
    <w:rsid w:val="00E473C5"/>
    <w:rsid w:val="00E61BE8"/>
    <w:rsid w:val="00E90E14"/>
    <w:rsid w:val="00E92863"/>
    <w:rsid w:val="00E95327"/>
    <w:rsid w:val="00EB391C"/>
    <w:rsid w:val="00EB796D"/>
    <w:rsid w:val="00F058DC"/>
    <w:rsid w:val="00F24FC4"/>
    <w:rsid w:val="00F2676C"/>
    <w:rsid w:val="00F363FE"/>
    <w:rsid w:val="00F50E3F"/>
    <w:rsid w:val="00F5309E"/>
    <w:rsid w:val="00F84366"/>
    <w:rsid w:val="00F85089"/>
    <w:rsid w:val="00F974C5"/>
    <w:rsid w:val="00FA6F46"/>
    <w:rsid w:val="00FC4592"/>
    <w:rsid w:val="00FD4770"/>
    <w:rsid w:val="00FD527F"/>
    <w:rsid w:val="00FD53D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40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921310"/>
    <w:rPr>
      <w:color w:val="605E5C"/>
      <w:shd w:val="clear" w:color="auto" w:fill="E1DFDD"/>
    </w:rPr>
  </w:style>
  <w:style w:type="character" w:styleId="FollowedHyperlink">
    <w:name w:val="FollowedHyperlink"/>
    <w:basedOn w:val="DefaultParagraphFont"/>
    <w:uiPriority w:val="99"/>
    <w:semiHidden/>
    <w:unhideWhenUsed/>
    <w:rsid w:val="009213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cc.ch/report/ar6/syr/downloads/report/IPCC_AR6_SYR_SPM.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ma.com/betterfuture/wp-content/uploads/2019/12/GSMA_Enablement_Effec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ar/mediacentre/Pages/2019-PR01.aspx" TargetMode="External"/><Relationship Id="rId4" Type="http://schemas.openxmlformats.org/officeDocument/2006/relationships/settings" Target="settings.xml"/><Relationship Id="rId9" Type="http://schemas.openxmlformats.org/officeDocument/2006/relationships/hyperlink" Target="https://www.berec.europa.eu/sites/default/files/files/document_register_store/2022/3/BoR%20%2822%29%2034_External%20Sustainability%20Study%20on%20Environmental%20impact%20of%20EC.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2</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2024-05-30T07:09:00Z</dcterms:created>
  <dcterms:modified xsi:type="dcterms:W3CDTF">2024-05-30T07:09:00Z</dcterms:modified>
  <cp:category>Conference document</cp:category>
</cp:coreProperties>
</file>