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086992D7" w14:textId="77777777" w:rsidTr="00E31DCE">
        <w:trPr>
          <w:cantSplit/>
          <w:trHeight w:val="23"/>
        </w:trPr>
        <w:tc>
          <w:tcPr>
            <w:tcW w:w="3969" w:type="dxa"/>
            <w:vMerge w:val="restart"/>
            <w:tcMar>
              <w:left w:w="0" w:type="dxa"/>
            </w:tcMar>
          </w:tcPr>
          <w:p w14:paraId="70CD2988" w14:textId="7954177D"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CE59F1" w:rsidRPr="00CE59F1">
              <w:rPr>
                <w:rFonts w:cstheme="minorHAnsi"/>
                <w:b/>
                <w:bCs/>
                <w:lang w:val="ru-RU"/>
              </w:rPr>
              <w:t>PL 2</w:t>
            </w:r>
          </w:p>
        </w:tc>
        <w:tc>
          <w:tcPr>
            <w:tcW w:w="5245" w:type="dxa"/>
          </w:tcPr>
          <w:p w14:paraId="09BF3BE6" w14:textId="396AC599"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sidRPr="00E24D59">
              <w:rPr>
                <w:b/>
                <w:lang w:val="fr-CH"/>
              </w:rPr>
              <w:t>C2</w:t>
            </w:r>
            <w:r w:rsidR="00B93453">
              <w:rPr>
                <w:b/>
                <w:lang w:val="fr-CH"/>
              </w:rPr>
              <w:t>4</w:t>
            </w:r>
            <w:r w:rsidRPr="00E24D59">
              <w:rPr>
                <w:b/>
                <w:lang w:val="fr-CH"/>
              </w:rPr>
              <w:t>/</w:t>
            </w:r>
            <w:r w:rsidR="00CE59F1">
              <w:rPr>
                <w:rFonts w:hint="eastAsia"/>
                <w:b/>
                <w:lang w:val="fr-CH" w:eastAsia="zh-CN"/>
              </w:rPr>
              <w:t>72</w:t>
            </w:r>
            <w:r w:rsidRPr="00E24D59">
              <w:rPr>
                <w:b/>
                <w:lang w:val="fr-CH"/>
              </w:rPr>
              <w:t>-C</w:t>
            </w:r>
          </w:p>
        </w:tc>
      </w:tr>
      <w:tr w:rsidR="00E24D59" w:rsidRPr="00813E5E" w14:paraId="188D6A4B" w14:textId="77777777" w:rsidTr="00E31DCE">
        <w:trPr>
          <w:cantSplit/>
        </w:trPr>
        <w:tc>
          <w:tcPr>
            <w:tcW w:w="3969" w:type="dxa"/>
            <w:vMerge/>
          </w:tcPr>
          <w:p w14:paraId="553302FE"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2106AFA7" w14:textId="27708BEA"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CE59F1">
              <w:rPr>
                <w:rFonts w:hint="eastAsia"/>
                <w:b/>
                <w:lang w:eastAsia="zh-CN"/>
              </w:rPr>
              <w:t>5</w:t>
            </w:r>
            <w:r w:rsidR="00C45EB2">
              <w:rPr>
                <w:rFonts w:hint="eastAsia"/>
                <w:b/>
                <w:lang w:eastAsia="zh-CN"/>
              </w:rPr>
              <w:t>月</w:t>
            </w:r>
            <w:r w:rsidR="00CE59F1">
              <w:rPr>
                <w:rFonts w:hint="eastAsia"/>
                <w:b/>
                <w:lang w:eastAsia="zh-CN"/>
              </w:rPr>
              <w:t>6</w:t>
            </w:r>
            <w:r w:rsidR="00C45EB2">
              <w:rPr>
                <w:rFonts w:hint="eastAsia"/>
                <w:b/>
                <w:lang w:eastAsia="zh-CN"/>
              </w:rPr>
              <w:t>日</w:t>
            </w:r>
          </w:p>
        </w:tc>
      </w:tr>
      <w:tr w:rsidR="00E24D59" w:rsidRPr="00813E5E" w14:paraId="09A98434" w14:textId="77777777" w:rsidTr="00E31DCE">
        <w:trPr>
          <w:cantSplit/>
          <w:trHeight w:val="23"/>
        </w:trPr>
        <w:tc>
          <w:tcPr>
            <w:tcW w:w="3969" w:type="dxa"/>
            <w:vMerge/>
          </w:tcPr>
          <w:p w14:paraId="043383CF"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47545764" w14:textId="6C24707D"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CE59F1">
              <w:rPr>
                <w:rFonts w:cstheme="minorHAnsi" w:hint="eastAsia"/>
                <w:b/>
                <w:bCs/>
                <w:lang w:val="ru-RU" w:eastAsia="zh-CN"/>
              </w:rPr>
              <w:t>英文</w:t>
            </w:r>
          </w:p>
        </w:tc>
      </w:tr>
      <w:tr w:rsidR="00E24D59" w:rsidRPr="00813E5E" w14:paraId="770E9CF1" w14:textId="77777777" w:rsidTr="00E31DCE">
        <w:trPr>
          <w:cantSplit/>
          <w:trHeight w:val="23"/>
        </w:trPr>
        <w:tc>
          <w:tcPr>
            <w:tcW w:w="3969" w:type="dxa"/>
          </w:tcPr>
          <w:p w14:paraId="47416F72" w14:textId="77777777" w:rsidR="00E24D59" w:rsidRPr="00813E5E" w:rsidRDefault="00E24D59" w:rsidP="00E31DCE">
            <w:pPr>
              <w:tabs>
                <w:tab w:val="left" w:pos="851"/>
              </w:tabs>
              <w:spacing w:line="240" w:lineRule="atLeast"/>
              <w:rPr>
                <w:b/>
              </w:rPr>
            </w:pPr>
          </w:p>
        </w:tc>
        <w:tc>
          <w:tcPr>
            <w:tcW w:w="5245" w:type="dxa"/>
          </w:tcPr>
          <w:p w14:paraId="345D36DD" w14:textId="77777777" w:rsidR="00E24D59" w:rsidRDefault="00E24D59" w:rsidP="00E31DCE">
            <w:pPr>
              <w:tabs>
                <w:tab w:val="left" w:pos="851"/>
              </w:tabs>
              <w:spacing w:before="0" w:line="240" w:lineRule="atLeast"/>
              <w:jc w:val="right"/>
              <w:rPr>
                <w:b/>
              </w:rPr>
            </w:pPr>
          </w:p>
        </w:tc>
      </w:tr>
      <w:tr w:rsidR="00E24D59" w:rsidRPr="00813E5E" w14:paraId="6A05B01F" w14:textId="77777777" w:rsidTr="00E31DCE">
        <w:trPr>
          <w:cantSplit/>
        </w:trPr>
        <w:tc>
          <w:tcPr>
            <w:tcW w:w="9214" w:type="dxa"/>
            <w:gridSpan w:val="2"/>
            <w:tcMar>
              <w:left w:w="0" w:type="dxa"/>
            </w:tcMar>
          </w:tcPr>
          <w:p w14:paraId="06A7AF88" w14:textId="77777777" w:rsidR="00E24D59" w:rsidRPr="00227F19" w:rsidRDefault="008F64AD" w:rsidP="00E24D59">
            <w:pPr>
              <w:pStyle w:val="Source"/>
              <w:jc w:val="left"/>
              <w:rPr>
                <w:sz w:val="32"/>
                <w:szCs w:val="32"/>
                <w:lang w:eastAsia="zh-CN"/>
              </w:rPr>
            </w:pPr>
            <w:bookmarkStart w:id="5" w:name="dsource" w:colFirst="0" w:colLast="0"/>
            <w:bookmarkEnd w:id="4"/>
            <w:r w:rsidRPr="00227F19">
              <w:rPr>
                <w:rFonts w:cstheme="minorHAnsi" w:hint="eastAsia"/>
                <w:sz w:val="32"/>
                <w:szCs w:val="32"/>
                <w:lang w:val="ru-RU" w:eastAsia="zh-CN"/>
              </w:rPr>
              <w:t>秘书长的报告</w:t>
            </w:r>
          </w:p>
        </w:tc>
      </w:tr>
      <w:tr w:rsidR="00E24D59" w:rsidRPr="00813E5E" w14:paraId="4F16B74B" w14:textId="77777777" w:rsidTr="00E31DCE">
        <w:trPr>
          <w:cantSplit/>
        </w:trPr>
        <w:tc>
          <w:tcPr>
            <w:tcW w:w="9214" w:type="dxa"/>
            <w:gridSpan w:val="2"/>
            <w:tcMar>
              <w:left w:w="0" w:type="dxa"/>
            </w:tcMar>
          </w:tcPr>
          <w:p w14:paraId="77428C8B" w14:textId="237083F0" w:rsidR="00E24D59" w:rsidRPr="00227F19" w:rsidRDefault="00DE00F8" w:rsidP="00E31DCE">
            <w:pPr>
              <w:pStyle w:val="Subtitle"/>
              <w:framePr w:hSpace="0" w:wrap="auto" w:hAnchor="text" w:xAlign="left" w:yAlign="inline"/>
              <w:rPr>
                <w:rFonts w:ascii="SimSun" w:eastAsia="SimSun" w:hAnsi="SimSun"/>
                <w:sz w:val="32"/>
                <w:szCs w:val="32"/>
                <w:lang w:eastAsia="zh-CN"/>
              </w:rPr>
            </w:pPr>
            <w:bookmarkStart w:id="6" w:name="dtitle1" w:colFirst="0" w:colLast="0"/>
            <w:bookmarkEnd w:id="5"/>
            <w:r>
              <w:rPr>
                <w:rFonts w:ascii="SimSun" w:eastAsia="SimSun" w:hAnsi="SimSun" w:cs="SimSun" w:hint="eastAsia"/>
                <w:sz w:val="32"/>
                <w:szCs w:val="32"/>
                <w:lang w:val="fr-FR" w:eastAsia="zh-CN"/>
              </w:rPr>
              <w:t>绿色数字化转型</w:t>
            </w:r>
            <w:r w:rsidRPr="00613E3B">
              <w:rPr>
                <w:rFonts w:ascii="SimSun" w:eastAsia="SimSun" w:hAnsi="SimSun" w:cs="SimSun" w:hint="eastAsia"/>
                <w:sz w:val="32"/>
                <w:szCs w:val="32"/>
                <w:lang w:eastAsia="zh-CN"/>
              </w:rPr>
              <w:t>：</w:t>
            </w:r>
            <w:r>
              <w:rPr>
                <w:rFonts w:ascii="SimSun" w:eastAsia="SimSun" w:hAnsi="SimSun" w:cs="SimSun" w:hint="eastAsia"/>
                <w:sz w:val="32"/>
                <w:szCs w:val="32"/>
                <w:lang w:val="fr-FR" w:eastAsia="zh-CN"/>
              </w:rPr>
              <w:t>国际电联有关气候变化和环境可持续性的活动</w:t>
            </w:r>
          </w:p>
        </w:tc>
      </w:tr>
      <w:tr w:rsidR="00E24D59" w:rsidRPr="00813E5E" w14:paraId="3EB77025" w14:textId="77777777" w:rsidTr="00E31DCE">
        <w:trPr>
          <w:cantSplit/>
        </w:trPr>
        <w:tc>
          <w:tcPr>
            <w:tcW w:w="9214" w:type="dxa"/>
            <w:gridSpan w:val="2"/>
            <w:tcBorders>
              <w:top w:val="single" w:sz="4" w:space="0" w:color="auto"/>
              <w:bottom w:val="single" w:sz="4" w:space="0" w:color="auto"/>
            </w:tcBorders>
            <w:tcMar>
              <w:left w:w="0" w:type="dxa"/>
            </w:tcMar>
          </w:tcPr>
          <w:p w14:paraId="35828965"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6BDDB6AA" w14:textId="0D0DFB58" w:rsidR="008F64AD" w:rsidRPr="00845D6B" w:rsidRDefault="00304B59" w:rsidP="00394FD5">
            <w:pPr>
              <w:pStyle w:val="Subtitle"/>
              <w:framePr w:hSpace="0" w:wrap="auto" w:hAnchor="text" w:xAlign="left" w:yAlign="inline"/>
              <w:ind w:firstLineChars="200" w:firstLine="480"/>
              <w:rPr>
                <w:rFonts w:ascii="SimSun" w:eastAsia="SimSun" w:hAnsi="SimSun" w:cstheme="minorHAnsi"/>
                <w:b/>
                <w:bCs/>
                <w:sz w:val="24"/>
                <w:szCs w:val="24"/>
                <w:lang w:eastAsia="zh-CN"/>
              </w:rPr>
            </w:pPr>
            <w:r>
              <w:rPr>
                <w:rFonts w:ascii="SimSun" w:eastAsia="SimSun" w:hAnsi="SimSun" w:cs="SimSun" w:hint="eastAsia"/>
                <w:sz w:val="24"/>
                <w:szCs w:val="24"/>
                <w:lang w:eastAsia="zh-CN"/>
              </w:rPr>
              <w:t>报告国际电联有关气候变化和环境可持续性的活动，</w:t>
            </w:r>
            <w:r w:rsidRPr="00845D6B">
              <w:rPr>
                <w:rFonts w:ascii="SimSun" w:eastAsia="SimSun" w:hAnsi="SimSun" w:cs="SimSun" w:hint="eastAsia"/>
                <w:sz w:val="24"/>
                <w:szCs w:val="24"/>
                <w:lang w:eastAsia="zh-CN"/>
              </w:rPr>
              <w:t>为理事会</w:t>
            </w:r>
            <w:r w:rsidR="00010F8B">
              <w:rPr>
                <w:rFonts w:ascii="SimSun" w:eastAsia="SimSun" w:hAnsi="SimSun" w:cs="SimSun" w:hint="eastAsia"/>
                <w:sz w:val="24"/>
                <w:szCs w:val="24"/>
                <w:lang w:eastAsia="zh-CN"/>
              </w:rPr>
              <w:t>有关</w:t>
            </w:r>
            <w:r w:rsidRPr="00845D6B">
              <w:rPr>
                <w:rFonts w:ascii="SimSun" w:eastAsia="SimSun" w:hAnsi="SimSun" w:cs="SimSun" w:hint="eastAsia"/>
                <w:sz w:val="24"/>
                <w:szCs w:val="24"/>
                <w:lang w:eastAsia="zh-CN"/>
              </w:rPr>
              <w:t>绿色数字化转型的讨论提供信息。</w:t>
            </w:r>
          </w:p>
          <w:p w14:paraId="33B582D5"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5568EE95" w14:textId="2597AED9" w:rsidR="008F64AD" w:rsidRPr="00227F19" w:rsidRDefault="00FD4C8F" w:rsidP="00394FD5">
            <w:pPr>
              <w:pStyle w:val="Subtitle"/>
              <w:framePr w:hSpace="0" w:wrap="auto" w:hAnchor="text" w:xAlign="left" w:yAlign="inline"/>
              <w:ind w:firstLineChars="200" w:firstLine="480"/>
              <w:rPr>
                <w:rFonts w:ascii="SimSun" w:eastAsia="SimSun" w:hAnsi="SimSun" w:cstheme="minorHAnsi"/>
                <w:b/>
                <w:bCs/>
                <w:sz w:val="24"/>
                <w:szCs w:val="24"/>
                <w:lang w:eastAsia="zh-CN"/>
              </w:rPr>
            </w:pPr>
            <w:r>
              <w:rPr>
                <w:rFonts w:ascii="SimSun" w:eastAsia="SimSun" w:hAnsi="SimSun" w:cs="SimSun" w:hint="eastAsia"/>
                <w:sz w:val="24"/>
                <w:szCs w:val="24"/>
                <w:lang w:eastAsia="zh-CN"/>
              </w:rPr>
              <w:t>请理事会将本报告</w:t>
            </w:r>
            <w:r w:rsidRPr="00FD4C8F">
              <w:rPr>
                <w:rFonts w:ascii="SimSun" w:eastAsia="SimSun" w:hAnsi="SimSun" w:cs="SimSun" w:hint="eastAsia"/>
                <w:b/>
                <w:bCs/>
                <w:sz w:val="24"/>
                <w:szCs w:val="24"/>
                <w:lang w:eastAsia="zh-CN"/>
              </w:rPr>
              <w:t>记录在案</w:t>
            </w:r>
            <w:r>
              <w:rPr>
                <w:rFonts w:ascii="SimSun" w:eastAsia="SimSun" w:hAnsi="SimSun" w:cs="SimSun" w:hint="eastAsia"/>
                <w:sz w:val="24"/>
                <w:szCs w:val="24"/>
                <w:lang w:eastAsia="zh-CN"/>
              </w:rPr>
              <w:t>，并</w:t>
            </w:r>
            <w:r w:rsidRPr="00FD4C8F">
              <w:rPr>
                <w:rFonts w:ascii="SimSun" w:eastAsia="SimSun" w:hAnsi="SimSun" w:cs="SimSun" w:hint="eastAsia"/>
                <w:b/>
                <w:bCs/>
                <w:sz w:val="24"/>
                <w:szCs w:val="24"/>
                <w:lang w:eastAsia="zh-CN"/>
              </w:rPr>
              <w:t>考虑</w:t>
            </w:r>
            <w:r>
              <w:rPr>
                <w:rFonts w:ascii="SimSun" w:eastAsia="SimSun" w:hAnsi="SimSun" w:cs="SimSun" w:hint="eastAsia"/>
                <w:sz w:val="24"/>
                <w:szCs w:val="24"/>
                <w:lang w:eastAsia="zh-CN"/>
              </w:rPr>
              <w:t>邀请成员国、部门成员和学术成员积极支持</w:t>
            </w:r>
            <w:r w:rsidR="00FF7ADE">
              <w:rPr>
                <w:rFonts w:ascii="SimSun" w:eastAsia="SimSun" w:hAnsi="SimSun" w:cs="SimSun" w:hint="eastAsia"/>
                <w:sz w:val="24"/>
                <w:szCs w:val="24"/>
                <w:lang w:eastAsia="zh-CN"/>
              </w:rPr>
              <w:t>所</w:t>
            </w:r>
            <w:r>
              <w:rPr>
                <w:rFonts w:ascii="SimSun" w:eastAsia="SimSun" w:hAnsi="SimSun" w:cs="SimSun" w:hint="eastAsia"/>
                <w:sz w:val="24"/>
                <w:szCs w:val="24"/>
                <w:lang w:eastAsia="zh-CN"/>
              </w:rPr>
              <w:t>列活动。</w:t>
            </w:r>
          </w:p>
          <w:p w14:paraId="3595B5BA"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4B69741D" w14:textId="29DA1826" w:rsidR="008F64AD" w:rsidRPr="00227F19" w:rsidRDefault="005D23D4" w:rsidP="00394FD5">
            <w:pPr>
              <w:pStyle w:val="Subtitle"/>
              <w:framePr w:hSpace="0" w:wrap="auto" w:hAnchor="text" w:xAlign="left" w:yAlign="inline"/>
              <w:ind w:firstLineChars="200" w:firstLine="480"/>
              <w:rPr>
                <w:rFonts w:ascii="SimSun" w:eastAsia="SimSun" w:hAnsi="SimSun" w:cstheme="minorHAnsi"/>
                <w:b/>
                <w:bCs/>
                <w:sz w:val="24"/>
                <w:szCs w:val="24"/>
                <w:lang w:eastAsia="zh-CN"/>
              </w:rPr>
            </w:pPr>
            <w:r>
              <w:rPr>
                <w:rFonts w:ascii="SimSun" w:eastAsia="SimSun" w:hAnsi="SimSun" w:cs="SimSun" w:hint="eastAsia"/>
                <w:color w:val="000000" w:themeColor="text1"/>
                <w:sz w:val="24"/>
                <w:szCs w:val="24"/>
                <w:lang w:eastAsia="zh-CN"/>
              </w:rPr>
              <w:t>可持续数字化转型；致力于环境可持续性。</w:t>
            </w:r>
          </w:p>
          <w:p w14:paraId="27986AAE" w14:textId="592B6ED4" w:rsid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3FF83DCA" w14:textId="546AB7DC" w:rsidR="00CE59F1" w:rsidRPr="00CB7F18" w:rsidRDefault="00753084" w:rsidP="00394FD5">
            <w:pPr>
              <w:pStyle w:val="Subtitle"/>
              <w:framePr w:hSpace="0" w:wrap="auto" w:hAnchor="text" w:xAlign="left" w:yAlign="inline"/>
              <w:ind w:firstLineChars="200" w:firstLine="480"/>
              <w:rPr>
                <w:rFonts w:eastAsia="SimSun" w:cs="Calibri"/>
                <w:b/>
                <w:bCs/>
                <w:sz w:val="24"/>
                <w:szCs w:val="24"/>
                <w:lang w:eastAsia="zh-CN"/>
              </w:rPr>
            </w:pPr>
            <w:r w:rsidRPr="00CB7F18">
              <w:rPr>
                <w:rFonts w:eastAsia="SimSun" w:cs="Calibri" w:hint="eastAsia"/>
                <w:color w:val="000000" w:themeColor="text1"/>
                <w:sz w:val="24"/>
                <w:szCs w:val="24"/>
                <w:lang w:eastAsia="zh-CN"/>
              </w:rPr>
              <w:t>在已划拨的</w:t>
            </w:r>
            <w:r w:rsidRPr="00CB7F18">
              <w:rPr>
                <w:rFonts w:eastAsia="SimSun" w:cs="Calibri" w:hint="eastAsia"/>
                <w:color w:val="000000" w:themeColor="text1"/>
                <w:sz w:val="24"/>
                <w:szCs w:val="24"/>
                <w:lang w:eastAsia="zh-CN"/>
              </w:rPr>
              <w:t>2024-2025</w:t>
            </w:r>
            <w:r w:rsidRPr="00CB7F18">
              <w:rPr>
                <w:rFonts w:eastAsia="SimSun" w:cs="Calibri" w:hint="eastAsia"/>
                <w:color w:val="000000" w:themeColor="text1"/>
                <w:sz w:val="24"/>
                <w:szCs w:val="24"/>
                <w:lang w:eastAsia="zh-CN"/>
              </w:rPr>
              <w:t>年预算范围内。</w:t>
            </w:r>
            <w:r w:rsidR="00B223DE">
              <w:rPr>
                <w:rFonts w:eastAsia="SimSun" w:cs="Calibri" w:hint="eastAsia"/>
                <w:color w:val="000000" w:themeColor="text1"/>
                <w:sz w:val="24"/>
                <w:szCs w:val="24"/>
                <w:lang w:eastAsia="zh-CN"/>
              </w:rPr>
              <w:t>一些拟议的其他活动以自愿捐款为基础。</w:t>
            </w:r>
          </w:p>
          <w:p w14:paraId="1D416F8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25F569E"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4E8AD26D" w14:textId="424FBB98" w:rsidR="00E24D59" w:rsidRPr="00336100" w:rsidRDefault="00336100" w:rsidP="000560BD">
            <w:pPr>
              <w:spacing w:after="160"/>
              <w:ind w:firstLineChars="200" w:firstLine="440"/>
              <w:rPr>
                <w:rFonts w:eastAsia="STKaiti" w:cs="Calibri"/>
                <w:sz w:val="22"/>
                <w:szCs w:val="22"/>
                <w:lang w:eastAsia="zh-CN"/>
              </w:rPr>
            </w:pPr>
            <w:r w:rsidRPr="00336100">
              <w:rPr>
                <w:rFonts w:eastAsia="STKaiti" w:cs="Calibri"/>
                <w:sz w:val="22"/>
                <w:szCs w:val="22"/>
                <w:lang w:eastAsia="zh-CN"/>
              </w:rPr>
              <w:t>全权代表大会</w:t>
            </w:r>
            <w:r w:rsidR="000042C5">
              <w:rPr>
                <w:rFonts w:eastAsia="STKaiti" w:cs="Calibri" w:hint="eastAsia"/>
                <w:sz w:val="22"/>
                <w:szCs w:val="22"/>
                <w:lang w:eastAsia="zh-CN"/>
              </w:rPr>
              <w:t>（</w:t>
            </w:r>
            <w:r w:rsidR="000042C5">
              <w:rPr>
                <w:rFonts w:eastAsia="STKaiti" w:cs="Calibri" w:hint="eastAsia"/>
                <w:sz w:val="22"/>
                <w:szCs w:val="22"/>
                <w:lang w:eastAsia="zh-CN"/>
              </w:rPr>
              <w:t>PP</w:t>
            </w:r>
            <w:r w:rsidR="000042C5">
              <w:rPr>
                <w:rFonts w:eastAsia="STKaiti" w:cs="Calibri" w:hint="eastAsia"/>
                <w:sz w:val="22"/>
                <w:szCs w:val="22"/>
                <w:lang w:eastAsia="zh-CN"/>
              </w:rPr>
              <w:t>）</w:t>
            </w:r>
            <w:hyperlink r:id="rId8" w:history="1">
              <w:r w:rsidRPr="00336100">
                <w:rPr>
                  <w:rStyle w:val="Hyperlink"/>
                  <w:rFonts w:eastAsia="STKaiti" w:cs="Calibri"/>
                  <w:sz w:val="22"/>
                  <w:szCs w:val="22"/>
                  <w:lang w:eastAsia="zh-CN"/>
                </w:rPr>
                <w:t>第</w:t>
              </w:r>
              <w:r w:rsidR="00CE59F1" w:rsidRPr="00336100">
                <w:rPr>
                  <w:rStyle w:val="Hyperlink"/>
                  <w:rFonts w:eastAsia="STKaiti" w:cs="Calibri"/>
                  <w:sz w:val="22"/>
                  <w:szCs w:val="22"/>
                  <w:lang w:eastAsia="zh-CN"/>
                </w:rPr>
                <w:t>18</w:t>
              </w:r>
              <w:r w:rsidRPr="00336100">
                <w:rPr>
                  <w:rStyle w:val="Hyperlink"/>
                  <w:rFonts w:eastAsia="STKaiti" w:cs="Calibri"/>
                  <w:sz w:val="22"/>
                  <w:szCs w:val="22"/>
                  <w:lang w:eastAsia="zh-CN"/>
                </w:rPr>
                <w:t>2</w:t>
              </w:r>
              <w:r w:rsidRPr="00336100">
                <w:rPr>
                  <w:rStyle w:val="Hyperlink"/>
                  <w:rFonts w:eastAsia="STKaiti" w:cs="Calibri"/>
                  <w:sz w:val="22"/>
                  <w:szCs w:val="22"/>
                  <w:lang w:eastAsia="zh-CN"/>
                </w:rPr>
                <w:t>号决议</w:t>
              </w:r>
            </w:hyperlink>
            <w:r w:rsidRPr="00336100">
              <w:rPr>
                <w:rFonts w:eastAsia="STKaiti" w:cs="Calibri"/>
                <w:sz w:val="22"/>
                <w:szCs w:val="22"/>
                <w:lang w:eastAsia="zh-CN"/>
              </w:rPr>
              <w:t>（</w:t>
            </w:r>
            <w:r w:rsidR="00CE59F1" w:rsidRPr="00336100">
              <w:rPr>
                <w:rFonts w:eastAsia="STKaiti" w:cs="Calibri"/>
                <w:sz w:val="22"/>
                <w:szCs w:val="22"/>
                <w:lang w:eastAsia="zh-CN"/>
              </w:rPr>
              <w:t>2022</w:t>
            </w:r>
            <w:r w:rsidRPr="00336100">
              <w:rPr>
                <w:rFonts w:eastAsia="STKaiti" w:cs="Calibri"/>
                <w:sz w:val="22"/>
                <w:szCs w:val="22"/>
                <w:lang w:eastAsia="zh-CN"/>
              </w:rPr>
              <w:t>年，布加勒斯特，修订版）；理事会</w:t>
            </w:r>
            <w:r w:rsidR="00613E3B">
              <w:fldChar w:fldCharType="begin"/>
            </w:r>
            <w:r w:rsidR="00613E3B">
              <w:instrText>HYPERLINK "https://www.itu.int/md/S24-CL-C-0035/en"</w:instrText>
            </w:r>
            <w:r w:rsidR="00613E3B">
              <w:fldChar w:fldCharType="separate"/>
            </w:r>
            <w:r w:rsidR="00CE59F1" w:rsidRPr="00336100">
              <w:rPr>
                <w:rStyle w:val="Hyperlink"/>
                <w:rFonts w:eastAsia="STKaiti" w:cs="Calibri"/>
                <w:sz w:val="22"/>
                <w:szCs w:val="22"/>
                <w:lang w:eastAsia="zh-CN"/>
              </w:rPr>
              <w:t>C24/35</w:t>
            </w:r>
            <w:r w:rsidR="00613E3B">
              <w:rPr>
                <w:rStyle w:val="Hyperlink"/>
                <w:rFonts w:eastAsia="STKaiti" w:cs="Calibri"/>
                <w:sz w:val="22"/>
                <w:szCs w:val="22"/>
                <w:lang w:eastAsia="zh-CN"/>
              </w:rPr>
              <w:fldChar w:fldCharType="end"/>
            </w:r>
            <w:r w:rsidRPr="00336100">
              <w:rPr>
                <w:rFonts w:eastAsia="STKaiti" w:cs="Calibri"/>
                <w:sz w:val="22"/>
                <w:szCs w:val="22"/>
                <w:lang w:eastAsia="zh-CN"/>
              </w:rPr>
              <w:t>号文件</w:t>
            </w:r>
            <w:r w:rsidR="003C0DEE">
              <w:rPr>
                <w:rFonts w:eastAsia="STKaiti" w:cs="Calibri" w:hint="eastAsia"/>
                <w:sz w:val="22"/>
                <w:szCs w:val="22"/>
                <w:lang w:eastAsia="zh-CN"/>
              </w:rPr>
              <w:t>、</w:t>
            </w:r>
            <w:hyperlink r:id="rId9" w:history="1">
              <w:r w:rsidR="00CE59F1" w:rsidRPr="00336100">
                <w:rPr>
                  <w:rStyle w:val="Hyperlink"/>
                  <w:rFonts w:eastAsia="STKaiti" w:cs="Calibri"/>
                  <w:sz w:val="22"/>
                  <w:szCs w:val="22"/>
                  <w:lang w:eastAsia="zh-CN"/>
                </w:rPr>
                <w:t>C24/70</w:t>
              </w:r>
            </w:hyperlink>
            <w:r w:rsidRPr="00336100">
              <w:rPr>
                <w:rFonts w:eastAsia="STKaiti" w:cs="Calibri"/>
                <w:sz w:val="22"/>
                <w:szCs w:val="22"/>
                <w:lang w:eastAsia="zh-CN"/>
              </w:rPr>
              <w:t>号文件。</w:t>
            </w:r>
          </w:p>
        </w:tc>
      </w:tr>
      <w:bookmarkEnd w:id="2"/>
      <w:bookmarkEnd w:id="6"/>
    </w:tbl>
    <w:p w14:paraId="1E561F66"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68FF4B5E"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CEF0C4C" w14:textId="6780602F" w:rsidR="00CE59F1" w:rsidRPr="000042C5" w:rsidRDefault="000042C5" w:rsidP="00394FD5">
      <w:pPr>
        <w:spacing w:after="120"/>
        <w:ind w:firstLineChars="200" w:firstLine="480"/>
        <w:jc w:val="both"/>
        <w:rPr>
          <w:rFonts w:cs="Calibri"/>
          <w:color w:val="000000" w:themeColor="text1"/>
          <w:lang w:val="en-US" w:eastAsia="zh-CN"/>
        </w:rPr>
      </w:pPr>
      <w:r w:rsidRPr="000042C5">
        <w:rPr>
          <w:rFonts w:cs="Calibri"/>
          <w:color w:val="000000" w:themeColor="text1"/>
          <w:lang w:val="en-US" w:eastAsia="zh-CN"/>
        </w:rPr>
        <w:lastRenderedPageBreak/>
        <w:t>本文件</w:t>
      </w:r>
      <w:r>
        <w:rPr>
          <w:rFonts w:cs="Calibri" w:hint="eastAsia"/>
          <w:color w:val="000000" w:themeColor="text1"/>
          <w:lang w:val="en-US" w:eastAsia="zh-CN"/>
        </w:rPr>
        <w:t>用于补充</w:t>
      </w:r>
      <w:hyperlink r:id="rId10" w:history="1">
        <w:r w:rsidRPr="000042C5">
          <w:rPr>
            <w:rStyle w:val="Hyperlink"/>
            <w:rFonts w:cs="Calibri"/>
            <w:spacing w:val="2"/>
            <w:lang w:val="en-US" w:eastAsia="zh-CN"/>
          </w:rPr>
          <w:t>C24/35</w:t>
        </w:r>
      </w:hyperlink>
      <w:r w:rsidRPr="000042C5">
        <w:rPr>
          <w:rFonts w:cs="Calibri"/>
          <w:color w:val="000000" w:themeColor="text1"/>
          <w:lang w:val="en-US" w:eastAsia="zh-CN"/>
        </w:rPr>
        <w:t>号文件所列的</w:t>
      </w:r>
      <w:r>
        <w:rPr>
          <w:rFonts w:cs="Calibri" w:hint="eastAsia"/>
          <w:color w:val="000000" w:themeColor="text1"/>
          <w:lang w:val="en-US" w:eastAsia="zh-CN"/>
        </w:rPr>
        <w:t>有关气候变化和环境可持续性的活动，以及</w:t>
      </w:r>
      <w:r w:rsidR="00667DC7">
        <w:rPr>
          <w:rFonts w:cs="Calibri" w:hint="eastAsia"/>
          <w:color w:val="000000" w:themeColor="text1"/>
          <w:lang w:val="en-US" w:eastAsia="zh-CN"/>
        </w:rPr>
        <w:t>所报告的有关</w:t>
      </w:r>
      <w:r>
        <w:rPr>
          <w:rFonts w:cs="Calibri" w:hint="eastAsia"/>
          <w:color w:val="000000" w:themeColor="text1"/>
          <w:lang w:val="en-US" w:eastAsia="zh-CN"/>
        </w:rPr>
        <w:t>全权代表大会</w:t>
      </w:r>
      <w:r w:rsidR="00667DC7">
        <w:rPr>
          <w:rFonts w:cs="Calibri" w:hint="eastAsia"/>
          <w:color w:val="000000" w:themeColor="text1"/>
          <w:lang w:val="en-US" w:eastAsia="zh-CN"/>
        </w:rPr>
        <w:t>（</w:t>
      </w:r>
      <w:r w:rsidR="00667DC7">
        <w:rPr>
          <w:rFonts w:cs="Calibri" w:hint="eastAsia"/>
          <w:color w:val="000000" w:themeColor="text1"/>
          <w:lang w:val="en-US" w:eastAsia="zh-CN"/>
        </w:rPr>
        <w:t>PP</w:t>
      </w:r>
      <w:r w:rsidR="00667DC7">
        <w:rPr>
          <w:rFonts w:cs="Calibri" w:hint="eastAsia"/>
          <w:color w:val="000000" w:themeColor="text1"/>
          <w:lang w:val="en-US" w:eastAsia="zh-CN"/>
        </w:rPr>
        <w:t>）</w:t>
      </w:r>
      <w:hyperlink r:id="rId11" w:history="1">
        <w:r w:rsidRPr="000042C5">
          <w:rPr>
            <w:rStyle w:val="Hyperlink"/>
            <w:rFonts w:cs="Calibri" w:hint="eastAsia"/>
            <w:lang w:val="en-US" w:eastAsia="zh-CN"/>
          </w:rPr>
          <w:t>第</w:t>
        </w:r>
        <w:r w:rsidRPr="000042C5">
          <w:rPr>
            <w:rStyle w:val="Hyperlink"/>
            <w:rFonts w:cs="Calibri" w:hint="eastAsia"/>
            <w:lang w:val="en-US" w:eastAsia="zh-CN"/>
          </w:rPr>
          <w:t>182</w:t>
        </w:r>
        <w:r w:rsidRPr="000042C5">
          <w:rPr>
            <w:rStyle w:val="Hyperlink"/>
            <w:rFonts w:cs="Calibri"/>
            <w:lang w:val="en-US" w:eastAsia="zh-CN"/>
          </w:rPr>
          <w:t>号决议</w:t>
        </w:r>
      </w:hyperlink>
      <w:r w:rsidRPr="000042C5">
        <w:rPr>
          <w:rFonts w:cs="Calibri" w:hint="eastAsia"/>
          <w:color w:val="000000" w:themeColor="text1"/>
          <w:lang w:val="en-US" w:eastAsia="zh-CN"/>
        </w:rPr>
        <w:t>（</w:t>
      </w:r>
      <w:r w:rsidRPr="000042C5">
        <w:rPr>
          <w:rFonts w:cs="Calibri" w:hint="eastAsia"/>
          <w:color w:val="000000" w:themeColor="text1"/>
          <w:lang w:val="en-US" w:eastAsia="zh-CN"/>
        </w:rPr>
        <w:t>2022</w:t>
      </w:r>
      <w:r w:rsidRPr="000042C5">
        <w:rPr>
          <w:rFonts w:cs="Calibri" w:hint="eastAsia"/>
          <w:color w:val="000000" w:themeColor="text1"/>
          <w:lang w:val="en-US" w:eastAsia="zh-CN"/>
        </w:rPr>
        <w:t>年，布加勒斯特，修订版）</w:t>
      </w:r>
      <w:r w:rsidR="00667DC7">
        <w:rPr>
          <w:rFonts w:cs="Calibri" w:hint="eastAsia"/>
          <w:color w:val="000000" w:themeColor="text1"/>
          <w:lang w:val="en-US" w:eastAsia="zh-CN"/>
        </w:rPr>
        <w:t>的活动</w:t>
      </w:r>
      <w:r w:rsidR="00C3641A">
        <w:rPr>
          <w:rFonts w:cs="Calibri" w:hint="eastAsia"/>
          <w:color w:val="000000" w:themeColor="text1"/>
          <w:lang w:val="en-US" w:eastAsia="zh-CN"/>
        </w:rPr>
        <w:t>，</w:t>
      </w:r>
      <w:r w:rsidR="00500E11">
        <w:rPr>
          <w:rFonts w:cs="Calibri" w:hint="eastAsia"/>
          <w:color w:val="000000" w:themeColor="text1"/>
          <w:lang w:val="en-US" w:eastAsia="zh-CN"/>
        </w:rPr>
        <w:t>作为</w:t>
      </w:r>
      <w:r w:rsidR="00500E11">
        <w:rPr>
          <w:rFonts w:cs="Calibri" w:hint="eastAsia"/>
          <w:color w:val="000000" w:themeColor="text1"/>
          <w:lang w:val="en-US" w:eastAsia="zh-CN"/>
        </w:rPr>
        <w:t>PP</w:t>
      </w:r>
      <w:r w:rsidR="00500E11">
        <w:rPr>
          <w:rFonts w:cs="Calibri" w:hint="eastAsia"/>
          <w:color w:val="000000" w:themeColor="text1"/>
          <w:lang w:val="en-US" w:eastAsia="zh-CN"/>
        </w:rPr>
        <w:t>决议落实报告的一部分。</w:t>
      </w:r>
    </w:p>
    <w:p w14:paraId="79B7BCF6" w14:textId="72DC20B3" w:rsidR="00CE59F1" w:rsidRPr="00CD50F7" w:rsidRDefault="008E2B95" w:rsidP="00394FD5">
      <w:pPr>
        <w:spacing w:after="120"/>
        <w:ind w:firstLineChars="200" w:firstLine="480"/>
        <w:jc w:val="both"/>
        <w:rPr>
          <w:rFonts w:cs="Calibri"/>
          <w:color w:val="000000" w:themeColor="text1"/>
          <w:lang w:val="en-US" w:eastAsia="zh-CN"/>
        </w:rPr>
      </w:pPr>
      <w:r w:rsidRPr="00CD50F7">
        <w:rPr>
          <w:rFonts w:cs="Calibri"/>
          <w:color w:val="000000" w:themeColor="text1"/>
          <w:lang w:val="en-US" w:eastAsia="zh-CN"/>
        </w:rPr>
        <w:t>绿色数字化转型</w:t>
      </w:r>
      <w:r w:rsidR="00C77511">
        <w:rPr>
          <w:rFonts w:cs="Calibri" w:hint="eastAsia"/>
          <w:color w:val="000000" w:themeColor="text1"/>
          <w:lang w:val="en-US" w:eastAsia="zh-CN"/>
        </w:rPr>
        <w:t>是在</w:t>
      </w:r>
      <w:r w:rsidR="00C77511" w:rsidRPr="00CD50F7">
        <w:rPr>
          <w:rFonts w:cs="Calibri"/>
          <w:color w:val="000000" w:themeColor="text1"/>
          <w:lang w:val="en-US" w:eastAsia="zh-CN"/>
        </w:rPr>
        <w:t>应对数字化环境影响</w:t>
      </w:r>
      <w:r w:rsidR="00C77511">
        <w:rPr>
          <w:rFonts w:cs="Calibri" w:hint="eastAsia"/>
          <w:color w:val="000000" w:themeColor="text1"/>
          <w:lang w:val="en-US" w:eastAsia="zh-CN"/>
        </w:rPr>
        <w:t>的同时，</w:t>
      </w:r>
      <w:r w:rsidR="00E64DAD" w:rsidRPr="00CD50F7">
        <w:rPr>
          <w:rFonts w:cs="Calibri"/>
          <w:color w:val="000000" w:themeColor="text1"/>
          <w:lang w:val="en-US" w:eastAsia="zh-CN"/>
        </w:rPr>
        <w:t>利用数字技术进行气候监测，</w:t>
      </w:r>
      <w:r w:rsidR="00C77511">
        <w:rPr>
          <w:rFonts w:cs="Calibri" w:hint="eastAsia"/>
          <w:color w:val="000000" w:themeColor="text1"/>
          <w:lang w:val="en-US" w:eastAsia="zh-CN"/>
        </w:rPr>
        <w:t>并</w:t>
      </w:r>
      <w:r w:rsidR="003D70D4" w:rsidRPr="00CD50F7">
        <w:rPr>
          <w:rFonts w:cs="Calibri"/>
          <w:color w:val="000000" w:themeColor="text1"/>
          <w:lang w:val="en-US" w:eastAsia="zh-CN"/>
        </w:rPr>
        <w:t>在整个经济和社会中</w:t>
      </w:r>
      <w:r w:rsidR="00E64DAD" w:rsidRPr="00CD50F7">
        <w:rPr>
          <w:rFonts w:cs="Calibri"/>
          <w:color w:val="000000" w:themeColor="text1"/>
          <w:lang w:val="en-US" w:eastAsia="zh-CN"/>
        </w:rPr>
        <w:t>减缓</w:t>
      </w:r>
      <w:r w:rsidR="00C77511">
        <w:rPr>
          <w:rFonts w:cs="Calibri" w:hint="eastAsia"/>
          <w:color w:val="000000" w:themeColor="text1"/>
          <w:lang w:val="en-US" w:eastAsia="zh-CN"/>
        </w:rPr>
        <w:t>和</w:t>
      </w:r>
      <w:r w:rsidR="00E64DAD" w:rsidRPr="00CD50F7">
        <w:rPr>
          <w:rFonts w:cs="Calibri"/>
          <w:color w:val="000000" w:themeColor="text1"/>
          <w:lang w:val="en-US" w:eastAsia="zh-CN"/>
        </w:rPr>
        <w:t>适应气候变化。</w:t>
      </w:r>
      <w:r w:rsidR="00F44783" w:rsidRPr="00CD50F7">
        <w:rPr>
          <w:rFonts w:cs="Calibri"/>
          <w:color w:val="000000" w:themeColor="text1"/>
          <w:lang w:val="en-US" w:eastAsia="zh-CN"/>
        </w:rPr>
        <w:t>数字</w:t>
      </w:r>
      <w:r w:rsidR="00CD50F7" w:rsidRPr="00CD50F7">
        <w:rPr>
          <w:rFonts w:cs="Calibri"/>
          <w:color w:val="000000" w:themeColor="text1"/>
          <w:lang w:val="en-US" w:eastAsia="zh-CN"/>
        </w:rPr>
        <w:t>技术</w:t>
      </w:r>
      <w:r w:rsidR="00F44783" w:rsidRPr="00CD50F7">
        <w:rPr>
          <w:rFonts w:cs="Calibri"/>
          <w:color w:val="000000" w:themeColor="text1"/>
          <w:lang w:val="en-US" w:eastAsia="zh-CN"/>
        </w:rPr>
        <w:t>采用率的提高</w:t>
      </w:r>
      <w:r w:rsidR="007B4C76">
        <w:rPr>
          <w:rFonts w:cs="Calibri" w:hint="eastAsia"/>
          <w:color w:val="000000" w:themeColor="text1"/>
          <w:lang w:val="en-US" w:eastAsia="zh-CN"/>
        </w:rPr>
        <w:t>增加了</w:t>
      </w:r>
      <w:r w:rsidR="00F44783" w:rsidRPr="00CD50F7">
        <w:rPr>
          <w:rFonts w:cs="Calibri"/>
          <w:color w:val="000000" w:themeColor="text1"/>
          <w:lang w:val="en-US" w:eastAsia="zh-CN"/>
        </w:rPr>
        <w:t>能源和水资源消耗</w:t>
      </w:r>
      <w:r w:rsidR="00CD50F7" w:rsidRPr="00CD50F7">
        <w:rPr>
          <w:rFonts w:cs="Calibri"/>
          <w:color w:val="000000" w:themeColor="text1"/>
          <w:lang w:val="en-US" w:eastAsia="zh-CN"/>
        </w:rPr>
        <w:t>、温室气体（</w:t>
      </w:r>
      <w:r w:rsidR="00CD50F7" w:rsidRPr="00CD50F7">
        <w:rPr>
          <w:rFonts w:cs="Calibri"/>
          <w:color w:val="000000" w:themeColor="text1"/>
          <w:lang w:val="en-US" w:eastAsia="zh-CN"/>
        </w:rPr>
        <w:t>GHG</w:t>
      </w:r>
      <w:r w:rsidR="00CD50F7" w:rsidRPr="00CD50F7">
        <w:rPr>
          <w:rFonts w:cs="Calibri"/>
          <w:color w:val="000000" w:themeColor="text1"/>
          <w:lang w:val="en-US" w:eastAsia="zh-CN"/>
        </w:rPr>
        <w:t>）排放、材料用</w:t>
      </w:r>
      <w:r w:rsidR="00CB6D95">
        <w:rPr>
          <w:rFonts w:cs="Calibri" w:hint="eastAsia"/>
          <w:color w:val="000000" w:themeColor="text1"/>
          <w:lang w:val="en-US" w:eastAsia="zh-CN"/>
        </w:rPr>
        <w:t>量</w:t>
      </w:r>
      <w:r w:rsidR="00845D6B">
        <w:rPr>
          <w:rFonts w:cs="Calibri" w:hint="eastAsia"/>
          <w:color w:val="000000" w:themeColor="text1"/>
          <w:lang w:val="en-US" w:eastAsia="zh-CN"/>
        </w:rPr>
        <w:t>和</w:t>
      </w:r>
      <w:r w:rsidR="00CD50F7" w:rsidRPr="00CD50F7">
        <w:rPr>
          <w:rFonts w:cs="Calibri"/>
          <w:color w:val="000000" w:themeColor="text1"/>
          <w:lang w:val="en-US" w:eastAsia="zh-CN"/>
        </w:rPr>
        <w:t>电子</w:t>
      </w:r>
      <w:r w:rsidR="00833692">
        <w:rPr>
          <w:rFonts w:cs="Calibri" w:hint="eastAsia"/>
          <w:color w:val="000000" w:themeColor="text1"/>
          <w:lang w:val="en-US" w:eastAsia="zh-CN"/>
        </w:rPr>
        <w:t>废弃物</w:t>
      </w:r>
      <w:r w:rsidR="0014123A">
        <w:rPr>
          <w:rFonts w:cs="Calibri" w:hint="eastAsia"/>
          <w:color w:val="000000" w:themeColor="text1"/>
          <w:lang w:val="en-US" w:eastAsia="zh-CN"/>
        </w:rPr>
        <w:t>的</w:t>
      </w:r>
      <w:r w:rsidR="00C158ED">
        <w:rPr>
          <w:rFonts w:cs="Calibri" w:hint="eastAsia"/>
          <w:color w:val="000000" w:themeColor="text1"/>
          <w:lang w:val="en-US" w:eastAsia="zh-CN"/>
        </w:rPr>
        <w:t>产量</w:t>
      </w:r>
      <w:r w:rsidR="00CD50F7" w:rsidRPr="00CD50F7">
        <w:rPr>
          <w:rFonts w:cs="Calibri"/>
          <w:color w:val="000000" w:themeColor="text1"/>
          <w:lang w:val="en-US" w:eastAsia="zh-CN"/>
        </w:rPr>
        <w:t>。</w:t>
      </w:r>
    </w:p>
    <w:p w14:paraId="18D9253A" w14:textId="7D1F8991" w:rsidR="00CE59F1" w:rsidRPr="009024E9" w:rsidRDefault="009024E9" w:rsidP="00394FD5">
      <w:pPr>
        <w:spacing w:after="120"/>
        <w:ind w:firstLineChars="200" w:firstLine="480"/>
        <w:jc w:val="both"/>
        <w:rPr>
          <w:rFonts w:cs="Calibri"/>
          <w:lang w:val="en-US" w:eastAsia="zh-CN"/>
        </w:rPr>
      </w:pPr>
      <w:r w:rsidRPr="009024E9">
        <w:rPr>
          <w:rFonts w:cs="Calibri" w:hint="eastAsia"/>
          <w:lang w:val="en-US" w:eastAsia="zh-CN"/>
        </w:rPr>
        <w:t>将目前离线的</w:t>
      </w:r>
      <w:r w:rsidRPr="009024E9">
        <w:rPr>
          <w:rFonts w:cs="Calibri" w:hint="eastAsia"/>
          <w:lang w:val="en-US" w:eastAsia="zh-CN"/>
        </w:rPr>
        <w:t>26</w:t>
      </w:r>
      <w:r w:rsidRPr="009024E9">
        <w:rPr>
          <w:rFonts w:cs="Calibri" w:hint="eastAsia"/>
          <w:lang w:val="en-US" w:eastAsia="zh-CN"/>
        </w:rPr>
        <w:t>亿人接入互联网需要更多</w:t>
      </w:r>
      <w:r w:rsidR="0078496B">
        <w:rPr>
          <w:rFonts w:cs="Calibri" w:hint="eastAsia"/>
          <w:lang w:val="en-US" w:eastAsia="zh-CN"/>
        </w:rPr>
        <w:t>的</w:t>
      </w:r>
      <w:r w:rsidRPr="009024E9">
        <w:rPr>
          <w:rFonts w:cs="Calibri" w:hint="eastAsia"/>
          <w:lang w:val="en-US" w:eastAsia="zh-CN"/>
        </w:rPr>
        <w:t>基础设施和设备</w:t>
      </w:r>
      <w:r w:rsidR="0021483D">
        <w:rPr>
          <w:rFonts w:cs="Calibri" w:hint="eastAsia"/>
          <w:lang w:val="en-US" w:eastAsia="zh-CN"/>
        </w:rPr>
        <w:t>，</w:t>
      </w:r>
      <w:r w:rsidRPr="009024E9">
        <w:rPr>
          <w:rFonts w:cs="Calibri" w:hint="eastAsia"/>
          <w:lang w:val="en-US" w:eastAsia="zh-CN"/>
        </w:rPr>
        <w:t>这将进一步增加对</w:t>
      </w:r>
      <w:r>
        <w:rPr>
          <w:rFonts w:cs="Calibri" w:hint="eastAsia"/>
          <w:lang w:val="en-US" w:eastAsia="zh-CN"/>
        </w:rPr>
        <w:t>稀缺的能源</w:t>
      </w:r>
      <w:r w:rsidR="0021483D">
        <w:rPr>
          <w:rFonts w:cs="Calibri" w:hint="eastAsia"/>
          <w:lang w:val="en-US" w:eastAsia="zh-CN"/>
        </w:rPr>
        <w:t>和</w:t>
      </w:r>
      <w:r>
        <w:rPr>
          <w:rFonts w:cs="Calibri" w:hint="eastAsia"/>
          <w:lang w:val="en-US" w:eastAsia="zh-CN"/>
        </w:rPr>
        <w:t>水资源、稀土元素以及关键原材料的需求</w:t>
      </w:r>
      <w:r w:rsidR="0021483D">
        <w:rPr>
          <w:rFonts w:cs="Calibri" w:hint="eastAsia"/>
          <w:lang w:val="en-US" w:eastAsia="zh-CN"/>
        </w:rPr>
        <w:t>。如果不实施有针对性的干预措施，</w:t>
      </w:r>
      <w:r w:rsidR="004773E0">
        <w:rPr>
          <w:rFonts w:cs="Calibri" w:hint="eastAsia"/>
          <w:lang w:val="en-US" w:eastAsia="zh-CN"/>
        </w:rPr>
        <w:t>这</w:t>
      </w:r>
      <w:r w:rsidR="000C03E2">
        <w:rPr>
          <w:rFonts w:cs="Calibri" w:hint="eastAsia"/>
          <w:lang w:val="en-US" w:eastAsia="zh-CN"/>
        </w:rPr>
        <w:t>还</w:t>
      </w:r>
      <w:r w:rsidR="0021483D">
        <w:rPr>
          <w:rFonts w:cs="Calibri" w:hint="eastAsia"/>
          <w:lang w:val="en-US" w:eastAsia="zh-CN"/>
        </w:rPr>
        <w:t>将进一步增加排放</w:t>
      </w:r>
      <w:r w:rsidR="00047104">
        <w:rPr>
          <w:rFonts w:cs="Calibri" w:hint="eastAsia"/>
          <w:lang w:val="en-US" w:eastAsia="zh-CN"/>
        </w:rPr>
        <w:t>和</w:t>
      </w:r>
      <w:r w:rsidR="0021483D">
        <w:rPr>
          <w:rFonts w:cs="Calibri" w:hint="eastAsia"/>
          <w:lang w:val="en-US" w:eastAsia="zh-CN"/>
        </w:rPr>
        <w:t>电子</w:t>
      </w:r>
      <w:r w:rsidR="00833692">
        <w:rPr>
          <w:rFonts w:cs="Calibri" w:hint="eastAsia"/>
          <w:lang w:val="en-US" w:eastAsia="zh-CN"/>
        </w:rPr>
        <w:t>废弃物</w:t>
      </w:r>
      <w:r w:rsidR="0014123A">
        <w:rPr>
          <w:rFonts w:cs="Calibri" w:hint="eastAsia"/>
          <w:lang w:val="en-US" w:eastAsia="zh-CN"/>
        </w:rPr>
        <w:t>的</w:t>
      </w:r>
      <w:r w:rsidR="00C158ED">
        <w:rPr>
          <w:rFonts w:cs="Calibri" w:hint="eastAsia"/>
          <w:lang w:val="en-US" w:eastAsia="zh-CN"/>
        </w:rPr>
        <w:t>产量</w:t>
      </w:r>
      <w:r w:rsidR="0021483D">
        <w:rPr>
          <w:rFonts w:cs="Calibri" w:hint="eastAsia"/>
          <w:lang w:val="en-US" w:eastAsia="zh-CN"/>
        </w:rPr>
        <w:t>。</w:t>
      </w:r>
    </w:p>
    <w:p w14:paraId="5D75DF49" w14:textId="51550BBA" w:rsidR="00CE59F1" w:rsidRPr="00833692" w:rsidRDefault="006B1CBF" w:rsidP="00394FD5">
      <w:pPr>
        <w:spacing w:after="120"/>
        <w:ind w:firstLineChars="200" w:firstLine="480"/>
        <w:jc w:val="both"/>
        <w:rPr>
          <w:rFonts w:cs="Calibri"/>
          <w:lang w:eastAsia="zh-CN"/>
        </w:rPr>
      </w:pPr>
      <w:r w:rsidRPr="00833692">
        <w:rPr>
          <w:rFonts w:cs="Calibri" w:hint="eastAsia"/>
          <w:lang w:eastAsia="zh-CN"/>
        </w:rPr>
        <w:t>根据</w:t>
      </w:r>
      <w:hyperlink r:id="rId12" w:history="1">
        <w:r w:rsidRPr="00806A89">
          <w:rPr>
            <w:rStyle w:val="Hyperlink"/>
            <w:rFonts w:cs="Calibri" w:hint="eastAsia"/>
            <w:lang w:eastAsia="zh-CN"/>
          </w:rPr>
          <w:t>《</w:t>
        </w:r>
        <w:r w:rsidRPr="00806A89">
          <w:rPr>
            <w:rStyle w:val="Hyperlink"/>
            <w:rFonts w:cs="Calibri" w:hint="eastAsia"/>
            <w:lang w:eastAsia="zh-CN"/>
          </w:rPr>
          <w:t>2024</w:t>
        </w:r>
        <w:r w:rsidRPr="00806A89">
          <w:rPr>
            <w:rStyle w:val="Hyperlink"/>
            <w:rFonts w:cs="Calibri"/>
            <w:lang w:eastAsia="zh-CN"/>
          </w:rPr>
          <w:t>年全球电子废物</w:t>
        </w:r>
        <w:r w:rsidRPr="00806A89">
          <w:rPr>
            <w:rStyle w:val="Hyperlink"/>
            <w:rFonts w:cs="Calibri" w:hint="eastAsia"/>
            <w:lang w:eastAsia="zh-CN"/>
          </w:rPr>
          <w:t>监测报告》</w:t>
        </w:r>
      </w:hyperlink>
      <w:r>
        <w:rPr>
          <w:rFonts w:cs="Calibri" w:hint="eastAsia"/>
          <w:lang w:eastAsia="zh-CN"/>
        </w:rPr>
        <w:t>，从</w:t>
      </w:r>
      <w:r>
        <w:rPr>
          <w:rFonts w:cs="Calibri" w:hint="eastAsia"/>
          <w:lang w:eastAsia="zh-CN"/>
        </w:rPr>
        <w:t>2010</w:t>
      </w:r>
      <w:r>
        <w:rPr>
          <w:rFonts w:cs="Calibri" w:hint="eastAsia"/>
          <w:lang w:eastAsia="zh-CN"/>
        </w:rPr>
        <w:t>年到</w:t>
      </w:r>
      <w:r>
        <w:rPr>
          <w:rFonts w:cs="Calibri" w:hint="eastAsia"/>
          <w:lang w:eastAsia="zh-CN"/>
        </w:rPr>
        <w:t>2022</w:t>
      </w:r>
      <w:r>
        <w:rPr>
          <w:rFonts w:cs="Calibri" w:hint="eastAsia"/>
          <w:lang w:eastAsia="zh-CN"/>
        </w:rPr>
        <w:t>年，全球产生的电子废弃物和记录在案的正式收集和回收的电子废弃物都有所增加，分别从</w:t>
      </w:r>
      <w:r>
        <w:rPr>
          <w:rFonts w:cs="Calibri" w:hint="eastAsia"/>
          <w:lang w:eastAsia="zh-CN"/>
        </w:rPr>
        <w:t>340</w:t>
      </w:r>
      <w:r>
        <w:rPr>
          <w:rFonts w:cs="Calibri" w:hint="eastAsia"/>
          <w:lang w:eastAsia="zh-CN"/>
        </w:rPr>
        <w:t>亿公斤和</w:t>
      </w:r>
      <w:r>
        <w:rPr>
          <w:rFonts w:cs="Calibri" w:hint="eastAsia"/>
          <w:lang w:eastAsia="zh-CN"/>
        </w:rPr>
        <w:t>80</w:t>
      </w:r>
      <w:r>
        <w:rPr>
          <w:rFonts w:cs="Calibri" w:hint="eastAsia"/>
          <w:lang w:eastAsia="zh-CN"/>
        </w:rPr>
        <w:t>亿公斤增加到了</w:t>
      </w:r>
      <w:r>
        <w:rPr>
          <w:rFonts w:cs="Calibri" w:hint="eastAsia"/>
          <w:lang w:eastAsia="zh-CN"/>
        </w:rPr>
        <w:t>620</w:t>
      </w:r>
      <w:r>
        <w:rPr>
          <w:rFonts w:cs="Calibri" w:hint="eastAsia"/>
          <w:lang w:eastAsia="zh-CN"/>
        </w:rPr>
        <w:t>亿公斤和</w:t>
      </w:r>
      <w:r>
        <w:rPr>
          <w:rFonts w:cs="Calibri" w:hint="eastAsia"/>
          <w:lang w:eastAsia="zh-CN"/>
        </w:rPr>
        <w:t>138</w:t>
      </w:r>
      <w:r>
        <w:rPr>
          <w:rFonts w:cs="Calibri" w:hint="eastAsia"/>
          <w:lang w:eastAsia="zh-CN"/>
        </w:rPr>
        <w:t>亿公斤。然而，电子废弃物的产生速度比正式收集和回收速度快</w:t>
      </w:r>
      <w:r w:rsidR="001057AE">
        <w:rPr>
          <w:rFonts w:cs="Calibri" w:hint="eastAsia"/>
          <w:lang w:eastAsia="zh-CN"/>
        </w:rPr>
        <w:t>近</w:t>
      </w:r>
      <w:r>
        <w:rPr>
          <w:rFonts w:cs="Calibri" w:hint="eastAsia"/>
          <w:lang w:eastAsia="zh-CN"/>
        </w:rPr>
        <w:t>5</w:t>
      </w:r>
      <w:r>
        <w:rPr>
          <w:rFonts w:cs="Calibri" w:hint="eastAsia"/>
          <w:lang w:eastAsia="zh-CN"/>
        </w:rPr>
        <w:t>倍。目前，全球有</w:t>
      </w:r>
      <w:r>
        <w:rPr>
          <w:rFonts w:cs="Calibri" w:hint="eastAsia"/>
          <w:lang w:eastAsia="zh-CN"/>
        </w:rPr>
        <w:t>81</w:t>
      </w:r>
      <w:r>
        <w:rPr>
          <w:rFonts w:cs="Calibri" w:hint="eastAsia"/>
          <w:lang w:eastAsia="zh-CN"/>
        </w:rPr>
        <w:t>个国家（</w:t>
      </w:r>
      <w:r>
        <w:rPr>
          <w:rFonts w:cs="Calibri" w:hint="eastAsia"/>
          <w:lang w:eastAsia="zh-CN"/>
        </w:rPr>
        <w:t>42%</w:t>
      </w:r>
      <w:r>
        <w:rPr>
          <w:rFonts w:cs="Calibri" w:hint="eastAsia"/>
          <w:lang w:eastAsia="zh-CN"/>
        </w:rPr>
        <w:t>）制定了有关电子废弃物的政策、法律或规则。在</w:t>
      </w:r>
      <w:r>
        <w:rPr>
          <w:rFonts w:cs="Calibri" w:hint="eastAsia"/>
          <w:lang w:eastAsia="zh-CN"/>
        </w:rPr>
        <w:t>2030</w:t>
      </w:r>
      <w:r>
        <w:rPr>
          <w:rFonts w:cs="Calibri" w:hint="eastAsia"/>
          <w:lang w:eastAsia="zh-CN"/>
        </w:rPr>
        <w:t>年，全球预计将产生</w:t>
      </w:r>
      <w:r>
        <w:rPr>
          <w:rFonts w:cs="Calibri" w:hint="eastAsia"/>
          <w:lang w:eastAsia="zh-CN"/>
        </w:rPr>
        <w:t>820</w:t>
      </w:r>
      <w:r>
        <w:rPr>
          <w:rFonts w:cs="Calibri" w:hint="eastAsia"/>
          <w:lang w:eastAsia="zh-CN"/>
        </w:rPr>
        <w:t>亿公斤电子废弃物。如果不改变现状，</w:t>
      </w:r>
      <w:r w:rsidR="00F66FAC">
        <w:rPr>
          <w:rFonts w:cs="Calibri" w:hint="eastAsia"/>
          <w:lang w:eastAsia="zh-CN"/>
        </w:rPr>
        <w:t>到</w:t>
      </w:r>
      <w:r>
        <w:rPr>
          <w:rFonts w:cs="Calibri" w:hint="eastAsia"/>
          <w:lang w:eastAsia="zh-CN"/>
        </w:rPr>
        <w:t>2030</w:t>
      </w:r>
      <w:r>
        <w:rPr>
          <w:rFonts w:cs="Calibri" w:hint="eastAsia"/>
          <w:lang w:eastAsia="zh-CN"/>
        </w:rPr>
        <w:t>年</w:t>
      </w:r>
      <w:r w:rsidR="00F66FAC">
        <w:rPr>
          <w:rFonts w:cs="Calibri" w:hint="eastAsia"/>
          <w:lang w:eastAsia="zh-CN"/>
        </w:rPr>
        <w:t>，</w:t>
      </w:r>
      <w:r>
        <w:rPr>
          <w:rFonts w:cs="Calibri" w:hint="eastAsia"/>
          <w:lang w:eastAsia="zh-CN"/>
        </w:rPr>
        <w:t>记录在案的正式收集和回收率将降至</w:t>
      </w:r>
      <w:r>
        <w:rPr>
          <w:rFonts w:cs="Calibri" w:hint="eastAsia"/>
          <w:lang w:eastAsia="zh-CN"/>
        </w:rPr>
        <w:t>20%</w:t>
      </w:r>
      <w:r>
        <w:rPr>
          <w:rFonts w:cs="Calibri" w:hint="eastAsia"/>
          <w:lang w:eastAsia="zh-CN"/>
        </w:rPr>
        <w:t>。</w:t>
      </w:r>
      <w:r w:rsidR="00CE59F1" w:rsidRPr="58180750">
        <w:rPr>
          <w:rStyle w:val="FootnoteReference"/>
          <w:rFonts w:eastAsia="Calibri" w:cs="Calibri"/>
          <w:lang w:val="en-US"/>
        </w:rPr>
        <w:footnoteReference w:id="1"/>
      </w:r>
    </w:p>
    <w:p w14:paraId="2BC8CF3C" w14:textId="0EAAFB46" w:rsidR="00850A2A" w:rsidRPr="001A2201" w:rsidRDefault="003A524C" w:rsidP="00394FD5">
      <w:pPr>
        <w:spacing w:after="120"/>
        <w:ind w:firstLineChars="200" w:firstLine="480"/>
        <w:jc w:val="both"/>
        <w:rPr>
          <w:rFonts w:ascii="Microsoft YaHei" w:eastAsiaTheme="minorEastAsia" w:hAnsi="Microsoft YaHei" w:cs="Microsoft YaHei"/>
          <w:lang w:val="en-US" w:eastAsia="zh-CN"/>
        </w:rPr>
      </w:pPr>
      <w:r w:rsidRPr="005879C9">
        <w:rPr>
          <w:rFonts w:cs="Calibri" w:hint="eastAsia"/>
          <w:lang w:val="en-US" w:eastAsia="zh-CN"/>
        </w:rPr>
        <w:t>与此同时，</w:t>
      </w:r>
      <w:r>
        <w:rPr>
          <w:rFonts w:cs="Calibri" w:hint="eastAsia"/>
          <w:lang w:val="en-US" w:eastAsia="zh-CN"/>
        </w:rPr>
        <w:t>数字化的快速发展需要更多能源，</w:t>
      </w:r>
      <w:r w:rsidR="00667DC7">
        <w:rPr>
          <w:rFonts w:cs="Calibri" w:hint="eastAsia"/>
          <w:lang w:val="en-US" w:eastAsia="zh-CN"/>
        </w:rPr>
        <w:t>因此</w:t>
      </w:r>
      <w:r>
        <w:rPr>
          <w:rFonts w:cs="Calibri" w:hint="eastAsia"/>
          <w:lang w:val="en-US" w:eastAsia="zh-CN"/>
        </w:rPr>
        <w:t>造成</w:t>
      </w:r>
      <w:r>
        <w:rPr>
          <w:rFonts w:cs="Calibri" w:hint="eastAsia"/>
          <w:lang w:val="en-US" w:eastAsia="zh-CN"/>
        </w:rPr>
        <w:t>GHG</w:t>
      </w:r>
      <w:r>
        <w:rPr>
          <w:rFonts w:cs="Calibri" w:hint="eastAsia"/>
          <w:lang w:val="en-US" w:eastAsia="zh-CN"/>
        </w:rPr>
        <w:t>排放。各文献对信息通信技术（</w:t>
      </w:r>
      <w:r>
        <w:rPr>
          <w:rFonts w:cs="Calibri" w:hint="eastAsia"/>
          <w:lang w:val="en-US" w:eastAsia="zh-CN"/>
        </w:rPr>
        <w:t>ICT</w:t>
      </w:r>
      <w:r>
        <w:rPr>
          <w:rFonts w:cs="Calibri" w:hint="eastAsia"/>
          <w:lang w:val="en-US" w:eastAsia="zh-CN"/>
        </w:rPr>
        <w:t>）行业在全球碳排放中所占比例的估算值从</w:t>
      </w:r>
      <w:r>
        <w:rPr>
          <w:rFonts w:cs="Calibri" w:hint="eastAsia"/>
          <w:lang w:val="en-US" w:eastAsia="zh-CN"/>
        </w:rPr>
        <w:t>1.5%</w:t>
      </w:r>
      <w:r>
        <w:rPr>
          <w:rFonts w:cs="Calibri" w:hint="eastAsia"/>
          <w:lang w:val="en-US" w:eastAsia="zh-CN"/>
        </w:rPr>
        <w:t>到</w:t>
      </w:r>
      <w:r>
        <w:rPr>
          <w:rFonts w:cs="Calibri" w:hint="eastAsia"/>
          <w:lang w:val="en-US" w:eastAsia="zh-CN"/>
        </w:rPr>
        <w:t>4%</w:t>
      </w:r>
      <w:r>
        <w:rPr>
          <w:rFonts w:cs="Calibri" w:hint="eastAsia"/>
          <w:lang w:val="en-US" w:eastAsia="zh-CN"/>
        </w:rPr>
        <w:t>不等。</w:t>
      </w:r>
      <w:r w:rsidR="00CE59F1" w:rsidRPr="58180750">
        <w:rPr>
          <w:rStyle w:val="FootnoteReference"/>
          <w:rFonts w:eastAsia="Calibri" w:cs="Calibri"/>
          <w:lang w:val="en-US"/>
        </w:rPr>
        <w:footnoteReference w:id="2"/>
      </w:r>
      <w:r w:rsidR="006F3841">
        <w:rPr>
          <w:rFonts w:cs="Calibri" w:hint="eastAsia"/>
          <w:lang w:val="en-US" w:eastAsia="zh-CN"/>
        </w:rPr>
        <w:t>根据国际电联和世界银行联合发布的</w:t>
      </w:r>
      <w:r w:rsidR="006F3841">
        <w:rPr>
          <w:rFonts w:cs="Calibri" w:hint="eastAsia"/>
          <w:lang w:val="en-US" w:eastAsia="zh-CN"/>
        </w:rPr>
        <w:t>2024</w:t>
      </w:r>
      <w:r w:rsidR="006F3841">
        <w:rPr>
          <w:rFonts w:cs="Calibri" w:hint="eastAsia"/>
          <w:lang w:val="en-US" w:eastAsia="zh-CN"/>
        </w:rPr>
        <w:t>年报告</w:t>
      </w:r>
      <w:r w:rsidR="00613E3B">
        <w:fldChar w:fldCharType="begin"/>
      </w:r>
      <w:r w:rsidR="00613E3B">
        <w:instrText>HYPERLINK "https://www.itu.int/en/ITU-D/Environment/Pages/Publications/Measuring-Emissions-and-Energy-Footprint-ICT-Sector.aspx"</w:instrText>
      </w:r>
      <w:r w:rsidR="00613E3B">
        <w:fldChar w:fldCharType="separate"/>
      </w:r>
      <w:bookmarkStart w:id="7" w:name="_Hlk166577795"/>
      <w:r w:rsidR="006F3841" w:rsidRPr="00A84566">
        <w:rPr>
          <w:rStyle w:val="Hyperlink"/>
          <w:rFonts w:cs="Calibri" w:hint="eastAsia"/>
          <w:lang w:val="en-US" w:eastAsia="zh-CN"/>
        </w:rPr>
        <w:t>《衡量</w:t>
      </w:r>
      <w:r w:rsidR="006F3841" w:rsidRPr="00A84566">
        <w:rPr>
          <w:rStyle w:val="Hyperlink"/>
          <w:rFonts w:cs="Calibri" w:hint="eastAsia"/>
          <w:lang w:val="en-US" w:eastAsia="zh-CN"/>
        </w:rPr>
        <w:t>ICT</w:t>
      </w:r>
      <w:r w:rsidR="006F3841" w:rsidRPr="00A84566">
        <w:rPr>
          <w:rStyle w:val="Hyperlink"/>
          <w:rFonts w:cs="Calibri" w:hint="eastAsia"/>
          <w:lang w:val="en-US" w:eastAsia="zh-CN"/>
        </w:rPr>
        <w:t>行业的排放和能源足迹：对气候行动的影响</w:t>
      </w:r>
      <w:bookmarkEnd w:id="7"/>
      <w:r w:rsidR="006F3841" w:rsidRPr="00A84566">
        <w:rPr>
          <w:rStyle w:val="Hyperlink"/>
          <w:rFonts w:cs="Calibri" w:hint="eastAsia"/>
          <w:lang w:val="en-US" w:eastAsia="zh-CN"/>
        </w:rPr>
        <w:t>》</w:t>
      </w:r>
      <w:r w:rsidR="00613E3B">
        <w:rPr>
          <w:rStyle w:val="Hyperlink"/>
          <w:rFonts w:cs="Calibri"/>
          <w:lang w:val="en-US" w:eastAsia="zh-CN"/>
        </w:rPr>
        <w:fldChar w:fldCharType="end"/>
      </w:r>
      <w:r w:rsidR="006F3841">
        <w:rPr>
          <w:rFonts w:cs="Calibri" w:hint="eastAsia"/>
          <w:lang w:val="en-US" w:eastAsia="zh-CN"/>
        </w:rPr>
        <w:t>的数据和估算，至少有</w:t>
      </w:r>
      <w:r w:rsidR="006F3841">
        <w:rPr>
          <w:rFonts w:cs="Calibri" w:hint="eastAsia"/>
          <w:lang w:val="en-US" w:eastAsia="zh-CN"/>
        </w:rPr>
        <w:t>1.7%</w:t>
      </w:r>
      <w:r w:rsidR="006F3841">
        <w:rPr>
          <w:rFonts w:cs="Calibri" w:hint="eastAsia"/>
          <w:lang w:val="en-US" w:eastAsia="zh-CN"/>
        </w:rPr>
        <w:t>的全球碳排放来自</w:t>
      </w:r>
      <w:r w:rsidR="006F3841">
        <w:rPr>
          <w:rFonts w:cs="Calibri" w:hint="eastAsia"/>
          <w:lang w:val="en-US" w:eastAsia="zh-CN"/>
        </w:rPr>
        <w:t>ICT</w:t>
      </w:r>
      <w:r w:rsidR="006F3841">
        <w:rPr>
          <w:rFonts w:cs="Calibri" w:hint="eastAsia"/>
          <w:lang w:val="en-US" w:eastAsia="zh-CN"/>
        </w:rPr>
        <w:t>行业</w:t>
      </w:r>
      <w:r w:rsidR="00A84566">
        <w:rPr>
          <w:rFonts w:cs="Calibri" w:hint="eastAsia"/>
          <w:lang w:val="en-US" w:eastAsia="zh-CN"/>
        </w:rPr>
        <w:t>，</w:t>
      </w:r>
      <w:r w:rsidR="00A84566">
        <w:rPr>
          <w:rFonts w:cs="Calibri" w:hint="eastAsia"/>
          <w:lang w:val="en-US" w:eastAsia="zh-CN"/>
        </w:rPr>
        <w:t>2022</w:t>
      </w:r>
      <w:r w:rsidR="00A84566">
        <w:rPr>
          <w:rFonts w:cs="Calibri" w:hint="eastAsia"/>
          <w:lang w:val="en-US" w:eastAsia="zh-CN"/>
        </w:rPr>
        <w:t>年</w:t>
      </w:r>
      <w:r w:rsidR="00A84566">
        <w:rPr>
          <w:rFonts w:cs="Calibri" w:hint="eastAsia"/>
          <w:lang w:val="en-US" w:eastAsia="zh-CN"/>
        </w:rPr>
        <w:t>ICT</w:t>
      </w:r>
      <w:r w:rsidR="00A84566">
        <w:rPr>
          <w:rFonts w:cs="Calibri" w:hint="eastAsia"/>
          <w:lang w:val="en-US" w:eastAsia="zh-CN"/>
        </w:rPr>
        <w:t>行业的电力消耗达到</w:t>
      </w:r>
      <w:r w:rsidR="00CE59F1" w:rsidRPr="58180750">
        <w:rPr>
          <w:rFonts w:eastAsia="Calibri" w:cs="Calibri"/>
          <w:lang w:val="en-US" w:eastAsia="zh-CN"/>
        </w:rPr>
        <w:t>1</w:t>
      </w:r>
      <w:r w:rsidR="00CE59F1">
        <w:rPr>
          <w:rFonts w:eastAsia="Calibri" w:cs="Calibri"/>
          <w:lang w:val="en-US" w:eastAsia="zh-CN"/>
        </w:rPr>
        <w:t> </w:t>
      </w:r>
      <w:r w:rsidR="00CE59F1" w:rsidRPr="58180750">
        <w:rPr>
          <w:rFonts w:eastAsia="Calibri" w:cs="Calibri"/>
          <w:lang w:val="en-US" w:eastAsia="zh-CN"/>
        </w:rPr>
        <w:t>183</w:t>
      </w:r>
      <w:r w:rsidR="00CE59F1">
        <w:rPr>
          <w:rFonts w:eastAsia="Calibri" w:cs="Calibri"/>
          <w:lang w:val="en-US" w:eastAsia="zh-CN"/>
        </w:rPr>
        <w:t> </w:t>
      </w:r>
      <w:r w:rsidR="00760439" w:rsidRPr="00391048">
        <w:rPr>
          <w:rFonts w:cs="Calibri" w:hint="eastAsia"/>
          <w:lang w:val="en-US" w:eastAsia="zh-CN"/>
        </w:rPr>
        <w:t>太瓦时</w:t>
      </w:r>
      <w:r w:rsidR="00A84566" w:rsidRPr="00A84566">
        <w:rPr>
          <w:rFonts w:cs="Calibri" w:hint="eastAsia"/>
          <w:lang w:val="en-US" w:eastAsia="zh-CN"/>
        </w:rPr>
        <w:t>，</w:t>
      </w:r>
      <w:r w:rsidR="00760439">
        <w:rPr>
          <w:rFonts w:cs="Calibri" w:hint="eastAsia"/>
          <w:lang w:val="en-US" w:eastAsia="zh-CN"/>
        </w:rPr>
        <w:t>意味着</w:t>
      </w:r>
      <w:r w:rsidR="00A84566" w:rsidRPr="00A84566">
        <w:rPr>
          <w:rFonts w:cs="Calibri" w:hint="eastAsia"/>
          <w:lang w:val="en-US" w:eastAsia="zh-CN"/>
        </w:rPr>
        <w:t>从</w:t>
      </w:r>
      <w:r w:rsidR="00A84566" w:rsidRPr="00A84566">
        <w:rPr>
          <w:rFonts w:cs="Calibri" w:hint="eastAsia"/>
          <w:lang w:val="en-US" w:eastAsia="zh-CN"/>
        </w:rPr>
        <w:t>2020</w:t>
      </w:r>
      <w:r w:rsidR="00A84566" w:rsidRPr="00A84566">
        <w:rPr>
          <w:rFonts w:cs="Calibri" w:hint="eastAsia"/>
          <w:lang w:val="en-US" w:eastAsia="zh-CN"/>
        </w:rPr>
        <w:t>年到</w:t>
      </w:r>
      <w:r w:rsidR="00A84566" w:rsidRPr="00A84566">
        <w:rPr>
          <w:rFonts w:cs="Calibri" w:hint="eastAsia"/>
          <w:lang w:val="en-US" w:eastAsia="zh-CN"/>
        </w:rPr>
        <w:t>2022</w:t>
      </w:r>
      <w:r w:rsidR="00A84566" w:rsidRPr="00A84566">
        <w:rPr>
          <w:rFonts w:cs="Calibri" w:hint="eastAsia"/>
          <w:lang w:val="en-US" w:eastAsia="zh-CN"/>
        </w:rPr>
        <w:t>年</w:t>
      </w:r>
      <w:r w:rsidR="00A84566" w:rsidRPr="00A84566">
        <w:rPr>
          <w:rFonts w:cs="Calibri" w:hint="eastAsia"/>
          <w:lang w:val="en-US" w:eastAsia="zh-CN"/>
        </w:rPr>
        <w:t>ICT</w:t>
      </w:r>
      <w:r w:rsidR="00A84566" w:rsidRPr="00A84566">
        <w:rPr>
          <w:rFonts w:cs="Calibri" w:hint="eastAsia"/>
          <w:lang w:val="en-US" w:eastAsia="zh-CN"/>
        </w:rPr>
        <w:t>行业的电力消耗增加了</w:t>
      </w:r>
      <w:r w:rsidR="00A84566" w:rsidRPr="00A84566">
        <w:rPr>
          <w:rFonts w:cs="Calibri" w:hint="eastAsia"/>
          <w:lang w:val="en-US" w:eastAsia="zh-CN"/>
        </w:rPr>
        <w:t>6.9%</w:t>
      </w:r>
      <w:r w:rsidR="00A84566" w:rsidRPr="00A84566">
        <w:rPr>
          <w:rFonts w:cs="Calibri" w:hint="eastAsia"/>
          <w:lang w:val="en-US" w:eastAsia="zh-CN"/>
        </w:rPr>
        <w:t>。</w:t>
      </w:r>
      <w:r w:rsidR="00CE59F1" w:rsidRPr="58180750">
        <w:rPr>
          <w:rStyle w:val="FootnoteReference"/>
          <w:rFonts w:eastAsia="Calibri" w:cs="Calibri"/>
          <w:lang w:val="en-US"/>
        </w:rPr>
        <w:footnoteReference w:id="3"/>
      </w:r>
      <w:r w:rsidR="00A84566">
        <w:rPr>
          <w:rFonts w:cs="Calibri" w:hint="eastAsia"/>
          <w:lang w:val="en-US" w:eastAsia="zh-CN"/>
        </w:rPr>
        <w:t>不断增</w:t>
      </w:r>
      <w:r w:rsidR="00B9775D">
        <w:rPr>
          <w:rFonts w:cs="Calibri" w:hint="eastAsia"/>
          <w:lang w:val="en-US" w:eastAsia="zh-CN"/>
        </w:rPr>
        <w:t>加</w:t>
      </w:r>
      <w:r w:rsidR="00A84566">
        <w:rPr>
          <w:rFonts w:cs="Calibri" w:hint="eastAsia"/>
          <w:lang w:val="en-US" w:eastAsia="zh-CN"/>
        </w:rPr>
        <w:t>的数据存储和处理需求，包括对人工智能（</w:t>
      </w:r>
      <w:r w:rsidR="00A84566">
        <w:rPr>
          <w:rFonts w:cs="Calibri" w:hint="eastAsia"/>
          <w:lang w:val="en-US" w:eastAsia="zh-CN"/>
        </w:rPr>
        <w:t>AI</w:t>
      </w:r>
      <w:r w:rsidR="00A84566">
        <w:rPr>
          <w:rFonts w:cs="Calibri" w:hint="eastAsia"/>
          <w:lang w:val="en-US" w:eastAsia="zh-CN"/>
        </w:rPr>
        <w:t>）系统的需求，</w:t>
      </w:r>
      <w:r w:rsidR="00B9775D">
        <w:rPr>
          <w:rFonts w:cs="Calibri" w:hint="eastAsia"/>
          <w:lang w:val="en-US" w:eastAsia="zh-CN"/>
        </w:rPr>
        <w:t>正</w:t>
      </w:r>
      <w:r w:rsidR="00A84566">
        <w:rPr>
          <w:rFonts w:cs="Calibri" w:hint="eastAsia"/>
          <w:lang w:val="en-US" w:eastAsia="zh-CN"/>
        </w:rPr>
        <w:t>进一步增加</w:t>
      </w:r>
      <w:r w:rsidR="00A84566">
        <w:rPr>
          <w:rFonts w:cs="Calibri" w:hint="eastAsia"/>
          <w:lang w:val="en-US" w:eastAsia="zh-CN"/>
        </w:rPr>
        <w:t>ICT</w:t>
      </w:r>
      <w:r w:rsidR="00A84566">
        <w:rPr>
          <w:rFonts w:cs="Calibri" w:hint="eastAsia"/>
          <w:lang w:val="en-US" w:eastAsia="zh-CN"/>
        </w:rPr>
        <w:t>行业的碳足迹</w:t>
      </w:r>
      <w:r w:rsidR="008B0110">
        <w:rPr>
          <w:rFonts w:cs="Calibri" w:hint="eastAsia"/>
          <w:lang w:val="en-US" w:eastAsia="zh-CN"/>
        </w:rPr>
        <w:t>和</w:t>
      </w:r>
      <w:r w:rsidR="00A84566">
        <w:rPr>
          <w:rFonts w:cs="Calibri" w:hint="eastAsia"/>
          <w:lang w:val="en-US" w:eastAsia="zh-CN"/>
        </w:rPr>
        <w:t>大量能源</w:t>
      </w:r>
      <w:r w:rsidR="008B0110">
        <w:rPr>
          <w:rFonts w:cs="Calibri" w:hint="eastAsia"/>
          <w:lang w:val="en-US" w:eastAsia="zh-CN"/>
        </w:rPr>
        <w:t>需求</w:t>
      </w:r>
      <w:r w:rsidR="00A84566">
        <w:rPr>
          <w:rFonts w:cs="Calibri" w:hint="eastAsia"/>
          <w:lang w:val="en-US" w:eastAsia="zh-CN"/>
        </w:rPr>
        <w:t>，导致</w:t>
      </w:r>
      <w:r w:rsidR="00760439">
        <w:rPr>
          <w:rFonts w:cs="Calibri" w:hint="eastAsia"/>
          <w:lang w:val="en-US" w:eastAsia="zh-CN"/>
        </w:rPr>
        <w:t>对</w:t>
      </w:r>
      <w:r w:rsidR="00A84566">
        <w:rPr>
          <w:rFonts w:cs="Calibri" w:hint="eastAsia"/>
          <w:lang w:val="en-US" w:eastAsia="zh-CN"/>
        </w:rPr>
        <w:t>排放和能源供应</w:t>
      </w:r>
      <w:r w:rsidR="00760439">
        <w:rPr>
          <w:rFonts w:cs="Calibri" w:hint="eastAsia"/>
          <w:lang w:val="en-US" w:eastAsia="zh-CN"/>
        </w:rPr>
        <w:t>的关切</w:t>
      </w:r>
      <w:r w:rsidR="00A84566">
        <w:rPr>
          <w:rFonts w:cs="Calibri" w:hint="eastAsia"/>
          <w:lang w:val="en-US" w:eastAsia="zh-CN"/>
        </w:rPr>
        <w:t>。</w:t>
      </w:r>
      <w:r w:rsidR="00CE59F1" w:rsidRPr="58180750">
        <w:rPr>
          <w:rStyle w:val="FootnoteReference"/>
          <w:rFonts w:eastAsia="Calibri" w:cs="Calibri"/>
          <w:lang w:val="en-US"/>
        </w:rPr>
        <w:footnoteReference w:id="4"/>
      </w:r>
      <w:r w:rsidR="00B9775D">
        <w:rPr>
          <w:rFonts w:cs="Calibri" w:hint="eastAsia"/>
          <w:lang w:val="en-US" w:eastAsia="zh-CN"/>
        </w:rPr>
        <w:t>此外，数据基础设施消耗</w:t>
      </w:r>
      <w:r w:rsidR="00760439">
        <w:rPr>
          <w:rFonts w:cs="Calibri" w:hint="eastAsia"/>
          <w:lang w:val="en-US" w:eastAsia="zh-CN"/>
        </w:rPr>
        <w:t>用于冷却的</w:t>
      </w:r>
      <w:r w:rsidR="00B9775D">
        <w:rPr>
          <w:rFonts w:cs="Calibri" w:hint="eastAsia"/>
          <w:lang w:val="en-US" w:eastAsia="zh-CN"/>
        </w:rPr>
        <w:t>制冷剂和大量水资源。</w:t>
      </w:r>
      <w:r w:rsidR="00CE59F1" w:rsidRPr="58180750">
        <w:rPr>
          <w:rStyle w:val="FootnoteReference"/>
          <w:rFonts w:eastAsia="Calibri" w:cs="Calibri"/>
          <w:lang w:val="en-US"/>
        </w:rPr>
        <w:footnoteReference w:id="5"/>
      </w:r>
    </w:p>
    <w:p w14:paraId="45375995" w14:textId="75BB3696" w:rsidR="00CE59F1" w:rsidRDefault="001A2201" w:rsidP="00394FD5">
      <w:pPr>
        <w:spacing w:after="120"/>
        <w:ind w:firstLineChars="200" w:firstLine="480"/>
        <w:jc w:val="both"/>
        <w:rPr>
          <w:rFonts w:cs="Calibri"/>
          <w:szCs w:val="24"/>
          <w:lang w:val="en-US" w:eastAsia="zh-CN"/>
        </w:rPr>
      </w:pPr>
      <w:r w:rsidRPr="004E3F04">
        <w:rPr>
          <w:rFonts w:cs="Calibri" w:hint="eastAsia"/>
          <w:szCs w:val="24"/>
          <w:lang w:val="en-US" w:eastAsia="zh-CN"/>
        </w:rPr>
        <w:t>国际电联</w:t>
      </w:r>
      <w:r w:rsidR="008672C9" w:rsidRPr="004E3F04">
        <w:rPr>
          <w:rFonts w:cs="Calibri" w:hint="eastAsia"/>
          <w:szCs w:val="24"/>
          <w:lang w:val="en-US" w:eastAsia="zh-CN"/>
        </w:rPr>
        <w:t>站在全球提高环境效率、建设循环数字经济</w:t>
      </w:r>
      <w:r w:rsidR="0007782C">
        <w:rPr>
          <w:rFonts w:cs="Calibri" w:hint="eastAsia"/>
          <w:szCs w:val="24"/>
          <w:lang w:val="en-US" w:eastAsia="zh-CN"/>
        </w:rPr>
        <w:t>、</w:t>
      </w:r>
      <w:r w:rsidR="008672C9" w:rsidRPr="004E3F04">
        <w:rPr>
          <w:rFonts w:cs="Calibri" w:hint="eastAsia"/>
          <w:szCs w:val="24"/>
          <w:lang w:val="en-US" w:eastAsia="zh-CN"/>
        </w:rPr>
        <w:t>减少电子废弃物和温室气体排放</w:t>
      </w:r>
      <w:r w:rsidR="004E3F04">
        <w:rPr>
          <w:rFonts w:cs="Calibri" w:hint="eastAsia"/>
          <w:szCs w:val="24"/>
          <w:lang w:val="en-US" w:eastAsia="zh-CN"/>
        </w:rPr>
        <w:t>行动</w:t>
      </w:r>
      <w:r w:rsidR="004E3F04" w:rsidRPr="004E3F04">
        <w:rPr>
          <w:rFonts w:cs="Calibri" w:hint="eastAsia"/>
          <w:szCs w:val="24"/>
          <w:lang w:val="en-US" w:eastAsia="zh-CN"/>
        </w:rPr>
        <w:t>的最前沿，并将</w:t>
      </w:r>
      <w:r w:rsidR="004E3F04" w:rsidRPr="004E3F04">
        <w:rPr>
          <w:rFonts w:cs="Calibri" w:hint="eastAsia"/>
          <w:szCs w:val="24"/>
          <w:lang w:val="en-US" w:eastAsia="zh-CN"/>
        </w:rPr>
        <w:t>ICT</w:t>
      </w:r>
      <w:r w:rsidR="004E3F04" w:rsidRPr="004E3F04">
        <w:rPr>
          <w:rFonts w:cs="Calibri" w:hint="eastAsia"/>
          <w:szCs w:val="24"/>
          <w:lang w:val="en-US" w:eastAsia="zh-CN"/>
        </w:rPr>
        <w:t>行业</w:t>
      </w:r>
      <w:r w:rsidR="004E3F04">
        <w:rPr>
          <w:rFonts w:cs="Calibri" w:hint="eastAsia"/>
          <w:szCs w:val="24"/>
          <w:lang w:val="en-US" w:eastAsia="zh-CN"/>
        </w:rPr>
        <w:t>置于气候和环境行动的突出地位。</w:t>
      </w:r>
    </w:p>
    <w:p w14:paraId="777481B1" w14:textId="09F505C5" w:rsidR="00CE59F1" w:rsidRPr="005B57D2" w:rsidRDefault="00EA19AD" w:rsidP="00394FD5">
      <w:pPr>
        <w:spacing w:after="120"/>
        <w:ind w:firstLineChars="200" w:firstLine="480"/>
        <w:jc w:val="both"/>
        <w:rPr>
          <w:rFonts w:cs="Calibri"/>
          <w:szCs w:val="24"/>
          <w:lang w:val="en-US" w:eastAsia="zh-CN"/>
        </w:rPr>
      </w:pPr>
      <w:r w:rsidRPr="00EA19AD">
        <w:rPr>
          <w:rFonts w:cs="Calibri" w:hint="eastAsia"/>
          <w:szCs w:val="24"/>
          <w:lang w:val="en-US" w:eastAsia="zh-CN"/>
        </w:rPr>
        <w:t>国际电联无线电通信部门（</w:t>
      </w:r>
      <w:r w:rsidRPr="00EA19AD">
        <w:rPr>
          <w:rFonts w:cs="Calibri" w:hint="eastAsia"/>
          <w:szCs w:val="24"/>
          <w:lang w:val="en-US" w:eastAsia="zh-CN"/>
        </w:rPr>
        <w:t>ITU-R</w:t>
      </w:r>
      <w:r w:rsidRPr="00EA19AD">
        <w:rPr>
          <w:rFonts w:cs="Calibri" w:hint="eastAsia"/>
          <w:szCs w:val="24"/>
          <w:lang w:val="en-US" w:eastAsia="zh-CN"/>
        </w:rPr>
        <w:t>）</w:t>
      </w:r>
      <w:r>
        <w:rPr>
          <w:rFonts w:cs="Calibri" w:hint="eastAsia"/>
          <w:szCs w:val="24"/>
          <w:lang w:val="en-US" w:eastAsia="zh-CN"/>
        </w:rPr>
        <w:t>为卫星和地面气候监测以及数据分发系统的发展和有效运行奠定了规则和技术基础。</w:t>
      </w:r>
      <w:r w:rsidR="008B4290" w:rsidRPr="005B57D2">
        <w:rPr>
          <w:rFonts w:cs="Calibri" w:hint="eastAsia"/>
          <w:szCs w:val="24"/>
          <w:lang w:val="en-US" w:eastAsia="zh-CN"/>
        </w:rPr>
        <w:t>国际电</w:t>
      </w:r>
      <w:proofErr w:type="gramStart"/>
      <w:r w:rsidR="008B4290" w:rsidRPr="005B57D2">
        <w:rPr>
          <w:rFonts w:cs="Calibri" w:hint="eastAsia"/>
          <w:szCs w:val="24"/>
          <w:lang w:val="en-US" w:eastAsia="zh-CN"/>
        </w:rPr>
        <w:t>联电信</w:t>
      </w:r>
      <w:proofErr w:type="gramEnd"/>
      <w:r w:rsidR="008B4290" w:rsidRPr="005B57D2">
        <w:rPr>
          <w:rFonts w:cs="Calibri" w:hint="eastAsia"/>
          <w:szCs w:val="24"/>
          <w:lang w:val="en-US" w:eastAsia="zh-CN"/>
        </w:rPr>
        <w:t>发展部门（</w:t>
      </w:r>
      <w:r w:rsidR="008B4290" w:rsidRPr="005B57D2">
        <w:rPr>
          <w:rFonts w:cs="Calibri"/>
          <w:lang w:val="en-US" w:eastAsia="zh-CN"/>
        </w:rPr>
        <w:t>ITU-D</w:t>
      </w:r>
      <w:r w:rsidR="008B4290" w:rsidRPr="005B57D2">
        <w:rPr>
          <w:rFonts w:cs="Calibri" w:hint="eastAsia"/>
          <w:lang w:val="en-US" w:eastAsia="zh-CN"/>
        </w:rPr>
        <w:t>）</w:t>
      </w:r>
      <w:r w:rsidR="00FA098C">
        <w:rPr>
          <w:rFonts w:cs="Calibri" w:hint="eastAsia"/>
          <w:lang w:val="en-US" w:eastAsia="zh-CN"/>
        </w:rPr>
        <w:t>的</w:t>
      </w:r>
      <w:r w:rsidR="008B4290" w:rsidRPr="005B57D2">
        <w:rPr>
          <w:rFonts w:cs="Calibri" w:hint="eastAsia"/>
          <w:lang w:val="en-US" w:eastAsia="zh-CN"/>
        </w:rPr>
        <w:t>环境主题重点</w:t>
      </w:r>
      <w:r w:rsidR="00A64378" w:rsidRPr="005B57D2">
        <w:rPr>
          <w:rFonts w:cs="Calibri" w:hint="eastAsia"/>
          <w:lang w:val="en-US" w:eastAsia="zh-CN"/>
        </w:rPr>
        <w:t>制定政策和规定</w:t>
      </w:r>
      <w:r w:rsidR="00FA098C">
        <w:rPr>
          <w:rFonts w:cs="Calibri" w:hint="eastAsia"/>
          <w:lang w:val="en-US" w:eastAsia="zh-CN"/>
        </w:rPr>
        <w:t>，</w:t>
      </w:r>
      <w:r w:rsidR="00A64378">
        <w:rPr>
          <w:rFonts w:cs="Calibri" w:hint="eastAsia"/>
          <w:lang w:val="en-US" w:eastAsia="zh-CN"/>
        </w:rPr>
        <w:t>收集数据和统计</w:t>
      </w:r>
      <w:r w:rsidR="00BA2E93">
        <w:rPr>
          <w:rFonts w:cs="Calibri" w:hint="eastAsia"/>
          <w:lang w:val="en-US" w:eastAsia="zh-CN"/>
        </w:rPr>
        <w:t>数字</w:t>
      </w:r>
      <w:r w:rsidR="00FA098C">
        <w:rPr>
          <w:rFonts w:cs="Calibri" w:hint="eastAsia"/>
          <w:lang w:val="en-US" w:eastAsia="zh-CN"/>
        </w:rPr>
        <w:t>，并</w:t>
      </w:r>
      <w:r w:rsidR="00A64378">
        <w:rPr>
          <w:rFonts w:cs="Calibri" w:hint="eastAsia"/>
          <w:lang w:val="en-US" w:eastAsia="zh-CN"/>
        </w:rPr>
        <w:t>发挥</w:t>
      </w:r>
      <w:r w:rsidR="00A64378">
        <w:rPr>
          <w:rFonts w:cs="Calibri" w:hint="eastAsia"/>
          <w:lang w:val="en-US" w:eastAsia="zh-CN"/>
        </w:rPr>
        <w:t>ICT</w:t>
      </w:r>
      <w:r w:rsidR="00A64378">
        <w:rPr>
          <w:rFonts w:cs="Calibri" w:hint="eastAsia"/>
          <w:lang w:val="en-US" w:eastAsia="zh-CN"/>
        </w:rPr>
        <w:t>在强化环境可持续性方面的作用以促进气候行动，</w:t>
      </w:r>
      <w:r w:rsidR="005B57D2">
        <w:rPr>
          <w:rFonts w:cs="Calibri" w:hint="eastAsia"/>
          <w:lang w:val="en-US" w:eastAsia="zh-CN"/>
        </w:rPr>
        <w:t>涵盖了</w:t>
      </w:r>
      <w:r w:rsidR="005B57D2" w:rsidRPr="005B57D2">
        <w:rPr>
          <w:rFonts w:cs="Calibri" w:hint="eastAsia"/>
          <w:lang w:val="en-US" w:eastAsia="zh-CN"/>
        </w:rPr>
        <w:t>电子废弃物管理的</w:t>
      </w:r>
      <w:r w:rsidR="005B57D2">
        <w:rPr>
          <w:rFonts w:cs="Calibri" w:hint="eastAsia"/>
          <w:lang w:val="en-US" w:eastAsia="zh-CN"/>
        </w:rPr>
        <w:t>相关</w:t>
      </w:r>
      <w:r w:rsidR="005B57D2" w:rsidRPr="005B57D2">
        <w:rPr>
          <w:rFonts w:cs="Calibri" w:hint="eastAsia"/>
          <w:lang w:val="en-US" w:eastAsia="zh-CN"/>
        </w:rPr>
        <w:t>活动和问题</w:t>
      </w:r>
      <w:r w:rsidR="007F7454">
        <w:rPr>
          <w:rFonts w:ascii="Microsoft YaHei" w:eastAsia="Microsoft YaHei" w:hAnsi="Microsoft YaHei" w:cs="Microsoft YaHei" w:hint="eastAsia"/>
          <w:lang w:val="en-US" w:eastAsia="zh-CN"/>
        </w:rPr>
        <w:t>。</w:t>
      </w:r>
      <w:r w:rsidR="00A64378" w:rsidRPr="00A64378">
        <w:rPr>
          <w:rFonts w:cs="Calibri" w:hint="eastAsia"/>
          <w:lang w:val="en-US" w:eastAsia="zh-CN"/>
        </w:rPr>
        <w:t>国际电</w:t>
      </w:r>
      <w:proofErr w:type="gramStart"/>
      <w:r w:rsidR="00A64378" w:rsidRPr="00A64378">
        <w:rPr>
          <w:rFonts w:cs="Calibri" w:hint="eastAsia"/>
          <w:lang w:val="en-US" w:eastAsia="zh-CN"/>
        </w:rPr>
        <w:t>联电信</w:t>
      </w:r>
      <w:proofErr w:type="gramEnd"/>
      <w:r w:rsidR="00A64378" w:rsidRPr="00A64378">
        <w:rPr>
          <w:rFonts w:cs="Calibri" w:hint="eastAsia"/>
          <w:lang w:val="en-US" w:eastAsia="zh-CN"/>
        </w:rPr>
        <w:t>标准化部门（</w:t>
      </w:r>
      <w:r w:rsidR="00CE59F1" w:rsidRPr="00A64378">
        <w:rPr>
          <w:rFonts w:cs="Calibri"/>
          <w:lang w:val="en-US" w:eastAsia="zh-CN"/>
        </w:rPr>
        <w:t>ITU-T</w:t>
      </w:r>
      <w:r w:rsidR="00A64378" w:rsidRPr="00A64378">
        <w:rPr>
          <w:rFonts w:cs="Calibri" w:hint="eastAsia"/>
          <w:lang w:val="en-US" w:eastAsia="zh-CN"/>
        </w:rPr>
        <w:t>）</w:t>
      </w:r>
      <w:r w:rsidR="00DB093A">
        <w:rPr>
          <w:rFonts w:cs="Calibri" w:hint="eastAsia"/>
          <w:lang w:val="en-US" w:eastAsia="zh-CN"/>
        </w:rPr>
        <w:t>借助</w:t>
      </w:r>
      <w:r w:rsidR="008A4278">
        <w:rPr>
          <w:rFonts w:cs="Calibri" w:hint="eastAsia"/>
          <w:lang w:val="en-US" w:eastAsia="zh-CN"/>
        </w:rPr>
        <w:t>测</w:t>
      </w:r>
      <w:r w:rsidR="00BA2E93">
        <w:rPr>
          <w:rFonts w:cs="Calibri" w:hint="eastAsia"/>
          <w:lang w:val="en-US" w:eastAsia="zh-CN"/>
        </w:rPr>
        <w:t>量、能源效率和循环经济制定了环境可持续性标准，提供了</w:t>
      </w:r>
      <w:r w:rsidR="004C18BB">
        <w:rPr>
          <w:rFonts w:cs="Calibri" w:hint="eastAsia"/>
          <w:lang w:val="en-US" w:eastAsia="zh-CN"/>
        </w:rPr>
        <w:t>排放</w:t>
      </w:r>
      <w:r w:rsidR="002D5A74">
        <w:rPr>
          <w:rFonts w:cs="Calibri" w:hint="eastAsia"/>
          <w:lang w:val="en-US" w:eastAsia="zh-CN"/>
        </w:rPr>
        <w:t>追踪</w:t>
      </w:r>
      <w:r w:rsidR="004C18BB">
        <w:rPr>
          <w:rFonts w:cs="Calibri" w:hint="eastAsia"/>
          <w:lang w:val="en-US" w:eastAsia="zh-CN"/>
        </w:rPr>
        <w:t>、智能能源控制、绿色数据中心</w:t>
      </w:r>
      <w:r w:rsidR="009A55EA">
        <w:rPr>
          <w:rFonts w:cs="Calibri" w:hint="eastAsia"/>
          <w:lang w:val="en-US" w:eastAsia="zh-CN"/>
        </w:rPr>
        <w:t>实践</w:t>
      </w:r>
      <w:r w:rsidR="004C18BB">
        <w:rPr>
          <w:rFonts w:cs="Calibri" w:hint="eastAsia"/>
          <w:lang w:val="en-US" w:eastAsia="zh-CN"/>
        </w:rPr>
        <w:t>、可持续电子废弃物管理</w:t>
      </w:r>
      <w:r w:rsidR="009E4B87">
        <w:rPr>
          <w:rFonts w:cs="Calibri" w:hint="eastAsia"/>
          <w:lang w:val="en-US" w:eastAsia="zh-CN"/>
        </w:rPr>
        <w:t>、</w:t>
      </w:r>
      <w:r w:rsidR="002D5A74">
        <w:rPr>
          <w:rFonts w:cs="Calibri" w:hint="eastAsia"/>
          <w:lang w:val="en-US" w:eastAsia="zh-CN"/>
        </w:rPr>
        <w:t>衡量</w:t>
      </w:r>
      <w:r w:rsidR="002D5A74">
        <w:rPr>
          <w:rFonts w:cs="Calibri" w:hint="eastAsia"/>
          <w:lang w:val="en-US" w:eastAsia="zh-CN"/>
        </w:rPr>
        <w:t>ICT</w:t>
      </w:r>
      <w:r w:rsidR="002D5A74">
        <w:rPr>
          <w:rFonts w:cs="Calibri" w:hint="eastAsia"/>
          <w:lang w:val="en-US" w:eastAsia="zh-CN"/>
        </w:rPr>
        <w:t>对其他行业影响</w:t>
      </w:r>
      <w:r w:rsidR="009E4B87" w:rsidRPr="009E4B87">
        <w:rPr>
          <w:rFonts w:cs="Calibri" w:hint="eastAsia"/>
          <w:lang w:val="en-US" w:eastAsia="zh-CN"/>
        </w:rPr>
        <w:t>（</w:t>
      </w:r>
      <w:r w:rsidR="00A33C07">
        <w:rPr>
          <w:rFonts w:cs="Calibri" w:hint="eastAsia"/>
          <w:lang w:val="en-US" w:eastAsia="zh-CN"/>
        </w:rPr>
        <w:t>得益于</w:t>
      </w:r>
      <w:hyperlink r:id="rId13">
        <w:r w:rsidR="00CE59F1" w:rsidRPr="009E4B87">
          <w:rPr>
            <w:rStyle w:val="Hyperlink"/>
            <w:rFonts w:cs="Calibri"/>
            <w:lang w:val="en-US" w:eastAsia="zh-CN"/>
          </w:rPr>
          <w:t>ITU-T L.148</w:t>
        </w:r>
        <w:r w:rsidR="002D5A74" w:rsidRPr="009E4B87">
          <w:rPr>
            <w:rStyle w:val="Hyperlink"/>
            <w:rFonts w:cs="Calibri" w:hint="eastAsia"/>
            <w:lang w:val="en-US" w:eastAsia="zh-CN"/>
          </w:rPr>
          <w:t>0</w:t>
        </w:r>
        <w:r w:rsidR="002D5A74" w:rsidRPr="009E4B87">
          <w:rPr>
            <w:rStyle w:val="Hyperlink"/>
            <w:rFonts w:cs="Calibri" w:hint="eastAsia"/>
            <w:lang w:val="en-US" w:eastAsia="zh-CN"/>
          </w:rPr>
          <w:t>建议书</w:t>
        </w:r>
      </w:hyperlink>
      <w:r w:rsidR="009E4B87" w:rsidRPr="009E4B87">
        <w:rPr>
          <w:rFonts w:cs="Calibri" w:hint="eastAsia"/>
          <w:lang w:val="en-US" w:eastAsia="zh-CN"/>
        </w:rPr>
        <w:t>）或</w:t>
      </w:r>
      <w:r w:rsidR="009E4B87">
        <w:rPr>
          <w:rFonts w:cs="Calibri" w:hint="eastAsia"/>
          <w:lang w:val="en-US" w:eastAsia="zh-CN"/>
        </w:rPr>
        <w:t>对生物多样性影响的工具</w:t>
      </w:r>
      <w:r w:rsidR="002D5A74">
        <w:rPr>
          <w:rFonts w:cs="Calibri" w:hint="eastAsia"/>
          <w:lang w:val="en-US" w:eastAsia="zh-CN"/>
        </w:rPr>
        <w:t>。</w:t>
      </w:r>
      <w:r w:rsidR="00DD7687">
        <w:rPr>
          <w:rFonts w:cs="Calibri" w:hint="eastAsia"/>
          <w:lang w:val="en-US" w:eastAsia="zh-CN"/>
        </w:rPr>
        <w:t>总秘书处促进跨部门协调，并</w:t>
      </w:r>
      <w:r w:rsidR="00D03FFE">
        <w:rPr>
          <w:rFonts w:cs="Calibri" w:hint="eastAsia"/>
          <w:lang w:val="en-US" w:eastAsia="zh-CN"/>
        </w:rPr>
        <w:t>支持参与</w:t>
      </w:r>
      <w:r w:rsidR="00DD7687" w:rsidRPr="00DD7687">
        <w:rPr>
          <w:rFonts w:cs="Calibri" w:hint="eastAsia"/>
          <w:lang w:val="en-US" w:eastAsia="zh-CN"/>
        </w:rPr>
        <w:t>侧重于将数字技术与环境可持续性联系起来的关键举措，如国际电联</w:t>
      </w:r>
      <w:r w:rsidR="000B57D4">
        <w:rPr>
          <w:rFonts w:cs="Calibri" w:hint="eastAsia"/>
          <w:lang w:val="en-US" w:eastAsia="zh-CN"/>
        </w:rPr>
        <w:t>在</w:t>
      </w:r>
      <w:r w:rsidR="00DD7687" w:rsidRPr="00DD7687">
        <w:rPr>
          <w:rFonts w:cs="Calibri" w:hint="eastAsia"/>
          <w:lang w:val="en-US" w:eastAsia="zh-CN"/>
        </w:rPr>
        <w:t>2023</w:t>
      </w:r>
      <w:r w:rsidR="00DD7687" w:rsidRPr="00DD7687">
        <w:rPr>
          <w:rFonts w:cs="Calibri" w:hint="eastAsia"/>
          <w:lang w:val="en-US" w:eastAsia="zh-CN"/>
        </w:rPr>
        <w:t>年</w:t>
      </w:r>
      <w:r w:rsidR="00DD7687">
        <w:rPr>
          <w:rFonts w:cs="Calibri" w:hint="eastAsia"/>
          <w:lang w:val="en-US" w:eastAsia="zh-CN"/>
        </w:rPr>
        <w:t>作为</w:t>
      </w:r>
      <w:r w:rsidR="00760439">
        <w:rPr>
          <w:rFonts w:cs="Calibri" w:hint="eastAsia"/>
          <w:lang w:val="en-US" w:eastAsia="zh-CN"/>
        </w:rPr>
        <w:t>共同</w:t>
      </w:r>
      <w:r w:rsidR="00336528">
        <w:rPr>
          <w:rFonts w:cs="Calibri" w:hint="eastAsia"/>
          <w:lang w:val="en-US" w:eastAsia="zh-CN"/>
        </w:rPr>
        <w:t>倡导者</w:t>
      </w:r>
      <w:r w:rsidR="00DD7687">
        <w:rPr>
          <w:rFonts w:cs="Calibri" w:hint="eastAsia"/>
          <w:lang w:val="en-US" w:eastAsia="zh-CN"/>
        </w:rPr>
        <w:t>加入</w:t>
      </w:r>
      <w:r w:rsidR="00C15BE6">
        <w:rPr>
          <w:rFonts w:cs="Calibri" w:hint="eastAsia"/>
          <w:lang w:val="en-US" w:eastAsia="zh-CN"/>
        </w:rPr>
        <w:t>了</w:t>
      </w:r>
      <w:r w:rsidR="00DD7687" w:rsidRPr="00DD7687">
        <w:rPr>
          <w:rFonts w:cs="Calibri" w:hint="eastAsia"/>
          <w:lang w:val="en-US" w:eastAsia="zh-CN"/>
        </w:rPr>
        <w:t>数字环境可持续性联盟（</w:t>
      </w:r>
      <w:r w:rsidR="00DD7687" w:rsidRPr="00DD7687">
        <w:rPr>
          <w:rFonts w:cs="Calibri" w:hint="eastAsia"/>
          <w:lang w:val="en-US" w:eastAsia="zh-CN"/>
        </w:rPr>
        <w:t>CODES</w:t>
      </w:r>
      <w:r w:rsidR="00DD7687" w:rsidRPr="00DD7687">
        <w:rPr>
          <w:rFonts w:cs="Calibri" w:hint="eastAsia"/>
          <w:lang w:val="en-US" w:eastAsia="zh-CN"/>
        </w:rPr>
        <w:t>）</w:t>
      </w:r>
      <w:r w:rsidR="002C0522">
        <w:rPr>
          <w:rFonts w:ascii="Microsoft YaHei" w:eastAsia="Microsoft YaHei" w:hAnsi="Microsoft YaHei" w:cs="Microsoft YaHei" w:hint="eastAsia"/>
          <w:lang w:val="en-US" w:eastAsia="zh-CN"/>
        </w:rPr>
        <w:t>。</w:t>
      </w:r>
    </w:p>
    <w:p w14:paraId="4BA057F7" w14:textId="38E4EA3E" w:rsidR="00CE59F1" w:rsidRPr="00E923C2" w:rsidRDefault="00E923C2" w:rsidP="00394FD5">
      <w:pPr>
        <w:spacing w:after="120"/>
        <w:ind w:firstLineChars="200" w:firstLine="480"/>
        <w:jc w:val="both"/>
        <w:rPr>
          <w:rFonts w:cs="Calibri"/>
          <w:szCs w:val="24"/>
          <w:lang w:val="en-US" w:eastAsia="zh-CN"/>
        </w:rPr>
      </w:pPr>
      <w:r w:rsidRPr="00E923C2">
        <w:rPr>
          <w:rFonts w:cs="Calibri" w:hint="eastAsia"/>
          <w:szCs w:val="24"/>
          <w:lang w:val="en-US" w:eastAsia="zh-CN"/>
        </w:rPr>
        <w:lastRenderedPageBreak/>
        <w:t>2023</w:t>
      </w:r>
      <w:r w:rsidRPr="00E923C2">
        <w:rPr>
          <w:rFonts w:cs="Calibri" w:hint="eastAsia"/>
          <w:szCs w:val="24"/>
          <w:lang w:val="en-US" w:eastAsia="zh-CN"/>
        </w:rPr>
        <w:t>年</w:t>
      </w:r>
      <w:r w:rsidRPr="00E923C2">
        <w:rPr>
          <w:rFonts w:cs="Calibri" w:hint="eastAsia"/>
          <w:szCs w:val="24"/>
          <w:lang w:val="en-US" w:eastAsia="zh-CN"/>
        </w:rPr>
        <w:t>3</w:t>
      </w:r>
      <w:r w:rsidRPr="00E923C2">
        <w:rPr>
          <w:rFonts w:cs="Calibri" w:hint="eastAsia"/>
          <w:szCs w:val="24"/>
          <w:lang w:val="en-US" w:eastAsia="zh-CN"/>
        </w:rPr>
        <w:t>月</w:t>
      </w:r>
      <w:r w:rsidR="00D03FFE">
        <w:rPr>
          <w:rFonts w:cs="Calibri" w:hint="eastAsia"/>
          <w:szCs w:val="24"/>
          <w:lang w:val="en-US" w:eastAsia="zh-CN"/>
        </w:rPr>
        <w:t>到</w:t>
      </w:r>
      <w:r w:rsidRPr="00E923C2">
        <w:rPr>
          <w:rFonts w:cs="Calibri" w:hint="eastAsia"/>
          <w:szCs w:val="24"/>
          <w:lang w:val="en-US" w:eastAsia="zh-CN"/>
        </w:rPr>
        <w:t>2024</w:t>
      </w:r>
      <w:r w:rsidRPr="00E923C2">
        <w:rPr>
          <w:rFonts w:cs="Calibri" w:hint="eastAsia"/>
          <w:szCs w:val="24"/>
          <w:lang w:val="en-US" w:eastAsia="zh-CN"/>
        </w:rPr>
        <w:t>年</w:t>
      </w:r>
      <w:r w:rsidRPr="00E923C2">
        <w:rPr>
          <w:rFonts w:cs="Calibri" w:hint="eastAsia"/>
          <w:szCs w:val="24"/>
          <w:lang w:val="en-US" w:eastAsia="zh-CN"/>
        </w:rPr>
        <w:t>3</w:t>
      </w:r>
      <w:r w:rsidRPr="00E923C2">
        <w:rPr>
          <w:rFonts w:cs="Calibri" w:hint="eastAsia"/>
          <w:szCs w:val="24"/>
          <w:lang w:val="en-US" w:eastAsia="zh-CN"/>
        </w:rPr>
        <w:t>月各局活动和</w:t>
      </w:r>
      <w:r>
        <w:rPr>
          <w:rFonts w:cs="Calibri" w:hint="eastAsia"/>
          <w:szCs w:val="24"/>
          <w:lang w:val="en-US" w:eastAsia="zh-CN"/>
        </w:rPr>
        <w:t>主要阶段性目标</w:t>
      </w:r>
      <w:r w:rsidRPr="00E923C2">
        <w:rPr>
          <w:rFonts w:cs="Calibri" w:hint="eastAsia"/>
          <w:szCs w:val="24"/>
          <w:lang w:val="en-US" w:eastAsia="zh-CN"/>
        </w:rPr>
        <w:t>的完整列表见</w:t>
      </w:r>
      <w:hyperlink r:id="rId14" w:history="1">
        <w:r w:rsidR="00CE59F1" w:rsidRPr="00E923C2">
          <w:rPr>
            <w:rStyle w:val="Hyperlink"/>
            <w:rFonts w:cs="Calibri"/>
            <w:lang w:eastAsia="zh-CN"/>
          </w:rPr>
          <w:t>C24/35</w:t>
        </w:r>
      </w:hyperlink>
      <w:r w:rsidRPr="00E923C2">
        <w:rPr>
          <w:rFonts w:cs="Calibri" w:hint="eastAsia"/>
          <w:szCs w:val="24"/>
          <w:lang w:val="en-US" w:eastAsia="zh-CN"/>
        </w:rPr>
        <w:t>号文件。</w:t>
      </w:r>
    </w:p>
    <w:p w14:paraId="615B7186" w14:textId="26EF779A" w:rsidR="00CE59F1" w:rsidRPr="007F2A1E" w:rsidRDefault="004C18BB" w:rsidP="007F2A1E">
      <w:pPr>
        <w:pStyle w:val="Headingb"/>
        <w:rPr>
          <w:u w:val="single"/>
          <w:lang w:eastAsia="zh-CN"/>
        </w:rPr>
      </w:pPr>
      <w:r w:rsidRPr="007F2A1E">
        <w:rPr>
          <w:rFonts w:hint="eastAsia"/>
          <w:u w:val="single"/>
          <w:lang w:eastAsia="zh-CN"/>
        </w:rPr>
        <w:t>绿色数字行动</w:t>
      </w:r>
    </w:p>
    <w:p w14:paraId="1CCC204A" w14:textId="34548945" w:rsidR="00394FD5" w:rsidRDefault="002439C7" w:rsidP="008D6C13">
      <w:pPr>
        <w:ind w:firstLineChars="200" w:firstLine="480"/>
        <w:rPr>
          <w:lang w:eastAsia="zh-CN"/>
        </w:rPr>
      </w:pPr>
      <w:r>
        <w:rPr>
          <w:rFonts w:hint="eastAsia"/>
          <w:lang w:eastAsia="zh-CN"/>
        </w:rPr>
        <w:t>绿色数字行动</w:t>
      </w:r>
      <w:r w:rsidR="00E761C1">
        <w:rPr>
          <w:rFonts w:hint="eastAsia"/>
          <w:lang w:eastAsia="zh-CN"/>
        </w:rPr>
        <w:t>发起于</w:t>
      </w:r>
      <w:r w:rsidR="00D9564D">
        <w:rPr>
          <w:rFonts w:hint="eastAsia"/>
          <w:lang w:eastAsia="zh-CN"/>
        </w:rPr>
        <w:t>《联合国气候变化框架公约》（</w:t>
      </w:r>
      <w:r w:rsidR="00D9564D">
        <w:rPr>
          <w:rFonts w:hint="eastAsia"/>
          <w:lang w:eastAsia="zh-CN"/>
        </w:rPr>
        <w:t>UNFCCC</w:t>
      </w:r>
      <w:r w:rsidR="00D9564D">
        <w:rPr>
          <w:rFonts w:hint="eastAsia"/>
          <w:lang w:eastAsia="zh-CN"/>
        </w:rPr>
        <w:t>）缔约方会议第二十八届会议（</w:t>
      </w:r>
      <w:r w:rsidR="00D9564D">
        <w:rPr>
          <w:rFonts w:hint="eastAsia"/>
          <w:lang w:eastAsia="zh-CN"/>
        </w:rPr>
        <w:t>COP28</w:t>
      </w:r>
      <w:r w:rsidR="00D9564D">
        <w:rPr>
          <w:rFonts w:hint="eastAsia"/>
          <w:lang w:eastAsia="zh-CN"/>
        </w:rPr>
        <w:t>）前，旨在通过利益攸关</w:t>
      </w:r>
      <w:r w:rsidR="00AF6D0C">
        <w:rPr>
          <w:rFonts w:hint="eastAsia"/>
          <w:lang w:eastAsia="zh-CN"/>
        </w:rPr>
        <w:t>多</w:t>
      </w:r>
      <w:r w:rsidR="00D9564D">
        <w:rPr>
          <w:rFonts w:hint="eastAsia"/>
          <w:lang w:eastAsia="zh-CN"/>
        </w:rPr>
        <w:t>方</w:t>
      </w:r>
      <w:r w:rsidR="00AF6D0C">
        <w:rPr>
          <w:rFonts w:hint="eastAsia"/>
          <w:lang w:eastAsia="zh-CN"/>
        </w:rPr>
        <w:t>的合作进程加速具体的气候和环境可持续性活动。超过</w:t>
      </w:r>
      <w:r w:rsidR="00AF6D0C">
        <w:rPr>
          <w:rFonts w:hint="eastAsia"/>
          <w:lang w:eastAsia="zh-CN"/>
        </w:rPr>
        <w:t>40</w:t>
      </w:r>
      <w:r w:rsidR="00AF6D0C">
        <w:rPr>
          <w:rFonts w:hint="eastAsia"/>
          <w:lang w:eastAsia="zh-CN"/>
        </w:rPr>
        <w:t>个绿色数字行动合作伙伴与国际电联共同出席了</w:t>
      </w:r>
      <w:r w:rsidR="00AF6D0C">
        <w:rPr>
          <w:rFonts w:hint="eastAsia"/>
          <w:lang w:eastAsia="zh-CN"/>
        </w:rPr>
        <w:t>COP28</w:t>
      </w:r>
      <w:r w:rsidR="00AF6D0C">
        <w:rPr>
          <w:rFonts w:hint="eastAsia"/>
          <w:lang w:eastAsia="zh-CN"/>
        </w:rPr>
        <w:t>，</w:t>
      </w:r>
      <w:r w:rsidR="00077B3D">
        <w:rPr>
          <w:rFonts w:hint="eastAsia"/>
          <w:lang w:eastAsia="zh-CN"/>
        </w:rPr>
        <w:t>为其他利益攸关方提供了</w:t>
      </w:r>
      <w:r w:rsidR="00A17217">
        <w:rPr>
          <w:rFonts w:hint="eastAsia"/>
          <w:lang w:eastAsia="zh-CN"/>
        </w:rPr>
        <w:t>推动力，并邀请其</w:t>
      </w:r>
      <w:r w:rsidR="00032C20">
        <w:rPr>
          <w:rFonts w:hint="eastAsia"/>
          <w:lang w:eastAsia="zh-CN"/>
        </w:rPr>
        <w:t>参与实施</w:t>
      </w:r>
      <w:r w:rsidR="00A17217">
        <w:rPr>
          <w:rFonts w:hint="eastAsia"/>
          <w:lang w:eastAsia="zh-CN"/>
        </w:rPr>
        <w:t>围绕六个主题支柱共同提出的举措：</w:t>
      </w:r>
    </w:p>
    <w:p w14:paraId="39363F81" w14:textId="0383F58C" w:rsidR="00394FD5" w:rsidRDefault="00394FD5" w:rsidP="005D2A64">
      <w:pPr>
        <w:pStyle w:val="enumlev1"/>
        <w:rPr>
          <w:lang w:eastAsia="zh-CN"/>
        </w:rPr>
      </w:pPr>
      <w:r>
        <w:rPr>
          <w:lang w:eastAsia="zh-CN"/>
        </w:rPr>
        <w:t>•</w:t>
      </w:r>
      <w:r>
        <w:rPr>
          <w:lang w:eastAsia="zh-CN"/>
        </w:rPr>
        <w:tab/>
      </w:r>
      <w:r w:rsidR="004C18BB">
        <w:rPr>
          <w:rFonts w:hint="eastAsia"/>
          <w:lang w:eastAsia="zh-CN"/>
        </w:rPr>
        <w:t>减少</w:t>
      </w:r>
      <w:r w:rsidR="00CE59F1" w:rsidRPr="009F47B3">
        <w:rPr>
          <w:lang w:eastAsia="zh-CN"/>
        </w:rPr>
        <w:t>ICT</w:t>
      </w:r>
      <w:r w:rsidR="004C18BB">
        <w:rPr>
          <w:rFonts w:hint="eastAsia"/>
          <w:lang w:eastAsia="zh-CN"/>
        </w:rPr>
        <w:t>行业排放</w:t>
      </w:r>
    </w:p>
    <w:p w14:paraId="2772AB29" w14:textId="3DD29CC6" w:rsidR="00394FD5" w:rsidRDefault="00394FD5" w:rsidP="005D2A64">
      <w:pPr>
        <w:pStyle w:val="enumlev1"/>
        <w:rPr>
          <w:lang w:eastAsia="zh-CN"/>
        </w:rPr>
      </w:pPr>
      <w:r w:rsidRPr="00394FD5">
        <w:rPr>
          <w:lang w:eastAsia="zh-CN"/>
        </w:rPr>
        <w:t>•</w:t>
      </w:r>
      <w:r>
        <w:rPr>
          <w:lang w:eastAsia="zh-CN"/>
        </w:rPr>
        <w:tab/>
      </w:r>
      <w:r w:rsidR="002439C7">
        <w:rPr>
          <w:rFonts w:hint="eastAsia"/>
          <w:lang w:eastAsia="zh-CN"/>
        </w:rPr>
        <w:t>发展循环</w:t>
      </w:r>
      <w:r w:rsidR="002439C7">
        <w:rPr>
          <w:rFonts w:hint="eastAsia"/>
          <w:lang w:eastAsia="zh-CN"/>
        </w:rPr>
        <w:t>ICT</w:t>
      </w:r>
      <w:r w:rsidR="002439C7">
        <w:rPr>
          <w:rFonts w:hint="eastAsia"/>
          <w:lang w:eastAsia="zh-CN"/>
        </w:rPr>
        <w:t>行业</w:t>
      </w:r>
    </w:p>
    <w:p w14:paraId="6EBBEF3A" w14:textId="5A89EA1A" w:rsidR="00394FD5" w:rsidRDefault="00394FD5" w:rsidP="005D2A64">
      <w:pPr>
        <w:pStyle w:val="enumlev1"/>
        <w:rPr>
          <w:lang w:eastAsia="zh-CN"/>
        </w:rPr>
      </w:pPr>
      <w:r w:rsidRPr="00394FD5">
        <w:rPr>
          <w:lang w:eastAsia="zh-CN"/>
        </w:rPr>
        <w:t>•</w:t>
      </w:r>
      <w:r>
        <w:rPr>
          <w:lang w:eastAsia="zh-CN"/>
        </w:rPr>
        <w:tab/>
      </w:r>
      <w:r w:rsidR="002439C7">
        <w:rPr>
          <w:rFonts w:hint="eastAsia"/>
          <w:lang w:eastAsia="zh-CN"/>
        </w:rPr>
        <w:t>通过开放的环境数据和技术推进气候解决方案</w:t>
      </w:r>
    </w:p>
    <w:p w14:paraId="67B6EEBC" w14:textId="425127E0" w:rsidR="00394FD5" w:rsidRDefault="00394FD5" w:rsidP="005D2A64">
      <w:pPr>
        <w:pStyle w:val="enumlev1"/>
        <w:rPr>
          <w:lang w:eastAsia="zh-CN"/>
        </w:rPr>
      </w:pPr>
      <w:r w:rsidRPr="00394FD5">
        <w:rPr>
          <w:lang w:eastAsia="zh-CN"/>
        </w:rPr>
        <w:t>•</w:t>
      </w:r>
      <w:r>
        <w:rPr>
          <w:lang w:eastAsia="zh-CN"/>
        </w:rPr>
        <w:tab/>
      </w:r>
      <w:r w:rsidR="00C15BE6" w:rsidRPr="00C15BE6">
        <w:rPr>
          <w:rFonts w:hint="eastAsia"/>
          <w:lang w:eastAsia="zh-CN"/>
        </w:rPr>
        <w:t>为实施绿色标准营造势头</w:t>
      </w:r>
    </w:p>
    <w:p w14:paraId="7D3B0713" w14:textId="7029954E" w:rsidR="00394FD5" w:rsidRDefault="00394FD5" w:rsidP="005D2A64">
      <w:pPr>
        <w:pStyle w:val="enumlev1"/>
        <w:rPr>
          <w:lang w:eastAsia="zh-CN"/>
        </w:rPr>
      </w:pPr>
      <w:r w:rsidRPr="00394FD5">
        <w:rPr>
          <w:lang w:eastAsia="zh-CN"/>
        </w:rPr>
        <w:t>•</w:t>
      </w:r>
      <w:r>
        <w:rPr>
          <w:lang w:eastAsia="zh-CN"/>
        </w:rPr>
        <w:tab/>
      </w:r>
      <w:r w:rsidR="00B433E2">
        <w:rPr>
          <w:rFonts w:hint="eastAsia"/>
          <w:lang w:eastAsia="zh-CN"/>
        </w:rPr>
        <w:t>通过数字技术和技能开发</w:t>
      </w:r>
      <w:r w:rsidR="00C15BE6">
        <w:rPr>
          <w:rFonts w:hint="eastAsia"/>
          <w:lang w:eastAsia="zh-CN"/>
        </w:rPr>
        <w:t>为所有</w:t>
      </w:r>
      <w:r w:rsidR="00B433E2">
        <w:rPr>
          <w:rFonts w:hint="eastAsia"/>
          <w:lang w:eastAsia="zh-CN"/>
        </w:rPr>
        <w:t>行业</w:t>
      </w:r>
      <w:r w:rsidR="00C15BE6">
        <w:rPr>
          <w:rFonts w:hint="eastAsia"/>
          <w:lang w:eastAsia="zh-CN"/>
        </w:rPr>
        <w:t>实现</w:t>
      </w:r>
      <w:r w:rsidR="00B433E2">
        <w:rPr>
          <w:rFonts w:hint="eastAsia"/>
          <w:lang w:eastAsia="zh-CN"/>
        </w:rPr>
        <w:t>绿色转型</w:t>
      </w:r>
      <w:r w:rsidR="00C15BE6">
        <w:rPr>
          <w:rFonts w:hint="eastAsia"/>
          <w:lang w:eastAsia="zh-CN"/>
        </w:rPr>
        <w:t>提供便利</w:t>
      </w:r>
    </w:p>
    <w:p w14:paraId="2BE4A09D" w14:textId="78B1B683" w:rsidR="00CE59F1" w:rsidRPr="009F47B3" w:rsidRDefault="00394FD5" w:rsidP="005D2A64">
      <w:pPr>
        <w:pStyle w:val="enumlev1"/>
        <w:rPr>
          <w:lang w:eastAsia="zh-CN"/>
        </w:rPr>
      </w:pPr>
      <w:r w:rsidRPr="00394FD5">
        <w:rPr>
          <w:lang w:eastAsia="zh-CN"/>
        </w:rPr>
        <w:t>•</w:t>
      </w:r>
      <w:r>
        <w:rPr>
          <w:lang w:eastAsia="zh-CN"/>
        </w:rPr>
        <w:tab/>
      </w:r>
      <w:proofErr w:type="gramStart"/>
      <w:r w:rsidR="00CE28DC">
        <w:rPr>
          <w:rFonts w:hint="eastAsia"/>
          <w:lang w:eastAsia="zh-CN"/>
        </w:rPr>
        <w:t>响应</w:t>
      </w:r>
      <w:r w:rsidR="00A17217">
        <w:rPr>
          <w:rFonts w:hint="eastAsia"/>
          <w:lang w:eastAsia="zh-CN"/>
        </w:rPr>
        <w:t>联合国秘书长</w:t>
      </w:r>
      <w:r w:rsidR="00CE28DC">
        <w:rPr>
          <w:rFonts w:hint="eastAsia"/>
          <w:lang w:eastAsia="zh-CN"/>
        </w:rPr>
        <w:t>发起</w:t>
      </w:r>
      <w:r w:rsidR="00A17217">
        <w:rPr>
          <w:rFonts w:hint="eastAsia"/>
          <w:lang w:eastAsia="zh-CN"/>
        </w:rPr>
        <w:t>的“</w:t>
      </w:r>
      <w:proofErr w:type="gramEnd"/>
      <w:r w:rsidR="00A17217">
        <w:rPr>
          <w:rFonts w:hint="eastAsia"/>
          <w:lang w:eastAsia="zh-CN"/>
        </w:rPr>
        <w:t>全民早期预警倡议”，利用数字系统确保</w:t>
      </w:r>
      <w:r w:rsidR="00477E64">
        <w:rPr>
          <w:rFonts w:hint="eastAsia"/>
          <w:lang w:eastAsia="zh-CN"/>
        </w:rPr>
        <w:t>拯救生命的</w:t>
      </w:r>
      <w:r w:rsidR="00CE28DC">
        <w:rPr>
          <w:rFonts w:hint="eastAsia"/>
          <w:lang w:eastAsia="zh-CN"/>
        </w:rPr>
        <w:t>灾害警报</w:t>
      </w:r>
    </w:p>
    <w:p w14:paraId="7CF2673F" w14:textId="7C295D12" w:rsidR="00CE59F1" w:rsidRDefault="00477E64" w:rsidP="008D6C13">
      <w:pPr>
        <w:ind w:firstLineChars="200" w:firstLine="480"/>
        <w:rPr>
          <w:lang w:eastAsia="zh-CN"/>
        </w:rPr>
      </w:pPr>
      <w:r>
        <w:rPr>
          <w:rFonts w:hint="eastAsia"/>
          <w:lang w:eastAsia="zh-CN"/>
        </w:rPr>
        <w:t>在</w:t>
      </w:r>
      <w:r>
        <w:rPr>
          <w:rFonts w:hint="eastAsia"/>
          <w:lang w:eastAsia="zh-CN"/>
        </w:rPr>
        <w:t>COP28</w:t>
      </w:r>
      <w:r>
        <w:rPr>
          <w:rFonts w:hint="eastAsia"/>
          <w:lang w:eastAsia="zh-CN"/>
        </w:rPr>
        <w:t>，绿色数字行动的合作伙伴围绕主题重点</w:t>
      </w:r>
      <w:r w:rsidR="00C15BE6">
        <w:rPr>
          <w:rFonts w:hint="eastAsia"/>
          <w:lang w:eastAsia="zh-CN"/>
        </w:rPr>
        <w:t>做出</w:t>
      </w:r>
      <w:r>
        <w:rPr>
          <w:rFonts w:hint="eastAsia"/>
          <w:lang w:eastAsia="zh-CN"/>
        </w:rPr>
        <w:t>了具体</w:t>
      </w:r>
      <w:hyperlink r:id="rId15" w:history="1">
        <w:r w:rsidRPr="00F148B4">
          <w:rPr>
            <w:rStyle w:val="Hyperlink"/>
            <w:rFonts w:hint="eastAsia"/>
            <w:lang w:eastAsia="zh-CN"/>
          </w:rPr>
          <w:t>承诺</w:t>
        </w:r>
      </w:hyperlink>
      <w:r>
        <w:rPr>
          <w:rFonts w:hint="eastAsia"/>
          <w:lang w:eastAsia="zh-CN"/>
        </w:rPr>
        <w:t>。由合作伙伴组成并领导的工作组正在推进落实工作。</w:t>
      </w:r>
    </w:p>
    <w:p w14:paraId="7A6FCF46" w14:textId="3CBAC219" w:rsidR="00CE59F1" w:rsidRDefault="00D40154" w:rsidP="008D6C13">
      <w:pPr>
        <w:ind w:firstLineChars="200" w:firstLine="480"/>
        <w:rPr>
          <w:lang w:eastAsia="zh-CN"/>
        </w:rPr>
      </w:pPr>
      <w:r>
        <w:rPr>
          <w:rFonts w:hint="eastAsia"/>
          <w:lang w:eastAsia="zh-CN"/>
        </w:rPr>
        <w:t>绿色数字行动旨在继续利用</w:t>
      </w:r>
      <w:r>
        <w:rPr>
          <w:rFonts w:hint="eastAsia"/>
          <w:lang w:eastAsia="zh-CN"/>
        </w:rPr>
        <w:t>UNFCCC</w:t>
      </w:r>
      <w:r>
        <w:rPr>
          <w:rFonts w:hint="eastAsia"/>
          <w:lang w:eastAsia="zh-CN"/>
        </w:rPr>
        <w:t>的缔约方会议（</w:t>
      </w:r>
      <w:r>
        <w:rPr>
          <w:rFonts w:hint="eastAsia"/>
          <w:lang w:eastAsia="zh-CN"/>
        </w:rPr>
        <w:t>COP</w:t>
      </w:r>
      <w:r>
        <w:rPr>
          <w:rFonts w:hint="eastAsia"/>
          <w:lang w:eastAsia="zh-CN"/>
        </w:rPr>
        <w:t>）强调数字技术和服务应对气候危机的重要作用</w:t>
      </w:r>
      <w:r w:rsidR="00754B80">
        <w:rPr>
          <w:rFonts w:hint="eastAsia"/>
          <w:lang w:eastAsia="zh-CN"/>
        </w:rPr>
        <w:t>。秘书处正就这</w:t>
      </w:r>
      <w:r w:rsidR="00A56978">
        <w:rPr>
          <w:rFonts w:hint="eastAsia"/>
          <w:lang w:eastAsia="zh-CN"/>
        </w:rPr>
        <w:t>一</w:t>
      </w:r>
      <w:r w:rsidR="00754B80">
        <w:rPr>
          <w:rFonts w:hint="eastAsia"/>
          <w:lang w:eastAsia="zh-CN"/>
        </w:rPr>
        <w:t>方面与</w:t>
      </w:r>
      <w:r w:rsidR="00754B80">
        <w:rPr>
          <w:rFonts w:hint="eastAsia"/>
          <w:lang w:eastAsia="zh-CN"/>
        </w:rPr>
        <w:t>COP29</w:t>
      </w:r>
      <w:r w:rsidR="00754B80">
        <w:rPr>
          <w:rFonts w:hint="eastAsia"/>
          <w:lang w:eastAsia="zh-CN"/>
        </w:rPr>
        <w:t>和</w:t>
      </w:r>
      <w:r w:rsidR="00754B80">
        <w:rPr>
          <w:rFonts w:hint="eastAsia"/>
          <w:lang w:eastAsia="zh-CN"/>
        </w:rPr>
        <w:t>COP30</w:t>
      </w:r>
      <w:r w:rsidR="00A56978">
        <w:rPr>
          <w:rFonts w:hint="eastAsia"/>
          <w:lang w:eastAsia="zh-CN"/>
        </w:rPr>
        <w:t>轮值主席</w:t>
      </w:r>
      <w:r w:rsidR="00A01F50">
        <w:rPr>
          <w:rFonts w:hint="eastAsia"/>
          <w:lang w:eastAsia="zh-CN"/>
        </w:rPr>
        <w:t>国</w:t>
      </w:r>
      <w:r w:rsidR="00754B80">
        <w:rPr>
          <w:rFonts w:hint="eastAsia"/>
          <w:lang w:eastAsia="zh-CN"/>
        </w:rPr>
        <w:t>阿塞拜疆和巴西进行合作。</w:t>
      </w:r>
      <w:r w:rsidR="00D416D8">
        <w:rPr>
          <w:rFonts w:hint="eastAsia"/>
          <w:lang w:eastAsia="zh-CN"/>
        </w:rPr>
        <w:t>该</w:t>
      </w:r>
      <w:r w:rsidR="0095619B">
        <w:rPr>
          <w:rFonts w:hint="eastAsia"/>
          <w:lang w:eastAsia="zh-CN"/>
        </w:rPr>
        <w:t>行动也旨在作为一项持续的利益攸关多方</w:t>
      </w:r>
      <w:r w:rsidR="00D416D8">
        <w:rPr>
          <w:rFonts w:hint="eastAsia"/>
          <w:lang w:eastAsia="zh-CN"/>
        </w:rPr>
        <w:t>协作举措</w:t>
      </w:r>
      <w:r w:rsidR="0095619B">
        <w:rPr>
          <w:rFonts w:hint="eastAsia"/>
          <w:lang w:eastAsia="zh-CN"/>
        </w:rPr>
        <w:t>，</w:t>
      </w:r>
      <w:r w:rsidR="00D416D8">
        <w:rPr>
          <w:rFonts w:hint="eastAsia"/>
          <w:lang w:eastAsia="zh-CN"/>
        </w:rPr>
        <w:t>推动</w:t>
      </w:r>
      <w:r w:rsidR="00D416D8">
        <w:rPr>
          <w:rFonts w:hint="eastAsia"/>
          <w:lang w:eastAsia="zh-CN"/>
        </w:rPr>
        <w:t>ICT</w:t>
      </w:r>
      <w:r w:rsidR="00D416D8">
        <w:rPr>
          <w:rFonts w:hint="eastAsia"/>
          <w:lang w:eastAsia="zh-CN"/>
        </w:rPr>
        <w:t>行业加强应对气候危机</w:t>
      </w:r>
      <w:r w:rsidR="00770A6D">
        <w:rPr>
          <w:rFonts w:hint="eastAsia"/>
          <w:lang w:eastAsia="zh-CN"/>
        </w:rPr>
        <w:t>的努力</w:t>
      </w:r>
      <w:r w:rsidR="00D416D8">
        <w:rPr>
          <w:rFonts w:hint="eastAsia"/>
          <w:lang w:eastAsia="zh-CN"/>
        </w:rPr>
        <w:t>。</w:t>
      </w:r>
      <w:r w:rsidR="002A49B8">
        <w:rPr>
          <w:rFonts w:hint="eastAsia"/>
          <w:lang w:eastAsia="zh-CN"/>
        </w:rPr>
        <w:t>此外，</w:t>
      </w:r>
      <w:r w:rsidR="00012E8F">
        <w:rPr>
          <w:rFonts w:hint="eastAsia"/>
          <w:lang w:eastAsia="zh-CN"/>
        </w:rPr>
        <w:t>行动</w:t>
      </w:r>
      <w:r w:rsidR="002A49B8">
        <w:rPr>
          <w:rFonts w:hint="eastAsia"/>
          <w:lang w:eastAsia="zh-CN"/>
        </w:rPr>
        <w:t>还可以加强跨部门协作，并按照国际电联《资源筹措战略》（</w:t>
      </w:r>
      <w:hyperlink r:id="rId16" w:history="1">
        <w:r w:rsidR="002A49B8" w:rsidRPr="50052FA2">
          <w:rPr>
            <w:rStyle w:val="Hyperlink"/>
            <w:lang w:eastAsia="zh-CN"/>
          </w:rPr>
          <w:t>C24/70</w:t>
        </w:r>
      </w:hyperlink>
      <w:r w:rsidR="002A49B8">
        <w:rPr>
          <w:rFonts w:hint="eastAsia"/>
          <w:lang w:eastAsia="zh-CN"/>
        </w:rPr>
        <w:t>号文件）支持协调一致的筹资。请成员国向国际电</w:t>
      </w:r>
      <w:proofErr w:type="gramStart"/>
      <w:r w:rsidR="002A49B8">
        <w:rPr>
          <w:rFonts w:hint="eastAsia"/>
          <w:lang w:eastAsia="zh-CN"/>
        </w:rPr>
        <w:t>联范围</w:t>
      </w:r>
      <w:proofErr w:type="gramEnd"/>
      <w:r w:rsidR="002A49B8">
        <w:rPr>
          <w:rFonts w:hint="eastAsia"/>
          <w:lang w:eastAsia="zh-CN"/>
        </w:rPr>
        <w:t>内的主题绿色数字基金自愿捐款</w:t>
      </w:r>
      <w:r w:rsidR="005F1725">
        <w:rPr>
          <w:rFonts w:hint="eastAsia"/>
          <w:lang w:eastAsia="zh-CN"/>
        </w:rPr>
        <w:t>以</w:t>
      </w:r>
      <w:r w:rsidR="002A49B8">
        <w:rPr>
          <w:rFonts w:hint="eastAsia"/>
          <w:lang w:eastAsia="zh-CN"/>
        </w:rPr>
        <w:t>支持此项工作。</w:t>
      </w:r>
    </w:p>
    <w:p w14:paraId="498AD267" w14:textId="6DB6A709" w:rsidR="00E524E5" w:rsidRPr="00E524E5" w:rsidRDefault="00F56911" w:rsidP="00E524E5">
      <w:pPr>
        <w:pStyle w:val="Headingb"/>
        <w:rPr>
          <w:lang w:val="en-US" w:eastAsia="zh-CN"/>
        </w:rPr>
      </w:pPr>
      <w:r w:rsidRPr="008D6C13">
        <w:rPr>
          <w:rFonts w:hint="eastAsia"/>
          <w:lang w:eastAsia="zh-CN"/>
        </w:rPr>
        <w:t>旨在提高透明度的</w:t>
      </w:r>
      <w:r w:rsidR="004021F1" w:rsidRPr="008D6C13">
        <w:rPr>
          <w:rFonts w:hint="eastAsia"/>
          <w:lang w:eastAsia="zh-CN"/>
        </w:rPr>
        <w:t>国际电联活动和计划</w:t>
      </w:r>
    </w:p>
    <w:p w14:paraId="0C459AB5" w14:textId="3878B9C3" w:rsidR="00CE59F1" w:rsidRPr="009F47B3" w:rsidRDefault="0095619B" w:rsidP="00E524E5">
      <w:pPr>
        <w:ind w:firstLineChars="200" w:firstLine="480"/>
        <w:rPr>
          <w:lang w:eastAsia="zh-CN"/>
        </w:rPr>
      </w:pPr>
      <w:r>
        <w:rPr>
          <w:rFonts w:hint="eastAsia"/>
          <w:lang w:eastAsia="zh-CN"/>
        </w:rPr>
        <w:t>绿色数字行动的工作重点之一是提高</w:t>
      </w:r>
      <w:r>
        <w:rPr>
          <w:rFonts w:hint="eastAsia"/>
          <w:lang w:eastAsia="zh-CN"/>
        </w:rPr>
        <w:t>ICT</w:t>
      </w:r>
      <w:r>
        <w:rPr>
          <w:rFonts w:hint="eastAsia"/>
          <w:lang w:eastAsia="zh-CN"/>
        </w:rPr>
        <w:t>行业温室气体</w:t>
      </w:r>
      <w:r w:rsidRPr="008D6C13">
        <w:rPr>
          <w:rFonts w:hint="eastAsia"/>
          <w:u w:val="single"/>
          <w:lang w:eastAsia="zh-CN"/>
        </w:rPr>
        <w:t>排放</w:t>
      </w:r>
      <w:r>
        <w:rPr>
          <w:rFonts w:hint="eastAsia"/>
          <w:lang w:eastAsia="zh-CN"/>
        </w:rPr>
        <w:t>和能源消耗的透明度。</w:t>
      </w:r>
    </w:p>
    <w:p w14:paraId="654CCD3F" w14:textId="0C315EBF" w:rsidR="00CE59F1" w:rsidRPr="009F47B3" w:rsidRDefault="00C06D56" w:rsidP="00E524E5">
      <w:pPr>
        <w:ind w:firstLineChars="200" w:firstLine="480"/>
        <w:rPr>
          <w:lang w:eastAsia="zh-CN"/>
        </w:rPr>
      </w:pPr>
      <w:r>
        <w:rPr>
          <w:rFonts w:hint="eastAsia"/>
          <w:lang w:eastAsia="zh-CN"/>
        </w:rPr>
        <w:t>在各部门的支持下，绿色数字行动</w:t>
      </w:r>
      <w:r w:rsidR="00FF3CD7">
        <w:rPr>
          <w:rFonts w:hint="eastAsia"/>
          <w:lang w:eastAsia="zh-CN"/>
        </w:rPr>
        <w:t>已经取得了良好进展，</w:t>
      </w:r>
      <w:r w:rsidR="009F5D44">
        <w:rPr>
          <w:rFonts w:hint="eastAsia"/>
          <w:lang w:eastAsia="zh-CN"/>
        </w:rPr>
        <w:t>不断向</w:t>
      </w:r>
      <w:r w:rsidR="00104263">
        <w:rPr>
          <w:rFonts w:hint="eastAsia"/>
          <w:lang w:eastAsia="zh-CN"/>
        </w:rPr>
        <w:t>召集</w:t>
      </w:r>
      <w:r w:rsidR="00075B68">
        <w:rPr>
          <w:rFonts w:hint="eastAsia"/>
          <w:lang w:eastAsia="zh-CN"/>
        </w:rPr>
        <w:t>组织的目标</w:t>
      </w:r>
      <w:r w:rsidR="009F5D44">
        <w:rPr>
          <w:rFonts w:hint="eastAsia"/>
          <w:lang w:eastAsia="zh-CN"/>
        </w:rPr>
        <w:t>靠拢</w:t>
      </w:r>
      <w:r w:rsidR="00075B68">
        <w:rPr>
          <w:rFonts w:hint="eastAsia"/>
          <w:lang w:eastAsia="zh-CN"/>
        </w:rPr>
        <w:t>。这些组织</w:t>
      </w:r>
      <w:r w:rsidR="00CD5E2F">
        <w:rPr>
          <w:rFonts w:hint="eastAsia"/>
          <w:lang w:eastAsia="zh-CN"/>
        </w:rPr>
        <w:t>同意</w:t>
      </w:r>
      <w:r w:rsidR="009353A4">
        <w:rPr>
          <w:rFonts w:hint="eastAsia"/>
          <w:lang w:eastAsia="zh-CN"/>
        </w:rPr>
        <w:t>推动减少</w:t>
      </w:r>
      <w:r w:rsidR="006B4856">
        <w:rPr>
          <w:rFonts w:hint="eastAsia"/>
          <w:lang w:eastAsia="zh-CN"/>
        </w:rPr>
        <w:t>GHG</w:t>
      </w:r>
      <w:r w:rsidR="009353A4">
        <w:rPr>
          <w:rFonts w:hint="eastAsia"/>
          <w:lang w:eastAsia="zh-CN"/>
        </w:rPr>
        <w:t>排放</w:t>
      </w:r>
      <w:r w:rsidR="00104263">
        <w:rPr>
          <w:rFonts w:hint="eastAsia"/>
          <w:lang w:eastAsia="zh-CN"/>
        </w:rPr>
        <w:t>以实现</w:t>
      </w:r>
      <w:r w:rsidR="00104263">
        <w:rPr>
          <w:rFonts w:hint="eastAsia"/>
          <w:lang w:eastAsia="zh-CN"/>
        </w:rPr>
        <w:t>1.5</w:t>
      </w:r>
      <w:r w:rsidR="00104263">
        <w:rPr>
          <w:lang w:eastAsia="zh-CN"/>
        </w:rPr>
        <w:t>°C</w:t>
      </w:r>
      <w:r w:rsidR="00104263">
        <w:rPr>
          <w:rFonts w:hint="eastAsia"/>
          <w:lang w:eastAsia="zh-CN"/>
        </w:rPr>
        <w:t>目标</w:t>
      </w:r>
      <w:r w:rsidR="00075B68">
        <w:rPr>
          <w:rFonts w:hint="eastAsia"/>
          <w:lang w:eastAsia="zh-CN"/>
        </w:rPr>
        <w:t>，</w:t>
      </w:r>
      <w:r w:rsidR="00104263">
        <w:rPr>
          <w:rFonts w:hint="eastAsia"/>
          <w:lang w:eastAsia="zh-CN"/>
        </w:rPr>
        <w:t>承诺每年公开</w:t>
      </w:r>
      <w:r w:rsidR="00711F2C">
        <w:rPr>
          <w:rFonts w:hint="eastAsia"/>
          <w:lang w:eastAsia="zh-CN"/>
        </w:rPr>
        <w:t>所有</w:t>
      </w:r>
      <w:r w:rsidR="006B4856">
        <w:rPr>
          <w:rFonts w:hint="eastAsia"/>
          <w:lang w:eastAsia="zh-CN"/>
        </w:rPr>
        <w:t>GHG</w:t>
      </w:r>
      <w:r w:rsidR="00104263">
        <w:rPr>
          <w:rFonts w:hint="eastAsia"/>
          <w:lang w:eastAsia="zh-CN"/>
        </w:rPr>
        <w:t>排放范围和类别数据</w:t>
      </w:r>
      <w:r w:rsidR="00075B68">
        <w:rPr>
          <w:rFonts w:hint="eastAsia"/>
          <w:lang w:eastAsia="zh-CN"/>
        </w:rPr>
        <w:t>，</w:t>
      </w:r>
      <w:r w:rsidR="00711F2C">
        <w:rPr>
          <w:rFonts w:hint="eastAsia"/>
          <w:lang w:eastAsia="zh-CN"/>
        </w:rPr>
        <w:t>并</w:t>
      </w:r>
      <w:r w:rsidR="00104263">
        <w:rPr>
          <w:rFonts w:hint="eastAsia"/>
          <w:lang w:eastAsia="zh-CN"/>
        </w:rPr>
        <w:t>将结果提交</w:t>
      </w:r>
      <w:r w:rsidR="00B31502">
        <w:rPr>
          <w:rFonts w:hint="eastAsia"/>
          <w:lang w:eastAsia="zh-CN"/>
        </w:rPr>
        <w:t>到</w:t>
      </w:r>
      <w:r w:rsidR="00104263">
        <w:rPr>
          <w:rFonts w:hint="eastAsia"/>
          <w:lang w:eastAsia="zh-CN"/>
        </w:rPr>
        <w:t>国际电联</w:t>
      </w:r>
      <w:r w:rsidR="00B31502">
        <w:rPr>
          <w:rFonts w:hint="eastAsia"/>
          <w:lang w:eastAsia="zh-CN"/>
        </w:rPr>
        <w:t>基于标准化方法的</w:t>
      </w:r>
      <w:r w:rsidR="00104263">
        <w:rPr>
          <w:rFonts w:hint="eastAsia"/>
          <w:lang w:eastAsia="zh-CN"/>
        </w:rPr>
        <w:t>公共数据库。</w:t>
      </w:r>
    </w:p>
    <w:p w14:paraId="4E6ACC44" w14:textId="70459CB5" w:rsidR="00CE59F1" w:rsidRPr="00C06D56" w:rsidRDefault="00CE59F1" w:rsidP="00E524E5">
      <w:pPr>
        <w:ind w:firstLineChars="200" w:firstLine="480"/>
        <w:rPr>
          <w:rFonts w:eastAsiaTheme="minorEastAsia"/>
          <w:szCs w:val="24"/>
          <w:lang w:eastAsia="zh-CN"/>
        </w:rPr>
      </w:pPr>
      <w:r w:rsidRPr="004541F4">
        <w:rPr>
          <w:rFonts w:cs="Calibri"/>
          <w:szCs w:val="24"/>
          <w:lang w:val="en-US" w:eastAsia="zh-CN"/>
        </w:rPr>
        <w:t xml:space="preserve">ITU-T </w:t>
      </w:r>
      <w:hyperlink r:id="rId17" w:history="1">
        <w:r w:rsidRPr="004541F4">
          <w:rPr>
            <w:rStyle w:val="Hyperlink"/>
            <w:rFonts w:cs="Calibri"/>
            <w:szCs w:val="24"/>
            <w:lang w:val="en-US" w:eastAsia="zh-CN"/>
          </w:rPr>
          <w:t>L.1450</w:t>
        </w:r>
      </w:hyperlink>
      <w:r w:rsidR="00892CF1">
        <w:rPr>
          <w:rFonts w:cs="Calibri" w:hint="eastAsia"/>
          <w:szCs w:val="24"/>
          <w:lang w:val="en-US" w:eastAsia="zh-CN"/>
        </w:rPr>
        <w:t>建议书和</w:t>
      </w:r>
      <w:r w:rsidR="00613E3B">
        <w:fldChar w:fldCharType="begin"/>
      </w:r>
      <w:r w:rsidR="00613E3B">
        <w:instrText>HYPERLINK "https://www.itu.int/rec/T-REC-L.1470"</w:instrText>
      </w:r>
      <w:r w:rsidR="00613E3B">
        <w:fldChar w:fldCharType="separate"/>
      </w:r>
      <w:r w:rsidRPr="004541F4">
        <w:rPr>
          <w:rStyle w:val="Hyperlink"/>
          <w:rFonts w:cs="Calibri"/>
          <w:szCs w:val="24"/>
          <w:lang w:val="en-US" w:eastAsia="zh-CN"/>
        </w:rPr>
        <w:t>L.1470</w:t>
      </w:r>
      <w:r w:rsidR="00613E3B">
        <w:rPr>
          <w:rStyle w:val="Hyperlink"/>
          <w:rFonts w:cs="Calibri"/>
          <w:szCs w:val="24"/>
          <w:lang w:val="en-US" w:eastAsia="zh-CN"/>
        </w:rPr>
        <w:fldChar w:fldCharType="end"/>
      </w:r>
      <w:r w:rsidR="00892CF1">
        <w:rPr>
          <w:rFonts w:cs="Calibri" w:hint="eastAsia"/>
          <w:szCs w:val="24"/>
          <w:lang w:val="en-US" w:eastAsia="zh-CN"/>
        </w:rPr>
        <w:t>建议书</w:t>
      </w:r>
      <w:r w:rsidR="004541F4" w:rsidRPr="004541F4">
        <w:rPr>
          <w:rFonts w:cs="Calibri" w:hint="eastAsia"/>
          <w:szCs w:val="24"/>
          <w:lang w:val="en-US" w:eastAsia="zh-CN"/>
        </w:rPr>
        <w:t>等国际电联标准</w:t>
      </w:r>
      <w:r w:rsidR="00C06D56">
        <w:rPr>
          <w:rFonts w:cs="Calibri" w:hint="eastAsia"/>
          <w:szCs w:val="24"/>
          <w:lang w:val="en-US" w:eastAsia="zh-CN"/>
        </w:rPr>
        <w:t>在指导</w:t>
      </w:r>
      <w:r w:rsidR="00C06D56">
        <w:rPr>
          <w:rFonts w:cs="Calibri" w:hint="eastAsia"/>
          <w:szCs w:val="24"/>
          <w:lang w:val="en-US" w:eastAsia="zh-CN"/>
        </w:rPr>
        <w:t>ICT</w:t>
      </w:r>
      <w:r w:rsidR="00C06D56">
        <w:rPr>
          <w:rFonts w:cs="Calibri" w:hint="eastAsia"/>
          <w:szCs w:val="24"/>
          <w:lang w:val="en-US" w:eastAsia="zh-CN"/>
        </w:rPr>
        <w:t>行业如何收集</w:t>
      </w:r>
      <w:r w:rsidR="00C06D56">
        <w:rPr>
          <w:rFonts w:cs="Calibri" w:hint="eastAsia"/>
          <w:szCs w:val="24"/>
          <w:lang w:val="en-US" w:eastAsia="zh-CN"/>
        </w:rPr>
        <w:t>GHG</w:t>
      </w:r>
      <w:r w:rsidR="00C06D56">
        <w:rPr>
          <w:rFonts w:cs="Calibri" w:hint="eastAsia"/>
          <w:szCs w:val="24"/>
          <w:lang w:val="en-US" w:eastAsia="zh-CN"/>
        </w:rPr>
        <w:t>排放数据方面发挥重要作用，为测量和报告提供了结构化的框架和方法。</w:t>
      </w:r>
    </w:p>
    <w:p w14:paraId="722B397F" w14:textId="722495B7" w:rsidR="00CE59F1" w:rsidRPr="00C51A71" w:rsidRDefault="00C51A71" w:rsidP="00E524E5">
      <w:pPr>
        <w:ind w:firstLineChars="200" w:firstLine="480"/>
        <w:rPr>
          <w:rFonts w:cs="Calibri"/>
          <w:szCs w:val="24"/>
          <w:lang w:eastAsia="zh-CN"/>
        </w:rPr>
      </w:pPr>
      <w:r w:rsidRPr="00C51A71">
        <w:rPr>
          <w:rFonts w:cs="Calibri" w:hint="eastAsia"/>
          <w:szCs w:val="24"/>
          <w:lang w:eastAsia="zh-CN"/>
        </w:rPr>
        <w:t>国际电联和</w:t>
      </w:r>
      <w:r>
        <w:rPr>
          <w:rFonts w:cs="Calibri" w:hint="eastAsia"/>
          <w:szCs w:val="24"/>
          <w:lang w:eastAsia="zh-CN"/>
        </w:rPr>
        <w:t>世界基准联盟通过“</w:t>
      </w:r>
      <w:hyperlink r:id="rId18" w:history="1">
        <w:r w:rsidRPr="003B5108">
          <w:rPr>
            <w:rStyle w:val="Hyperlink"/>
            <w:rFonts w:cs="Calibri" w:hint="eastAsia"/>
            <w:szCs w:val="24"/>
            <w:lang w:eastAsia="zh-CN"/>
          </w:rPr>
          <w:t>绿色数字企业</w:t>
        </w:r>
      </w:hyperlink>
      <w:r>
        <w:rPr>
          <w:rFonts w:cs="Calibri" w:hint="eastAsia"/>
          <w:szCs w:val="24"/>
          <w:lang w:eastAsia="zh-CN"/>
        </w:rPr>
        <w:t>”年度行业评估报告加强</w:t>
      </w:r>
      <w:r w:rsidR="003B5108">
        <w:rPr>
          <w:rFonts w:cs="Calibri" w:hint="eastAsia"/>
          <w:szCs w:val="24"/>
          <w:lang w:eastAsia="zh-CN"/>
        </w:rPr>
        <w:t>对</w:t>
      </w:r>
      <w:r>
        <w:rPr>
          <w:rFonts w:cs="Calibri" w:hint="eastAsia"/>
          <w:szCs w:val="24"/>
          <w:lang w:eastAsia="zh-CN"/>
        </w:rPr>
        <w:t>200</w:t>
      </w:r>
      <w:r>
        <w:rPr>
          <w:rFonts w:cs="Calibri" w:hint="eastAsia"/>
          <w:szCs w:val="24"/>
          <w:lang w:eastAsia="zh-CN"/>
        </w:rPr>
        <w:t>家领先科技</w:t>
      </w:r>
      <w:r w:rsidR="003B5108">
        <w:rPr>
          <w:rFonts w:cs="Calibri" w:hint="eastAsia"/>
          <w:szCs w:val="24"/>
          <w:lang w:eastAsia="zh-CN"/>
        </w:rPr>
        <w:t>企业</w:t>
      </w:r>
      <w:r>
        <w:rPr>
          <w:rFonts w:cs="Calibri" w:hint="eastAsia"/>
          <w:szCs w:val="24"/>
          <w:lang w:eastAsia="zh-CN"/>
        </w:rPr>
        <w:t>的</w:t>
      </w:r>
      <w:r>
        <w:rPr>
          <w:rFonts w:cs="Calibri" w:hint="eastAsia"/>
          <w:szCs w:val="24"/>
          <w:lang w:eastAsia="zh-CN"/>
        </w:rPr>
        <w:t>GHG</w:t>
      </w:r>
      <w:r>
        <w:rPr>
          <w:rFonts w:cs="Calibri" w:hint="eastAsia"/>
          <w:szCs w:val="24"/>
          <w:lang w:eastAsia="zh-CN"/>
        </w:rPr>
        <w:t>排放、能源使用和气候承诺</w:t>
      </w:r>
      <w:r w:rsidR="003B5108">
        <w:rPr>
          <w:rFonts w:cs="Calibri" w:hint="eastAsia"/>
          <w:szCs w:val="24"/>
          <w:lang w:eastAsia="zh-CN"/>
        </w:rPr>
        <w:t>的</w:t>
      </w:r>
      <w:r w:rsidR="00C15BE6">
        <w:rPr>
          <w:rFonts w:cs="Calibri" w:hint="eastAsia"/>
          <w:szCs w:val="24"/>
          <w:lang w:eastAsia="zh-CN"/>
        </w:rPr>
        <w:t>监测</w:t>
      </w:r>
      <w:r>
        <w:rPr>
          <w:rFonts w:cs="Calibri" w:hint="eastAsia"/>
          <w:szCs w:val="24"/>
          <w:lang w:eastAsia="zh-CN"/>
        </w:rPr>
        <w:t>。</w:t>
      </w:r>
      <w:r w:rsidR="005C42C2">
        <w:rPr>
          <w:rFonts w:cs="Calibri" w:hint="eastAsia"/>
          <w:szCs w:val="24"/>
          <w:lang w:eastAsia="zh-CN"/>
        </w:rPr>
        <w:t>此外，国际电联和世界银行在</w:t>
      </w:r>
      <w:r w:rsidR="005C42C2">
        <w:rPr>
          <w:rFonts w:cs="Calibri" w:hint="eastAsia"/>
          <w:szCs w:val="24"/>
          <w:lang w:eastAsia="zh-CN"/>
        </w:rPr>
        <w:t>2024</w:t>
      </w:r>
      <w:r w:rsidR="005C42C2">
        <w:rPr>
          <w:rFonts w:cs="Calibri" w:hint="eastAsia"/>
          <w:szCs w:val="24"/>
          <w:lang w:eastAsia="zh-CN"/>
        </w:rPr>
        <w:t>年</w:t>
      </w:r>
      <w:r w:rsidR="005C42C2">
        <w:rPr>
          <w:rFonts w:cs="Calibri" w:hint="eastAsia"/>
          <w:szCs w:val="24"/>
          <w:lang w:eastAsia="zh-CN"/>
        </w:rPr>
        <w:t>3</w:t>
      </w:r>
      <w:r w:rsidR="005C42C2">
        <w:rPr>
          <w:rFonts w:cs="Calibri" w:hint="eastAsia"/>
          <w:szCs w:val="24"/>
          <w:lang w:eastAsia="zh-CN"/>
        </w:rPr>
        <w:t>月发布</w:t>
      </w:r>
      <w:r w:rsidR="00FF12FB">
        <w:rPr>
          <w:rFonts w:cs="Calibri" w:hint="eastAsia"/>
          <w:szCs w:val="24"/>
          <w:lang w:eastAsia="zh-CN"/>
        </w:rPr>
        <w:t>的</w:t>
      </w:r>
      <w:hyperlink r:id="rId19" w:history="1">
        <w:r w:rsidR="005C42C2" w:rsidRPr="005C42C2">
          <w:rPr>
            <w:rStyle w:val="Hyperlink"/>
            <w:rFonts w:cs="Calibri" w:hint="eastAsia"/>
            <w:szCs w:val="24"/>
            <w:lang w:eastAsia="zh-CN"/>
          </w:rPr>
          <w:t>《衡量</w:t>
        </w:r>
        <w:r w:rsidR="005C42C2" w:rsidRPr="005C42C2">
          <w:rPr>
            <w:rStyle w:val="Hyperlink"/>
            <w:rFonts w:cs="Calibri" w:hint="eastAsia"/>
            <w:szCs w:val="24"/>
            <w:lang w:eastAsia="zh-CN"/>
          </w:rPr>
          <w:t>ICT</w:t>
        </w:r>
        <w:r w:rsidR="005C42C2" w:rsidRPr="005C42C2">
          <w:rPr>
            <w:rStyle w:val="Hyperlink"/>
            <w:rFonts w:cs="Calibri" w:hint="eastAsia"/>
            <w:szCs w:val="24"/>
            <w:lang w:eastAsia="zh-CN"/>
          </w:rPr>
          <w:t>行业的排放和能源足迹》</w:t>
        </w:r>
      </w:hyperlink>
      <w:r w:rsidR="005C42C2">
        <w:rPr>
          <w:rFonts w:cs="Calibri" w:hint="eastAsia"/>
          <w:szCs w:val="24"/>
          <w:lang w:eastAsia="zh-CN"/>
        </w:rPr>
        <w:t>报告</w:t>
      </w:r>
      <w:r w:rsidR="00ED5BB4">
        <w:rPr>
          <w:rFonts w:cs="Calibri" w:hint="eastAsia"/>
          <w:szCs w:val="24"/>
          <w:lang w:eastAsia="zh-CN"/>
        </w:rPr>
        <w:t>整理了</w:t>
      </w:r>
      <w:r w:rsidR="00ED5BB4">
        <w:rPr>
          <w:rFonts w:cs="Calibri" w:hint="eastAsia"/>
          <w:szCs w:val="24"/>
          <w:lang w:eastAsia="zh-CN"/>
        </w:rPr>
        <w:t>30</w:t>
      </w:r>
      <w:r w:rsidR="00ED5BB4">
        <w:rPr>
          <w:rFonts w:cs="Calibri" w:hint="eastAsia"/>
          <w:szCs w:val="24"/>
          <w:lang w:eastAsia="zh-CN"/>
        </w:rPr>
        <w:t>个国家</w:t>
      </w:r>
      <w:r w:rsidR="00ED5BB4">
        <w:rPr>
          <w:rFonts w:cs="Calibri" w:hint="eastAsia"/>
          <w:szCs w:val="24"/>
          <w:lang w:eastAsia="zh-CN"/>
        </w:rPr>
        <w:t>ICT</w:t>
      </w:r>
      <w:r w:rsidR="00ED5BB4">
        <w:rPr>
          <w:rFonts w:cs="Calibri" w:hint="eastAsia"/>
          <w:szCs w:val="24"/>
          <w:lang w:eastAsia="zh-CN"/>
        </w:rPr>
        <w:t>行业的</w:t>
      </w:r>
      <w:r w:rsidR="00ED5BB4">
        <w:rPr>
          <w:rFonts w:cs="Calibri" w:hint="eastAsia"/>
          <w:szCs w:val="24"/>
          <w:lang w:eastAsia="zh-CN"/>
        </w:rPr>
        <w:t>GHG</w:t>
      </w:r>
      <w:r w:rsidR="00ED5BB4">
        <w:rPr>
          <w:rFonts w:cs="Calibri" w:hint="eastAsia"/>
          <w:szCs w:val="24"/>
          <w:lang w:eastAsia="zh-CN"/>
        </w:rPr>
        <w:t>排放和能源消耗数据。</w:t>
      </w:r>
    </w:p>
    <w:p w14:paraId="7F49B372" w14:textId="51CD01A1" w:rsidR="00CE59F1" w:rsidRPr="00C51A71" w:rsidRDefault="00C51A71" w:rsidP="00E524E5">
      <w:pPr>
        <w:ind w:firstLineChars="200" w:firstLine="480"/>
        <w:rPr>
          <w:rFonts w:cs="Calibri"/>
          <w:szCs w:val="24"/>
          <w:lang w:eastAsia="zh-CN"/>
        </w:rPr>
      </w:pPr>
      <w:r w:rsidRPr="00C51A71">
        <w:rPr>
          <w:rFonts w:cs="Calibri" w:hint="eastAsia"/>
          <w:szCs w:val="24"/>
          <w:lang w:eastAsia="zh-CN"/>
        </w:rPr>
        <w:t>两份报告都强调了</w:t>
      </w:r>
      <w:r w:rsidRPr="0081148B">
        <w:rPr>
          <w:rFonts w:cs="Calibri" w:hint="eastAsia"/>
          <w:b/>
          <w:bCs/>
          <w:szCs w:val="24"/>
          <w:lang w:eastAsia="zh-CN"/>
        </w:rPr>
        <w:t>透明度问题及数据</w:t>
      </w:r>
      <w:r w:rsidR="0081148B" w:rsidRPr="0081148B">
        <w:rPr>
          <w:rFonts w:cs="Calibri" w:hint="eastAsia"/>
          <w:b/>
          <w:bCs/>
          <w:szCs w:val="24"/>
          <w:lang w:eastAsia="zh-CN"/>
        </w:rPr>
        <w:t>和</w:t>
      </w:r>
      <w:r w:rsidRPr="0081148B">
        <w:rPr>
          <w:rFonts w:cs="Calibri" w:hint="eastAsia"/>
          <w:b/>
          <w:bCs/>
          <w:szCs w:val="24"/>
          <w:lang w:eastAsia="zh-CN"/>
        </w:rPr>
        <w:t>监测、核查和报告的重要性</w:t>
      </w:r>
      <w:r w:rsidRPr="00C51A71">
        <w:rPr>
          <w:rFonts w:cs="Calibri" w:hint="eastAsia"/>
          <w:szCs w:val="24"/>
          <w:lang w:eastAsia="zh-CN"/>
        </w:rPr>
        <w:t>。</w:t>
      </w:r>
    </w:p>
    <w:p w14:paraId="4976156C" w14:textId="37A6C71F" w:rsidR="00CE59F1" w:rsidRPr="0004400C" w:rsidRDefault="008D04D0" w:rsidP="00E524E5">
      <w:pPr>
        <w:ind w:firstLineChars="200" w:firstLine="480"/>
        <w:rPr>
          <w:rFonts w:eastAsiaTheme="minorEastAsia" w:cs="Calibri"/>
          <w:lang w:val="en-US" w:eastAsia="zh-CN"/>
        </w:rPr>
      </w:pPr>
      <w:r>
        <w:rPr>
          <w:rFonts w:eastAsiaTheme="minorEastAsia" w:cs="Calibri" w:hint="eastAsia"/>
          <w:lang w:val="en-US" w:eastAsia="zh-CN"/>
        </w:rPr>
        <w:t>与其他行业相比，</w:t>
      </w:r>
      <w:r>
        <w:rPr>
          <w:rFonts w:eastAsiaTheme="minorEastAsia" w:cs="Calibri" w:hint="eastAsia"/>
          <w:lang w:val="en-US" w:eastAsia="zh-CN"/>
        </w:rPr>
        <w:t>ICT</w:t>
      </w:r>
      <w:r>
        <w:rPr>
          <w:rFonts w:eastAsiaTheme="minorEastAsia" w:cs="Calibri" w:hint="eastAsia"/>
          <w:lang w:val="en-US" w:eastAsia="zh-CN"/>
        </w:rPr>
        <w:t>行业</w:t>
      </w:r>
      <w:r w:rsidR="00F567EB">
        <w:rPr>
          <w:rFonts w:eastAsiaTheme="minorEastAsia" w:cs="Calibri" w:hint="eastAsia"/>
          <w:lang w:val="en-US" w:eastAsia="zh-CN"/>
        </w:rPr>
        <w:t>非常</w:t>
      </w:r>
      <w:r>
        <w:rPr>
          <w:rFonts w:eastAsiaTheme="minorEastAsia" w:cs="Calibri" w:hint="eastAsia"/>
          <w:lang w:val="en-US" w:eastAsia="zh-CN"/>
        </w:rPr>
        <w:t>缺少可靠的排放数据。为</w:t>
      </w:r>
      <w:r w:rsidR="00CD25EE">
        <w:rPr>
          <w:rFonts w:eastAsiaTheme="minorEastAsia" w:cs="Calibri" w:hint="eastAsia"/>
          <w:lang w:val="en-US" w:eastAsia="zh-CN"/>
        </w:rPr>
        <w:t>了</w:t>
      </w:r>
      <w:r>
        <w:rPr>
          <w:rFonts w:eastAsiaTheme="minorEastAsia" w:cs="Calibri" w:hint="eastAsia"/>
          <w:lang w:val="en-US" w:eastAsia="zh-CN"/>
        </w:rPr>
        <w:t>应对这一挑战，</w:t>
      </w:r>
      <w:r w:rsidRPr="00CD25EE">
        <w:rPr>
          <w:rFonts w:eastAsiaTheme="minorEastAsia" w:cs="Calibri" w:hint="eastAsia"/>
          <w:b/>
          <w:bCs/>
          <w:lang w:val="en-US" w:eastAsia="zh-CN"/>
        </w:rPr>
        <w:t>国际电联旨在</w:t>
      </w:r>
      <w:r w:rsidR="004A2E77" w:rsidRPr="00CD25EE">
        <w:rPr>
          <w:rFonts w:eastAsiaTheme="minorEastAsia" w:cs="Calibri" w:hint="eastAsia"/>
          <w:b/>
          <w:bCs/>
          <w:lang w:val="en-US" w:eastAsia="zh-CN"/>
        </w:rPr>
        <w:t>推动开展新的数据收集工作并建立数据库，以</w:t>
      </w:r>
      <w:r w:rsidR="00E0018A">
        <w:rPr>
          <w:rFonts w:eastAsiaTheme="minorEastAsia" w:cs="Calibri" w:hint="eastAsia"/>
          <w:b/>
          <w:bCs/>
          <w:lang w:val="en-US" w:eastAsia="zh-CN"/>
        </w:rPr>
        <w:t>监测</w:t>
      </w:r>
      <w:r w:rsidR="004A2E77" w:rsidRPr="00CD25EE">
        <w:rPr>
          <w:rFonts w:eastAsiaTheme="minorEastAsia" w:cs="Calibri" w:hint="eastAsia"/>
          <w:b/>
          <w:bCs/>
          <w:lang w:val="en-US" w:eastAsia="zh-CN"/>
        </w:rPr>
        <w:t>ICT</w:t>
      </w:r>
      <w:r w:rsidR="004A2E77" w:rsidRPr="00CD25EE">
        <w:rPr>
          <w:rFonts w:eastAsiaTheme="minorEastAsia" w:cs="Calibri" w:hint="eastAsia"/>
          <w:b/>
          <w:bCs/>
          <w:lang w:val="en-US" w:eastAsia="zh-CN"/>
        </w:rPr>
        <w:t>行业的排放和能源使用情况</w:t>
      </w:r>
      <w:r w:rsidR="004A2E77">
        <w:rPr>
          <w:rFonts w:eastAsiaTheme="minorEastAsia" w:cs="Calibri" w:hint="eastAsia"/>
          <w:lang w:val="en-US" w:eastAsia="zh-CN"/>
        </w:rPr>
        <w:t>。</w:t>
      </w:r>
      <w:r w:rsidR="00CD25EE">
        <w:rPr>
          <w:rFonts w:eastAsiaTheme="minorEastAsia" w:cs="Calibri" w:hint="eastAsia"/>
          <w:lang w:val="en-US" w:eastAsia="zh-CN"/>
        </w:rPr>
        <w:t>数据库将</w:t>
      </w:r>
      <w:r w:rsidR="00E0018A">
        <w:rPr>
          <w:rFonts w:eastAsiaTheme="minorEastAsia" w:cs="Calibri" w:hint="eastAsia"/>
          <w:lang w:val="en-US" w:eastAsia="zh-CN"/>
        </w:rPr>
        <w:t>采用</w:t>
      </w:r>
      <w:r w:rsidR="00CD25EE">
        <w:rPr>
          <w:rFonts w:eastAsiaTheme="minorEastAsia" w:cs="Calibri" w:hint="eastAsia"/>
          <w:lang w:val="en-US" w:eastAsia="zh-CN"/>
        </w:rPr>
        <w:t>ITU-T</w:t>
      </w:r>
      <w:r w:rsidR="00CD25EE">
        <w:rPr>
          <w:rFonts w:eastAsiaTheme="minorEastAsia" w:cs="Calibri" w:hint="eastAsia"/>
          <w:lang w:val="en-US" w:eastAsia="zh-CN"/>
        </w:rPr>
        <w:t>第</w:t>
      </w:r>
      <w:r w:rsidR="00CD25EE">
        <w:rPr>
          <w:rFonts w:eastAsiaTheme="minorEastAsia" w:cs="Calibri" w:hint="eastAsia"/>
          <w:lang w:val="en-US" w:eastAsia="zh-CN"/>
        </w:rPr>
        <w:t>5</w:t>
      </w:r>
      <w:r w:rsidR="00CD25EE">
        <w:rPr>
          <w:rFonts w:eastAsiaTheme="minorEastAsia" w:cs="Calibri" w:hint="eastAsia"/>
          <w:lang w:val="en-US" w:eastAsia="zh-CN"/>
        </w:rPr>
        <w:t>研究组“环境、电磁场（</w:t>
      </w:r>
      <w:r w:rsidR="00CD25EE">
        <w:rPr>
          <w:rFonts w:eastAsiaTheme="minorEastAsia" w:cs="Calibri" w:hint="eastAsia"/>
          <w:lang w:val="en-US" w:eastAsia="zh-CN"/>
        </w:rPr>
        <w:t>EMF</w:t>
      </w:r>
      <w:r w:rsidR="00CD25EE">
        <w:rPr>
          <w:rFonts w:eastAsiaTheme="minorEastAsia" w:cs="Calibri" w:hint="eastAsia"/>
          <w:lang w:val="en-US" w:eastAsia="zh-CN"/>
        </w:rPr>
        <w:t>）和循环经济”</w:t>
      </w:r>
      <w:r w:rsidR="000C6689">
        <w:rPr>
          <w:rFonts w:eastAsiaTheme="minorEastAsia" w:cs="Calibri" w:hint="eastAsia"/>
          <w:lang w:val="en-US" w:eastAsia="zh-CN"/>
        </w:rPr>
        <w:t>正在</w:t>
      </w:r>
      <w:r w:rsidR="00E0018A">
        <w:rPr>
          <w:rFonts w:eastAsiaTheme="minorEastAsia" w:cs="Calibri" w:hint="eastAsia"/>
          <w:lang w:val="en-US" w:eastAsia="zh-CN"/>
        </w:rPr>
        <w:t>制定</w:t>
      </w:r>
      <w:r w:rsidR="000C6689">
        <w:rPr>
          <w:rFonts w:eastAsiaTheme="minorEastAsia" w:cs="Calibri" w:hint="eastAsia"/>
          <w:lang w:val="en-US" w:eastAsia="zh-CN"/>
        </w:rPr>
        <w:t>的</w:t>
      </w:r>
      <w:r w:rsidR="000C6689" w:rsidRPr="000C6689">
        <w:rPr>
          <w:rFonts w:eastAsiaTheme="minorEastAsia" w:cs="Calibri"/>
          <w:lang w:val="en-US" w:eastAsia="zh-CN"/>
        </w:rPr>
        <w:t xml:space="preserve">ITU-T </w:t>
      </w:r>
      <w:proofErr w:type="spellStart"/>
      <w:r w:rsidR="000C6689" w:rsidRPr="000C6689">
        <w:rPr>
          <w:rFonts w:eastAsiaTheme="minorEastAsia" w:cs="Calibri"/>
          <w:lang w:val="en-US" w:eastAsia="zh-CN"/>
        </w:rPr>
        <w:t>L.Database</w:t>
      </w:r>
      <w:proofErr w:type="spellEnd"/>
      <w:r w:rsidR="000C6689">
        <w:rPr>
          <w:rFonts w:eastAsiaTheme="minorEastAsia" w:cs="Calibri" w:hint="eastAsia"/>
          <w:lang w:val="en-US" w:eastAsia="zh-CN"/>
        </w:rPr>
        <w:t>建议书</w:t>
      </w:r>
      <w:r w:rsidR="00E0018A">
        <w:rPr>
          <w:rFonts w:eastAsiaTheme="minorEastAsia" w:cs="Calibri" w:hint="eastAsia"/>
          <w:lang w:val="en-US" w:eastAsia="zh-CN"/>
        </w:rPr>
        <w:t>的方法</w:t>
      </w:r>
      <w:r w:rsidR="000C6689">
        <w:rPr>
          <w:rFonts w:eastAsiaTheme="minorEastAsia" w:cs="Calibri" w:hint="eastAsia"/>
          <w:lang w:val="en-US" w:eastAsia="zh-CN"/>
        </w:rPr>
        <w:t>。</w:t>
      </w:r>
    </w:p>
    <w:p w14:paraId="5220B78F" w14:textId="0DE20A0C" w:rsidR="00CE59F1" w:rsidRPr="009F47B3" w:rsidRDefault="001E0E17" w:rsidP="00E524E5">
      <w:pPr>
        <w:ind w:firstLineChars="200" w:firstLine="480"/>
        <w:rPr>
          <w:lang w:val="en-US" w:eastAsia="zh-CN"/>
        </w:rPr>
      </w:pPr>
      <w:r>
        <w:rPr>
          <w:rFonts w:hint="eastAsia"/>
          <w:lang w:val="en-US" w:eastAsia="zh-CN"/>
        </w:rPr>
        <w:lastRenderedPageBreak/>
        <w:t>该</w:t>
      </w:r>
      <w:r w:rsidR="0011687F">
        <w:rPr>
          <w:rFonts w:hint="eastAsia"/>
          <w:lang w:val="en-US" w:eastAsia="zh-CN"/>
        </w:rPr>
        <w:t>举措将</w:t>
      </w:r>
      <w:r w:rsidR="007B46AE">
        <w:rPr>
          <w:rFonts w:hint="eastAsia"/>
          <w:lang w:val="en-US" w:eastAsia="zh-CN"/>
        </w:rPr>
        <w:t>进一步</w:t>
      </w:r>
      <w:r w:rsidR="00F567EB">
        <w:rPr>
          <w:rFonts w:hint="eastAsia"/>
          <w:lang w:val="en-US" w:eastAsia="zh-CN"/>
        </w:rPr>
        <w:t>推动</w:t>
      </w:r>
      <w:r w:rsidR="0011687F">
        <w:rPr>
          <w:rFonts w:hint="eastAsia"/>
          <w:lang w:val="en-US" w:eastAsia="zh-CN"/>
        </w:rPr>
        <w:t>实现</w:t>
      </w:r>
      <w:r>
        <w:rPr>
          <w:rFonts w:hint="eastAsia"/>
          <w:lang w:val="en-US" w:eastAsia="zh-CN"/>
        </w:rPr>
        <w:t>2020</w:t>
      </w:r>
      <w:r>
        <w:rPr>
          <w:rFonts w:hint="eastAsia"/>
          <w:lang w:val="en-US" w:eastAsia="zh-CN"/>
        </w:rPr>
        <w:t>年</w:t>
      </w:r>
      <w:hyperlink r:id="rId20" w:history="1">
        <w:r w:rsidR="007B46AE" w:rsidRPr="0011687F">
          <w:rPr>
            <w:rStyle w:val="Hyperlink"/>
            <w:lang w:val="en-US" w:eastAsia="zh-CN"/>
          </w:rPr>
          <w:t>ITU-T L.1470</w:t>
        </w:r>
        <w:r w:rsidR="007B46AE" w:rsidRPr="0011687F">
          <w:rPr>
            <w:rStyle w:val="Hyperlink"/>
            <w:lang w:val="en-US" w:eastAsia="zh-CN"/>
          </w:rPr>
          <w:t>建议书</w:t>
        </w:r>
      </w:hyperlink>
      <w:r w:rsidR="007B46AE">
        <w:rPr>
          <w:rFonts w:hint="eastAsia"/>
          <w:lang w:val="en-US" w:eastAsia="zh-CN"/>
        </w:rPr>
        <w:t>所述的目标，即</w:t>
      </w:r>
      <w:r w:rsidR="009353A4" w:rsidRPr="00FA2EDE">
        <w:rPr>
          <w:rFonts w:hint="eastAsia"/>
          <w:b/>
          <w:bCs/>
          <w:lang w:val="en-US" w:eastAsia="zh-CN"/>
        </w:rPr>
        <w:t>到</w:t>
      </w:r>
      <w:r w:rsidR="009353A4" w:rsidRPr="00FA2EDE">
        <w:rPr>
          <w:rFonts w:hint="eastAsia"/>
          <w:b/>
          <w:bCs/>
          <w:lang w:val="en-US" w:eastAsia="zh-CN"/>
        </w:rPr>
        <w:t>2030</w:t>
      </w:r>
      <w:r w:rsidR="009353A4" w:rsidRPr="00FA2EDE">
        <w:rPr>
          <w:rFonts w:hint="eastAsia"/>
          <w:b/>
          <w:bCs/>
          <w:lang w:val="en-US" w:eastAsia="zh-CN"/>
        </w:rPr>
        <w:t>年</w:t>
      </w:r>
      <w:r w:rsidRPr="00FA2EDE">
        <w:rPr>
          <w:rFonts w:hint="eastAsia"/>
          <w:b/>
          <w:bCs/>
          <w:lang w:val="en-US" w:eastAsia="zh-CN"/>
        </w:rPr>
        <w:t>将</w:t>
      </w:r>
      <w:r w:rsidR="009353A4" w:rsidRPr="00FA2EDE">
        <w:rPr>
          <w:rFonts w:hint="eastAsia"/>
          <w:b/>
          <w:bCs/>
          <w:lang w:val="en-US" w:eastAsia="zh-CN"/>
        </w:rPr>
        <w:t>ICT</w:t>
      </w:r>
      <w:r w:rsidR="009353A4" w:rsidRPr="00FA2EDE">
        <w:rPr>
          <w:rFonts w:hint="eastAsia"/>
          <w:b/>
          <w:bCs/>
          <w:lang w:val="en-US" w:eastAsia="zh-CN"/>
        </w:rPr>
        <w:t>行业</w:t>
      </w:r>
      <w:r w:rsidRPr="00FA2EDE">
        <w:rPr>
          <w:rFonts w:hint="eastAsia"/>
          <w:b/>
          <w:bCs/>
          <w:lang w:val="en-US" w:eastAsia="zh-CN"/>
        </w:rPr>
        <w:t>的</w:t>
      </w:r>
      <w:r w:rsidRPr="00FA2EDE">
        <w:rPr>
          <w:rFonts w:hint="eastAsia"/>
          <w:b/>
          <w:bCs/>
          <w:lang w:val="en-US" w:eastAsia="zh-CN"/>
        </w:rPr>
        <w:t>GHG</w:t>
      </w:r>
      <w:r w:rsidRPr="00FA2EDE">
        <w:rPr>
          <w:rFonts w:hint="eastAsia"/>
          <w:b/>
          <w:bCs/>
          <w:lang w:val="en-US" w:eastAsia="zh-CN"/>
        </w:rPr>
        <w:t>排放</w:t>
      </w:r>
      <w:r w:rsidR="009353A4" w:rsidRPr="00FA2EDE">
        <w:rPr>
          <w:rFonts w:hint="eastAsia"/>
          <w:b/>
          <w:bCs/>
          <w:lang w:val="en-US" w:eastAsia="zh-CN"/>
        </w:rPr>
        <w:t>减少</w:t>
      </w:r>
      <w:r w:rsidR="009353A4" w:rsidRPr="00FA2EDE">
        <w:rPr>
          <w:rFonts w:hint="eastAsia"/>
          <w:b/>
          <w:bCs/>
          <w:lang w:val="en-US" w:eastAsia="zh-CN"/>
        </w:rPr>
        <w:t>45%</w:t>
      </w:r>
      <w:r>
        <w:rPr>
          <w:rFonts w:hint="eastAsia"/>
          <w:lang w:val="en-US" w:eastAsia="zh-CN"/>
        </w:rPr>
        <w:t>，</w:t>
      </w:r>
      <w:r w:rsidR="00F567EB">
        <w:rPr>
          <w:rFonts w:hint="eastAsia"/>
          <w:lang w:val="en-US" w:eastAsia="zh-CN"/>
        </w:rPr>
        <w:t>这也有助于</w:t>
      </w:r>
      <w:r>
        <w:rPr>
          <w:rFonts w:hint="eastAsia"/>
          <w:lang w:val="en-US" w:eastAsia="zh-CN"/>
        </w:rPr>
        <w:t>实现《巴黎协定》设定的</w:t>
      </w:r>
      <w:r w:rsidRPr="324E1A22">
        <w:rPr>
          <w:lang w:val="en-US" w:eastAsia="zh-CN"/>
        </w:rPr>
        <w:t>1.5°C</w:t>
      </w:r>
      <w:r>
        <w:rPr>
          <w:rFonts w:hint="eastAsia"/>
          <w:lang w:val="en-US" w:eastAsia="zh-CN"/>
        </w:rPr>
        <w:t>目标。</w:t>
      </w:r>
    </w:p>
    <w:p w14:paraId="4C2ED54C" w14:textId="7C418D9F" w:rsidR="00CE59F1" w:rsidRPr="009F47B3" w:rsidRDefault="007A26C9" w:rsidP="00394FD5">
      <w:pPr>
        <w:spacing w:after="120"/>
        <w:ind w:firstLineChars="200" w:firstLine="480"/>
        <w:jc w:val="both"/>
        <w:rPr>
          <w:lang w:eastAsia="zh-CN"/>
        </w:rPr>
      </w:pPr>
      <w:r>
        <w:rPr>
          <w:rStyle w:val="normaltextrun"/>
          <w:rFonts w:cs="Calibri" w:hint="eastAsia"/>
          <w:color w:val="000000"/>
          <w:shd w:val="clear" w:color="auto" w:fill="FFFFFF"/>
          <w:lang w:eastAsia="zh-CN"/>
        </w:rPr>
        <w:t>国际电联提议开展一个为期三年的项目</w:t>
      </w:r>
      <w:r w:rsidR="00803338">
        <w:rPr>
          <w:rStyle w:val="normaltextrun"/>
          <w:rFonts w:cs="Calibri" w:hint="eastAsia"/>
          <w:color w:val="000000"/>
          <w:shd w:val="clear" w:color="auto" w:fill="FFFFFF"/>
          <w:lang w:eastAsia="zh-CN"/>
        </w:rPr>
        <w:t>，</w:t>
      </w:r>
      <w:r>
        <w:rPr>
          <w:rStyle w:val="normaltextrun"/>
          <w:rFonts w:cs="Calibri" w:hint="eastAsia"/>
          <w:color w:val="000000"/>
          <w:shd w:val="clear" w:color="auto" w:fill="FFFFFF"/>
          <w:lang w:eastAsia="zh-CN"/>
        </w:rPr>
        <w:t>收集并公布可靠、及时的</w:t>
      </w:r>
      <w:r>
        <w:rPr>
          <w:rStyle w:val="normaltextrun"/>
          <w:rFonts w:cs="Calibri" w:hint="eastAsia"/>
          <w:color w:val="000000"/>
          <w:shd w:val="clear" w:color="auto" w:fill="FFFFFF"/>
          <w:lang w:eastAsia="zh-CN"/>
        </w:rPr>
        <w:t>ICT</w:t>
      </w:r>
      <w:r>
        <w:rPr>
          <w:rStyle w:val="normaltextrun"/>
          <w:rFonts w:cs="Calibri" w:hint="eastAsia"/>
          <w:color w:val="000000"/>
          <w:shd w:val="clear" w:color="auto" w:fill="FFFFFF"/>
          <w:lang w:eastAsia="zh-CN"/>
        </w:rPr>
        <w:t>行业</w:t>
      </w:r>
      <w:r>
        <w:rPr>
          <w:rStyle w:val="normaltextrun"/>
          <w:rFonts w:cs="Calibri" w:hint="eastAsia"/>
          <w:color w:val="000000"/>
          <w:shd w:val="clear" w:color="auto" w:fill="FFFFFF"/>
          <w:lang w:eastAsia="zh-CN"/>
        </w:rPr>
        <w:t>GHG</w:t>
      </w:r>
      <w:r>
        <w:rPr>
          <w:rStyle w:val="normaltextrun"/>
          <w:rFonts w:cs="Calibri" w:hint="eastAsia"/>
          <w:color w:val="000000"/>
          <w:shd w:val="clear" w:color="auto" w:fill="FFFFFF"/>
          <w:lang w:eastAsia="zh-CN"/>
        </w:rPr>
        <w:t>排放数据，</w:t>
      </w:r>
      <w:r w:rsidR="00E5776C">
        <w:rPr>
          <w:rStyle w:val="normaltextrun"/>
          <w:rFonts w:cs="Calibri" w:hint="eastAsia"/>
          <w:color w:val="000000"/>
          <w:shd w:val="clear" w:color="auto" w:fill="FFFFFF"/>
          <w:lang w:eastAsia="zh-CN"/>
        </w:rPr>
        <w:t>并</w:t>
      </w:r>
      <w:r>
        <w:rPr>
          <w:rStyle w:val="normaltextrun"/>
          <w:rFonts w:cs="Calibri" w:hint="eastAsia"/>
          <w:color w:val="000000"/>
          <w:shd w:val="clear" w:color="auto" w:fill="FFFFFF"/>
          <w:lang w:eastAsia="zh-CN"/>
        </w:rPr>
        <w:t>通过</w:t>
      </w:r>
      <w:r w:rsidR="00E0018A">
        <w:rPr>
          <w:rStyle w:val="normaltextrun"/>
          <w:rFonts w:cs="Calibri" w:hint="eastAsia"/>
          <w:color w:val="000000"/>
          <w:shd w:val="clear" w:color="auto" w:fill="FFFFFF"/>
          <w:lang w:eastAsia="zh-CN"/>
        </w:rPr>
        <w:t>亟需</w:t>
      </w:r>
      <w:r>
        <w:rPr>
          <w:rStyle w:val="normaltextrun"/>
          <w:rFonts w:cs="Calibri" w:hint="eastAsia"/>
          <w:color w:val="000000"/>
          <w:shd w:val="clear" w:color="auto" w:fill="FFFFFF"/>
          <w:lang w:eastAsia="zh-CN"/>
        </w:rPr>
        <w:t>的能力建设</w:t>
      </w:r>
      <w:r w:rsidR="005F5FAC">
        <w:rPr>
          <w:rStyle w:val="normaltextrun"/>
          <w:rFonts w:cs="Calibri" w:hint="eastAsia"/>
          <w:color w:val="000000"/>
          <w:shd w:val="clear" w:color="auto" w:fill="FFFFFF"/>
          <w:lang w:eastAsia="zh-CN"/>
        </w:rPr>
        <w:t>，</w:t>
      </w:r>
      <w:r w:rsidR="00E5776C">
        <w:rPr>
          <w:rStyle w:val="normaltextrun"/>
          <w:rFonts w:cs="Calibri" w:hint="eastAsia"/>
          <w:color w:val="000000"/>
          <w:shd w:val="clear" w:color="auto" w:fill="FFFFFF"/>
          <w:lang w:eastAsia="zh-CN"/>
        </w:rPr>
        <w:t>帮助政策制定者有效利用信息</w:t>
      </w:r>
      <w:r w:rsidR="00803338">
        <w:rPr>
          <w:rStyle w:val="normaltextrun"/>
          <w:rFonts w:cs="Calibri" w:hint="eastAsia"/>
          <w:color w:val="000000"/>
          <w:shd w:val="clear" w:color="auto" w:fill="FFFFFF"/>
          <w:lang w:eastAsia="zh-CN"/>
        </w:rPr>
        <w:t>制定政策</w:t>
      </w:r>
      <w:r w:rsidR="007E65AA">
        <w:rPr>
          <w:rStyle w:val="normaltextrun"/>
          <w:rFonts w:cs="Calibri" w:hint="eastAsia"/>
          <w:color w:val="000000"/>
          <w:shd w:val="clear" w:color="auto" w:fill="FFFFFF"/>
          <w:lang w:eastAsia="zh-CN"/>
        </w:rPr>
        <w:t>和</w:t>
      </w:r>
      <w:r w:rsidR="00803338">
        <w:rPr>
          <w:rStyle w:val="normaltextrun"/>
          <w:rFonts w:cs="Calibri" w:hint="eastAsia"/>
          <w:color w:val="000000"/>
          <w:shd w:val="clear" w:color="auto" w:fill="FFFFFF"/>
          <w:lang w:eastAsia="zh-CN"/>
        </w:rPr>
        <w:t>做出决策，以在国家和国际层面加强收集绿色</w:t>
      </w:r>
      <w:r w:rsidR="00803338">
        <w:rPr>
          <w:rStyle w:val="normaltextrun"/>
          <w:rFonts w:cs="Calibri" w:hint="eastAsia"/>
          <w:color w:val="000000"/>
          <w:shd w:val="clear" w:color="auto" w:fill="FFFFFF"/>
          <w:lang w:eastAsia="zh-CN"/>
        </w:rPr>
        <w:t>ICT</w:t>
      </w:r>
      <w:r w:rsidR="00803338">
        <w:rPr>
          <w:rStyle w:val="normaltextrun"/>
          <w:rFonts w:cs="Calibri" w:hint="eastAsia"/>
          <w:color w:val="000000"/>
          <w:shd w:val="clear" w:color="auto" w:fill="FFFFFF"/>
          <w:lang w:eastAsia="zh-CN"/>
        </w:rPr>
        <w:t>数据</w:t>
      </w:r>
      <w:r w:rsidR="00FC0AAA">
        <w:rPr>
          <w:rStyle w:val="normaltextrun"/>
          <w:rFonts w:cs="Calibri" w:hint="eastAsia"/>
          <w:color w:val="000000"/>
          <w:shd w:val="clear" w:color="auto" w:fill="FFFFFF"/>
          <w:lang w:eastAsia="zh-CN"/>
        </w:rPr>
        <w:t>。</w:t>
      </w:r>
      <w:r w:rsidR="00E0018A">
        <w:rPr>
          <w:rStyle w:val="normaltextrun"/>
          <w:rFonts w:cs="Calibri" w:hint="eastAsia"/>
          <w:color w:val="000000"/>
          <w:shd w:val="clear" w:color="auto" w:fill="FFFFFF"/>
          <w:lang w:eastAsia="zh-CN"/>
        </w:rPr>
        <w:t>为</w:t>
      </w:r>
      <w:r w:rsidR="007E65AA">
        <w:rPr>
          <w:rStyle w:val="normaltextrun"/>
          <w:rFonts w:cs="Calibri" w:hint="eastAsia"/>
          <w:color w:val="000000"/>
          <w:shd w:val="clear" w:color="auto" w:fill="FFFFFF"/>
          <w:lang w:eastAsia="zh-CN"/>
        </w:rPr>
        <w:t>期三年</w:t>
      </w:r>
      <w:r w:rsidR="00E0018A">
        <w:rPr>
          <w:rStyle w:val="normaltextrun"/>
          <w:rFonts w:cs="Calibri" w:hint="eastAsia"/>
          <w:color w:val="000000"/>
          <w:shd w:val="clear" w:color="auto" w:fill="FFFFFF"/>
          <w:lang w:eastAsia="zh-CN"/>
        </w:rPr>
        <w:t>的项目初期</w:t>
      </w:r>
      <w:r w:rsidR="00803338">
        <w:rPr>
          <w:rStyle w:val="normaltextrun"/>
          <w:rFonts w:cs="Calibri" w:hint="eastAsia"/>
          <w:color w:val="000000"/>
          <w:shd w:val="clear" w:color="auto" w:fill="FFFFFF"/>
          <w:lang w:eastAsia="zh-CN"/>
        </w:rPr>
        <w:t>预算</w:t>
      </w:r>
      <w:r w:rsidR="00E0018A">
        <w:rPr>
          <w:rStyle w:val="normaltextrun"/>
          <w:rFonts w:cs="Calibri" w:hint="eastAsia"/>
          <w:color w:val="000000"/>
          <w:shd w:val="clear" w:color="auto" w:fill="FFFFFF"/>
          <w:lang w:eastAsia="zh-CN"/>
        </w:rPr>
        <w:t>估计</w:t>
      </w:r>
      <w:r w:rsidR="00C30A68">
        <w:rPr>
          <w:rStyle w:val="normaltextrun"/>
          <w:rFonts w:cs="Calibri" w:hint="eastAsia"/>
          <w:color w:val="000000"/>
          <w:shd w:val="clear" w:color="auto" w:fill="FFFFFF"/>
          <w:lang w:eastAsia="zh-CN"/>
        </w:rPr>
        <w:t>为</w:t>
      </w:r>
      <w:r w:rsidR="00803338">
        <w:rPr>
          <w:rStyle w:val="normaltextrun"/>
          <w:rFonts w:cs="Calibri" w:hint="eastAsia"/>
          <w:color w:val="000000"/>
          <w:shd w:val="clear" w:color="auto" w:fill="FFFFFF"/>
          <w:lang w:eastAsia="zh-CN"/>
        </w:rPr>
        <w:t>130</w:t>
      </w:r>
      <w:r w:rsidR="00803338">
        <w:rPr>
          <w:rStyle w:val="normaltextrun"/>
          <w:rFonts w:cs="Calibri" w:hint="eastAsia"/>
          <w:color w:val="000000"/>
          <w:shd w:val="clear" w:color="auto" w:fill="FFFFFF"/>
          <w:lang w:eastAsia="zh-CN"/>
        </w:rPr>
        <w:t>万美元。</w:t>
      </w:r>
    </w:p>
    <w:p w14:paraId="3BB9911D" w14:textId="6C652C0C" w:rsidR="00CE59F1" w:rsidRPr="00E524E5" w:rsidRDefault="00CB5115" w:rsidP="00E524E5">
      <w:pPr>
        <w:pStyle w:val="Headingb"/>
        <w:rPr>
          <w:u w:val="single"/>
          <w:lang w:eastAsia="zh-CN"/>
        </w:rPr>
      </w:pPr>
      <w:r w:rsidRPr="00E524E5">
        <w:rPr>
          <w:rFonts w:hint="eastAsia"/>
          <w:u w:val="single"/>
          <w:lang w:eastAsia="zh-CN"/>
        </w:rPr>
        <w:t>绿色运作</w:t>
      </w:r>
    </w:p>
    <w:p w14:paraId="5900CA78" w14:textId="2A597681" w:rsidR="00CE59F1" w:rsidRPr="009F47B3" w:rsidRDefault="007450F4" w:rsidP="00E524E5">
      <w:pPr>
        <w:ind w:firstLineChars="200" w:firstLine="480"/>
        <w:rPr>
          <w:lang w:eastAsia="zh-CN"/>
        </w:rPr>
      </w:pPr>
      <w:r>
        <w:rPr>
          <w:rFonts w:hint="eastAsia"/>
          <w:lang w:eastAsia="zh-CN"/>
        </w:rPr>
        <w:t>国际电联继续实施联合国系统行政首长协调理事会（</w:t>
      </w:r>
      <w:r>
        <w:rPr>
          <w:rFonts w:hint="eastAsia"/>
          <w:lang w:eastAsia="zh-CN"/>
        </w:rPr>
        <w:t>CEB</w:t>
      </w:r>
      <w:r>
        <w:rPr>
          <w:rFonts w:hint="eastAsia"/>
          <w:lang w:eastAsia="zh-CN"/>
        </w:rPr>
        <w:t>）通过的</w:t>
      </w:r>
      <w:r>
        <w:rPr>
          <w:rFonts w:hint="eastAsia"/>
          <w:lang w:eastAsia="zh-CN"/>
        </w:rPr>
        <w:t>2020-2030</w:t>
      </w:r>
      <w:r>
        <w:rPr>
          <w:rFonts w:hint="eastAsia"/>
          <w:lang w:eastAsia="zh-CN"/>
        </w:rPr>
        <w:t>年联合国系统可持续管理战略。</w:t>
      </w:r>
      <w:r w:rsidR="007D6E94">
        <w:rPr>
          <w:rFonts w:hint="eastAsia"/>
          <w:lang w:eastAsia="zh-CN"/>
        </w:rPr>
        <w:t>根据联合国环境规划署（</w:t>
      </w:r>
      <w:r w:rsidR="007D6E94">
        <w:rPr>
          <w:rFonts w:hint="eastAsia"/>
          <w:lang w:eastAsia="zh-CN"/>
        </w:rPr>
        <w:t>UNEP</w:t>
      </w:r>
      <w:r w:rsidR="007D6E94">
        <w:rPr>
          <w:rFonts w:hint="eastAsia"/>
          <w:lang w:eastAsia="zh-CN"/>
        </w:rPr>
        <w:t>）的年度环境治理调查，国际电联目前</w:t>
      </w:r>
      <w:r w:rsidR="006E6558">
        <w:rPr>
          <w:rFonts w:hint="eastAsia"/>
          <w:lang w:eastAsia="zh-CN"/>
        </w:rPr>
        <w:t>已</w:t>
      </w:r>
      <w:r w:rsidR="00AE0F87">
        <w:rPr>
          <w:rFonts w:hint="eastAsia"/>
          <w:lang w:eastAsia="zh-CN"/>
        </w:rPr>
        <w:t>经</w:t>
      </w:r>
      <w:r w:rsidR="006E6558">
        <w:rPr>
          <w:rFonts w:ascii="STKaiti" w:eastAsia="STKaiti" w:hAnsi="STKaiti" w:hint="eastAsia"/>
          <w:lang w:eastAsia="zh-CN"/>
        </w:rPr>
        <w:t>接近</w:t>
      </w:r>
      <w:r w:rsidR="007D6E94">
        <w:rPr>
          <w:rFonts w:hint="eastAsia"/>
          <w:lang w:eastAsia="zh-CN"/>
        </w:rPr>
        <w:t>环境管理系统（</w:t>
      </w:r>
      <w:r w:rsidR="007D6E94">
        <w:rPr>
          <w:rFonts w:hint="eastAsia"/>
          <w:lang w:eastAsia="zh-CN"/>
        </w:rPr>
        <w:t>EMS</w:t>
      </w:r>
      <w:r w:rsidR="007D6E94">
        <w:rPr>
          <w:rFonts w:hint="eastAsia"/>
          <w:lang w:eastAsia="zh-CN"/>
        </w:rPr>
        <w:t>）的标准。</w:t>
      </w:r>
      <w:r w:rsidR="002A3CE6">
        <w:rPr>
          <w:rFonts w:hint="eastAsia"/>
          <w:lang w:eastAsia="zh-CN"/>
        </w:rPr>
        <w:t>为了充分满足到</w:t>
      </w:r>
      <w:r w:rsidR="002A3CE6">
        <w:rPr>
          <w:rFonts w:hint="eastAsia"/>
          <w:lang w:eastAsia="zh-CN"/>
        </w:rPr>
        <w:t>2025</w:t>
      </w:r>
      <w:r w:rsidR="002A3CE6">
        <w:rPr>
          <w:rFonts w:hint="eastAsia"/>
          <w:lang w:eastAsia="zh-CN"/>
        </w:rPr>
        <w:t>年</w:t>
      </w:r>
      <w:r w:rsidR="006E6558">
        <w:rPr>
          <w:rFonts w:hint="eastAsia"/>
          <w:lang w:eastAsia="zh-CN"/>
        </w:rPr>
        <w:t>开发并实施</w:t>
      </w:r>
      <w:r w:rsidR="006E6558">
        <w:rPr>
          <w:rFonts w:hint="eastAsia"/>
          <w:lang w:eastAsia="zh-CN"/>
        </w:rPr>
        <w:t>EMS</w:t>
      </w:r>
      <w:r w:rsidR="002A3CE6">
        <w:rPr>
          <w:rFonts w:hint="eastAsia"/>
          <w:lang w:eastAsia="zh-CN"/>
        </w:rPr>
        <w:t>的联合国一致目标</w:t>
      </w:r>
      <w:r w:rsidR="000D3A41">
        <w:rPr>
          <w:rFonts w:hint="eastAsia"/>
          <w:lang w:eastAsia="zh-CN"/>
        </w:rPr>
        <w:t>的</w:t>
      </w:r>
      <w:r w:rsidR="002A3CE6">
        <w:rPr>
          <w:rFonts w:hint="eastAsia"/>
          <w:lang w:eastAsia="zh-CN"/>
        </w:rPr>
        <w:t>要求</w:t>
      </w:r>
      <w:r w:rsidR="006E6558">
        <w:rPr>
          <w:rFonts w:hint="eastAsia"/>
          <w:lang w:eastAsia="zh-CN"/>
        </w:rPr>
        <w:t>，环境影响</w:t>
      </w:r>
      <w:r w:rsidR="002A3CE6">
        <w:rPr>
          <w:rFonts w:hint="eastAsia"/>
          <w:lang w:eastAsia="zh-CN"/>
        </w:rPr>
        <w:t>及国际电</w:t>
      </w:r>
      <w:proofErr w:type="gramStart"/>
      <w:r w:rsidR="002A3CE6">
        <w:rPr>
          <w:rFonts w:hint="eastAsia"/>
          <w:lang w:eastAsia="zh-CN"/>
        </w:rPr>
        <w:t>联重要</w:t>
      </w:r>
      <w:proofErr w:type="gramEnd"/>
      <w:r w:rsidR="002A3CE6">
        <w:rPr>
          <w:rFonts w:hint="eastAsia"/>
          <w:lang w:eastAsia="zh-CN"/>
        </w:rPr>
        <w:t>环境方面的风险管理应纳入运作控制和程序（如采购、差旅、设施管理和信息服务等）</w:t>
      </w:r>
      <w:r w:rsidR="00FD6EA2">
        <w:rPr>
          <w:rFonts w:hint="eastAsia"/>
          <w:lang w:eastAsia="zh-CN"/>
        </w:rPr>
        <w:t>。</w:t>
      </w:r>
    </w:p>
    <w:p w14:paraId="24FB41A6" w14:textId="1AB826A5" w:rsidR="00AE195F" w:rsidRDefault="00C50521" w:rsidP="00E524E5">
      <w:pPr>
        <w:ind w:firstLineChars="200" w:firstLine="480"/>
        <w:rPr>
          <w:rFonts w:eastAsiaTheme="minorEastAsia" w:cs="Calibri"/>
          <w:lang w:eastAsia="zh-CN"/>
        </w:rPr>
      </w:pPr>
      <w:r>
        <w:rPr>
          <w:rFonts w:hint="eastAsia"/>
          <w:lang w:eastAsia="zh-CN"/>
        </w:rPr>
        <w:t>根据</w:t>
      </w:r>
      <w:hyperlink r:id="rId21" w:history="1">
        <w:r w:rsidRPr="00C50521">
          <w:rPr>
            <w:rStyle w:val="Hyperlink"/>
            <w:lang w:eastAsia="zh-CN"/>
          </w:rPr>
          <w:t>《</w:t>
        </w:r>
        <w:r w:rsidRPr="00C50521">
          <w:rPr>
            <w:rStyle w:val="Hyperlink"/>
            <w:rFonts w:hint="eastAsia"/>
            <w:lang w:eastAsia="zh-CN"/>
          </w:rPr>
          <w:t>2023</w:t>
        </w:r>
        <w:r w:rsidRPr="00C50521">
          <w:rPr>
            <w:rStyle w:val="Hyperlink"/>
            <w:lang w:eastAsia="zh-CN"/>
          </w:rPr>
          <w:t>年</w:t>
        </w:r>
        <w:r w:rsidRPr="00C50521">
          <w:rPr>
            <w:rStyle w:val="Hyperlink"/>
            <w:rFonts w:hint="eastAsia"/>
            <w:lang w:eastAsia="zh-CN"/>
          </w:rPr>
          <w:t>绿</w:t>
        </w:r>
        <w:r>
          <w:rPr>
            <w:rStyle w:val="Hyperlink"/>
            <w:rFonts w:hint="eastAsia"/>
            <w:lang w:eastAsia="zh-CN"/>
          </w:rPr>
          <w:t>色</w:t>
        </w:r>
        <w:r w:rsidRPr="00C50521">
          <w:rPr>
            <w:rStyle w:val="Hyperlink"/>
            <w:rFonts w:hint="eastAsia"/>
            <w:lang w:eastAsia="zh-CN"/>
          </w:rPr>
          <w:t>地球报告</w:t>
        </w:r>
        <w:r w:rsidRPr="00C50521">
          <w:rPr>
            <w:rStyle w:val="Hyperlink"/>
            <w:lang w:eastAsia="zh-CN"/>
          </w:rPr>
          <w:t>》</w:t>
        </w:r>
      </w:hyperlink>
      <w:r>
        <w:rPr>
          <w:rFonts w:hint="eastAsia"/>
          <w:lang w:eastAsia="zh-CN"/>
        </w:rPr>
        <w:t>，国际电联的二氧化碳排放量从</w:t>
      </w:r>
      <w:r>
        <w:rPr>
          <w:rFonts w:hint="eastAsia"/>
          <w:lang w:eastAsia="zh-CN"/>
        </w:rPr>
        <w:t>2021</w:t>
      </w:r>
      <w:r>
        <w:rPr>
          <w:rFonts w:hint="eastAsia"/>
          <w:lang w:eastAsia="zh-CN"/>
        </w:rPr>
        <w:t>年的</w:t>
      </w:r>
      <w:r>
        <w:rPr>
          <w:rFonts w:hint="eastAsia"/>
          <w:lang w:eastAsia="zh-CN"/>
        </w:rPr>
        <w:t>1674</w:t>
      </w:r>
      <w:r>
        <w:rPr>
          <w:rFonts w:hint="eastAsia"/>
          <w:lang w:eastAsia="zh-CN"/>
        </w:rPr>
        <w:t>吨增至</w:t>
      </w:r>
      <w:r>
        <w:rPr>
          <w:rFonts w:hint="eastAsia"/>
          <w:lang w:eastAsia="zh-CN"/>
        </w:rPr>
        <w:t>2022</w:t>
      </w:r>
      <w:r>
        <w:rPr>
          <w:rFonts w:hint="eastAsia"/>
          <w:lang w:eastAsia="zh-CN"/>
        </w:rPr>
        <w:t>年的</w:t>
      </w:r>
      <w:r>
        <w:rPr>
          <w:rFonts w:hint="eastAsia"/>
          <w:lang w:eastAsia="zh-CN"/>
        </w:rPr>
        <w:t>1969</w:t>
      </w:r>
      <w:r>
        <w:rPr>
          <w:rFonts w:hint="eastAsia"/>
          <w:lang w:eastAsia="zh-CN"/>
        </w:rPr>
        <w:t>吨。这主要是</w:t>
      </w:r>
      <w:r w:rsidR="000D3A41">
        <w:rPr>
          <w:rFonts w:hint="eastAsia"/>
          <w:lang w:eastAsia="zh-CN"/>
        </w:rPr>
        <w:t>因为</w:t>
      </w:r>
      <w:r w:rsidRPr="00C50521">
        <w:rPr>
          <w:lang w:eastAsia="zh-CN"/>
        </w:rPr>
        <w:t>Covid-19</w:t>
      </w:r>
      <w:r>
        <w:rPr>
          <w:rFonts w:hint="eastAsia"/>
          <w:lang w:eastAsia="zh-CN"/>
        </w:rPr>
        <w:t>大</w:t>
      </w:r>
      <w:proofErr w:type="gramStart"/>
      <w:r>
        <w:rPr>
          <w:rFonts w:hint="eastAsia"/>
          <w:lang w:eastAsia="zh-CN"/>
        </w:rPr>
        <w:t>流行</w:t>
      </w:r>
      <w:r w:rsidR="000D3A41">
        <w:rPr>
          <w:rFonts w:hint="eastAsia"/>
          <w:lang w:eastAsia="zh-CN"/>
        </w:rPr>
        <w:t>结束</w:t>
      </w:r>
      <w:proofErr w:type="gramEnd"/>
      <w:r>
        <w:rPr>
          <w:rFonts w:hint="eastAsia"/>
          <w:lang w:eastAsia="zh-CN"/>
        </w:rPr>
        <w:t>后公务差旅增多。</w:t>
      </w:r>
      <w:r w:rsidR="000D3A41">
        <w:rPr>
          <w:rFonts w:hint="eastAsia"/>
          <w:lang w:eastAsia="zh-CN"/>
        </w:rPr>
        <w:t>目前</w:t>
      </w:r>
      <w:r w:rsidR="00DF5D46">
        <w:rPr>
          <w:rFonts w:hint="eastAsia"/>
          <w:lang w:eastAsia="zh-CN"/>
        </w:rPr>
        <w:t>，</w:t>
      </w:r>
      <w:r w:rsidR="004E4E06">
        <w:rPr>
          <w:rFonts w:hint="eastAsia"/>
          <w:lang w:eastAsia="zh-CN"/>
        </w:rPr>
        <w:t>代表差旅不</w:t>
      </w:r>
      <w:r w:rsidR="004D40BE">
        <w:rPr>
          <w:rFonts w:hint="eastAsia"/>
          <w:lang w:eastAsia="zh-CN"/>
        </w:rPr>
        <w:t>包含在</w:t>
      </w:r>
      <w:r w:rsidR="004E4E06">
        <w:rPr>
          <w:rFonts w:hint="eastAsia"/>
          <w:lang w:eastAsia="zh-CN"/>
        </w:rPr>
        <w:t>国际电联的年度</w:t>
      </w:r>
      <w:r w:rsidR="004E4E06">
        <w:rPr>
          <w:rFonts w:hint="eastAsia"/>
          <w:lang w:eastAsia="zh-CN"/>
        </w:rPr>
        <w:t>GHG</w:t>
      </w:r>
      <w:r w:rsidR="000D3A41">
        <w:rPr>
          <w:rFonts w:hint="eastAsia"/>
          <w:lang w:eastAsia="zh-CN"/>
        </w:rPr>
        <w:t>中</w:t>
      </w:r>
      <w:r w:rsidR="004E4E06">
        <w:rPr>
          <w:rFonts w:hint="eastAsia"/>
          <w:lang w:eastAsia="zh-CN"/>
        </w:rPr>
        <w:t>，</w:t>
      </w:r>
      <w:r w:rsidR="00E0018A">
        <w:rPr>
          <w:rFonts w:hint="eastAsia"/>
          <w:lang w:eastAsia="zh-CN"/>
        </w:rPr>
        <w:t>仅将</w:t>
      </w:r>
      <w:r w:rsidR="004E4E06">
        <w:rPr>
          <w:rFonts w:hint="eastAsia"/>
          <w:lang w:eastAsia="zh-CN"/>
        </w:rPr>
        <w:t>全权代表大会（</w:t>
      </w:r>
      <w:r w:rsidR="004E4E06">
        <w:rPr>
          <w:rFonts w:hint="eastAsia"/>
          <w:lang w:eastAsia="zh-CN"/>
        </w:rPr>
        <w:t>2022</w:t>
      </w:r>
      <w:r w:rsidR="004E4E06">
        <w:rPr>
          <w:rFonts w:hint="eastAsia"/>
          <w:lang w:eastAsia="zh-CN"/>
        </w:rPr>
        <w:t>年，布加勒斯特）的</w:t>
      </w:r>
      <w:r w:rsidR="009A30D0">
        <w:rPr>
          <w:rFonts w:hint="eastAsia"/>
          <w:lang w:eastAsia="zh-CN"/>
        </w:rPr>
        <w:t>代表</w:t>
      </w:r>
      <w:r w:rsidR="004E4E06">
        <w:rPr>
          <w:rFonts w:hint="eastAsia"/>
          <w:lang w:eastAsia="zh-CN"/>
        </w:rPr>
        <w:t>差旅</w:t>
      </w:r>
      <w:r w:rsidR="00E0018A">
        <w:rPr>
          <w:rFonts w:hint="eastAsia"/>
          <w:lang w:eastAsia="zh-CN"/>
        </w:rPr>
        <w:t>包含在内</w:t>
      </w:r>
      <w:r w:rsidR="004E4E06">
        <w:rPr>
          <w:rFonts w:hint="eastAsia"/>
          <w:lang w:eastAsia="zh-CN"/>
        </w:rPr>
        <w:t>，</w:t>
      </w:r>
      <w:r w:rsidR="009A30D0">
        <w:rPr>
          <w:rFonts w:hint="eastAsia"/>
          <w:lang w:eastAsia="zh-CN"/>
        </w:rPr>
        <w:t>二氧化碳排放量</w:t>
      </w:r>
      <w:r w:rsidR="004D40BE">
        <w:rPr>
          <w:rFonts w:hint="eastAsia"/>
          <w:lang w:eastAsia="zh-CN"/>
        </w:rPr>
        <w:t>就</w:t>
      </w:r>
      <w:r w:rsidR="007C53E3">
        <w:rPr>
          <w:rFonts w:hint="eastAsia"/>
          <w:lang w:eastAsia="zh-CN"/>
        </w:rPr>
        <w:t>将</w:t>
      </w:r>
      <w:r w:rsidR="009A30D0">
        <w:rPr>
          <w:rFonts w:hint="eastAsia"/>
          <w:lang w:eastAsia="zh-CN"/>
        </w:rPr>
        <w:t>至少翻倍。</w:t>
      </w:r>
      <w:r w:rsidR="00902B1F">
        <w:rPr>
          <w:rFonts w:hint="eastAsia"/>
          <w:lang w:eastAsia="zh-CN"/>
        </w:rPr>
        <w:t>国际电联管理层正在考虑</w:t>
      </w:r>
      <w:r w:rsidR="004D40BE">
        <w:rPr>
          <w:rFonts w:hint="eastAsia"/>
          <w:lang w:eastAsia="zh-CN"/>
        </w:rPr>
        <w:t>采纳</w:t>
      </w:r>
      <w:r w:rsidR="00902B1F" w:rsidRPr="00902B1F">
        <w:rPr>
          <w:rFonts w:ascii="STKaiti" w:eastAsia="STKaiti" w:hAnsi="STKaiti" w:hint="eastAsia"/>
          <w:lang w:eastAsia="zh-CN"/>
        </w:rPr>
        <w:t>支持</w:t>
      </w:r>
      <w:r w:rsidR="009A30D0">
        <w:rPr>
          <w:rFonts w:ascii="STKaiti" w:eastAsia="STKaiti" w:hAnsi="STKaiti" w:hint="eastAsia"/>
          <w:lang w:eastAsia="zh-CN"/>
        </w:rPr>
        <w:t>在</w:t>
      </w:r>
      <w:r w:rsidR="00902B1F" w:rsidRPr="00902B1F">
        <w:rPr>
          <w:rFonts w:ascii="STKaiti" w:eastAsia="STKaiti" w:hAnsi="STKaiti" w:hint="eastAsia"/>
          <w:lang w:eastAsia="zh-CN"/>
        </w:rPr>
        <w:t>联合国系统</w:t>
      </w:r>
      <w:r w:rsidR="004D40BE">
        <w:rPr>
          <w:rFonts w:ascii="STKaiti" w:eastAsia="STKaiti" w:hAnsi="STKaiti" w:hint="eastAsia"/>
          <w:lang w:eastAsia="zh-CN"/>
        </w:rPr>
        <w:t>中</w:t>
      </w:r>
      <w:r w:rsidR="00902B1F">
        <w:rPr>
          <w:rFonts w:ascii="STKaiti" w:eastAsia="STKaiti" w:hAnsi="STKaiti" w:hint="eastAsia"/>
          <w:lang w:eastAsia="zh-CN"/>
        </w:rPr>
        <w:t>减少空中差旅</w:t>
      </w:r>
      <w:r w:rsidR="00902B1F" w:rsidRPr="008C7354">
        <w:rPr>
          <w:rFonts w:eastAsia="STKaiti" w:cs="Calibri"/>
          <w:lang w:eastAsia="zh-CN"/>
        </w:rPr>
        <w:t>GHG</w:t>
      </w:r>
      <w:r w:rsidR="00902B1F">
        <w:rPr>
          <w:rFonts w:ascii="STKaiti" w:eastAsia="STKaiti" w:hAnsi="STKaiti" w:hint="eastAsia"/>
          <w:lang w:eastAsia="zh-CN"/>
        </w:rPr>
        <w:t>排放的</w:t>
      </w:r>
      <w:r w:rsidR="00902B1F" w:rsidRPr="00902B1F">
        <w:rPr>
          <w:rFonts w:ascii="STKaiti" w:eastAsia="STKaiti" w:hAnsi="STKaiti" w:hint="eastAsia"/>
          <w:lang w:eastAsia="zh-CN"/>
        </w:rPr>
        <w:t>联合国实体绿色地球差旅</w:t>
      </w:r>
      <w:r w:rsidR="00C669D1">
        <w:rPr>
          <w:rFonts w:ascii="STKaiti" w:eastAsia="STKaiti" w:hAnsi="STKaiti" w:hint="eastAsia"/>
          <w:lang w:eastAsia="zh-CN"/>
        </w:rPr>
        <w:t>任务组</w:t>
      </w:r>
      <w:r w:rsidR="00902B1F">
        <w:rPr>
          <w:rFonts w:hint="eastAsia"/>
          <w:lang w:eastAsia="zh-CN"/>
        </w:rPr>
        <w:t>的建议。</w:t>
      </w:r>
    </w:p>
    <w:p w14:paraId="270E77D3" w14:textId="77777777" w:rsidR="00172566" w:rsidRDefault="00172566">
      <w:pPr>
        <w:jc w:val="center"/>
      </w:pPr>
      <w:r>
        <w:t>______________</w:t>
      </w:r>
    </w:p>
    <w:sectPr w:rsidR="00172566" w:rsidSect="00C65CC1">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156A" w14:textId="77777777" w:rsidR="00C65CC1" w:rsidRDefault="00C65CC1">
      <w:r>
        <w:separator/>
      </w:r>
    </w:p>
  </w:endnote>
  <w:endnote w:type="continuationSeparator" w:id="0">
    <w:p w14:paraId="4AF94D32" w14:textId="77777777" w:rsidR="00C65CC1" w:rsidRDefault="00C6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TKaiti">
    <w:altName w:val="华文楷体"/>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8AAC2CC" w14:textId="77777777" w:rsidTr="00E31DCE">
      <w:trPr>
        <w:jc w:val="center"/>
      </w:trPr>
      <w:tc>
        <w:tcPr>
          <w:tcW w:w="1803" w:type="dxa"/>
          <w:vAlign w:val="center"/>
        </w:tcPr>
        <w:p w14:paraId="576D4A22" w14:textId="57F70545" w:rsidR="00E24D59" w:rsidRDefault="00E24D59" w:rsidP="00E24D59">
          <w:pPr>
            <w:pStyle w:val="Header"/>
            <w:jc w:val="left"/>
            <w:rPr>
              <w:noProof/>
            </w:rPr>
          </w:pPr>
        </w:p>
      </w:tc>
      <w:tc>
        <w:tcPr>
          <w:tcW w:w="8261" w:type="dxa"/>
        </w:tcPr>
        <w:p w14:paraId="16C1ECEB" w14:textId="14C1556D"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CE59F1">
            <w:rPr>
              <w:rFonts w:eastAsiaTheme="minorEastAsia" w:hint="eastAsia"/>
              <w:bCs/>
              <w:lang w:eastAsia="zh-CN"/>
            </w:rPr>
            <w:t>72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9FFD444"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9DCF198" w14:textId="77777777" w:rsidTr="00E31DCE">
      <w:trPr>
        <w:jc w:val="center"/>
      </w:trPr>
      <w:tc>
        <w:tcPr>
          <w:tcW w:w="1803" w:type="dxa"/>
          <w:vAlign w:val="center"/>
        </w:tcPr>
        <w:p w14:paraId="54AA6421" w14:textId="77777777" w:rsidR="00E24D59" w:rsidRDefault="00E24D59" w:rsidP="00E24D59">
          <w:pPr>
            <w:pStyle w:val="Header"/>
            <w:jc w:val="left"/>
            <w:rPr>
              <w:noProof/>
            </w:rPr>
          </w:pPr>
          <w:r w:rsidRPr="00B93453">
            <w:rPr>
              <w:color w:val="0563C1"/>
              <w:szCs w:val="14"/>
            </w:rPr>
            <w:t>www.itu.int/council</w:t>
          </w:r>
        </w:p>
      </w:tc>
      <w:tc>
        <w:tcPr>
          <w:tcW w:w="8261" w:type="dxa"/>
        </w:tcPr>
        <w:p w14:paraId="27D0370F" w14:textId="3A43E19A"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CE59F1">
            <w:rPr>
              <w:rFonts w:eastAsiaTheme="minorEastAsia" w:hint="eastAsia"/>
              <w:bCs/>
              <w:lang w:eastAsia="zh-CN"/>
            </w:rPr>
            <w:t>72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C2D486F"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394C" w14:textId="77777777" w:rsidR="00C65CC1" w:rsidRDefault="00C65CC1">
      <w:r>
        <w:t>____________________</w:t>
      </w:r>
    </w:p>
  </w:footnote>
  <w:footnote w:type="continuationSeparator" w:id="0">
    <w:p w14:paraId="69DEF120" w14:textId="77777777" w:rsidR="00C65CC1" w:rsidRDefault="00C65CC1">
      <w:r>
        <w:continuationSeparator/>
      </w:r>
    </w:p>
  </w:footnote>
  <w:footnote w:id="1">
    <w:p w14:paraId="45A92FE7" w14:textId="0FB42D5A" w:rsidR="00CE59F1" w:rsidRPr="0025787D" w:rsidRDefault="00CE59F1" w:rsidP="00CE59F1">
      <w:pPr>
        <w:pStyle w:val="FootnoteText"/>
        <w:rPr>
          <w:lang w:eastAsia="zh-CN"/>
        </w:rPr>
      </w:pPr>
      <w:r>
        <w:rPr>
          <w:rStyle w:val="FootnoteReference"/>
        </w:rPr>
        <w:footnoteRef/>
      </w:r>
      <w:r w:rsidRPr="003C0F00">
        <w:rPr>
          <w:lang w:eastAsia="zh-CN"/>
        </w:rPr>
        <w:tab/>
      </w:r>
      <w:r w:rsidR="00697E0A">
        <w:rPr>
          <w:rFonts w:hint="eastAsia"/>
          <w:sz w:val="20"/>
          <w:lang w:eastAsia="zh-CN"/>
        </w:rPr>
        <w:t>国际电联和联合国训练研究所（</w:t>
      </w:r>
      <w:r w:rsidR="00697E0A" w:rsidRPr="003C0F00">
        <w:rPr>
          <w:sz w:val="20"/>
          <w:lang w:eastAsia="zh-CN"/>
        </w:rPr>
        <w:t>UNITAR</w:t>
      </w:r>
      <w:r w:rsidR="00697E0A">
        <w:rPr>
          <w:rFonts w:hint="eastAsia"/>
          <w:sz w:val="20"/>
          <w:lang w:eastAsia="zh-CN"/>
        </w:rPr>
        <w:t>），</w:t>
      </w:r>
      <w:r w:rsidR="00697E0A">
        <w:rPr>
          <w:rFonts w:hint="eastAsia"/>
          <w:sz w:val="20"/>
          <w:lang w:eastAsia="zh-CN"/>
        </w:rPr>
        <w:t>2024</w:t>
      </w:r>
      <w:r w:rsidR="00697E0A">
        <w:rPr>
          <w:rFonts w:hint="eastAsia"/>
          <w:sz w:val="20"/>
          <w:lang w:eastAsia="zh-CN"/>
        </w:rPr>
        <w:t>年，《</w:t>
      </w:r>
      <w:r w:rsidR="00697E0A">
        <w:rPr>
          <w:rFonts w:hint="eastAsia"/>
          <w:sz w:val="20"/>
          <w:lang w:eastAsia="zh-CN"/>
        </w:rPr>
        <w:t>2024</w:t>
      </w:r>
      <w:r w:rsidR="00697E0A">
        <w:rPr>
          <w:rFonts w:hint="eastAsia"/>
          <w:sz w:val="20"/>
          <w:lang w:eastAsia="zh-CN"/>
        </w:rPr>
        <w:t>年全球电子废弃物监测报告》</w:t>
      </w:r>
    </w:p>
  </w:footnote>
  <w:footnote w:id="2">
    <w:p w14:paraId="069F9420" w14:textId="78486E77" w:rsidR="00CE59F1" w:rsidRPr="00A6170F" w:rsidRDefault="00CE59F1" w:rsidP="00CE59F1">
      <w:pPr>
        <w:pStyle w:val="FootnoteText"/>
        <w:spacing w:before="40"/>
        <w:rPr>
          <w:lang w:eastAsia="zh-CN"/>
        </w:rPr>
      </w:pPr>
      <w:r>
        <w:rPr>
          <w:rStyle w:val="FootnoteReference"/>
        </w:rPr>
        <w:footnoteRef/>
      </w:r>
      <w:r w:rsidR="008D6C13">
        <w:rPr>
          <w:lang w:eastAsia="zh-CN"/>
        </w:rPr>
        <w:tab/>
      </w:r>
      <w:r w:rsidR="00182E5B">
        <w:rPr>
          <w:rFonts w:hint="eastAsia"/>
          <w:sz w:val="20"/>
          <w:lang w:eastAsia="zh-CN"/>
        </w:rPr>
        <w:t>世界银行，</w:t>
      </w:r>
      <w:r w:rsidR="00182E5B">
        <w:rPr>
          <w:rFonts w:hint="eastAsia"/>
          <w:sz w:val="20"/>
          <w:lang w:eastAsia="zh-CN"/>
        </w:rPr>
        <w:t>2023</w:t>
      </w:r>
      <w:r w:rsidR="00182E5B">
        <w:rPr>
          <w:rFonts w:hint="eastAsia"/>
          <w:sz w:val="20"/>
          <w:lang w:eastAsia="zh-CN"/>
        </w:rPr>
        <w:t>年，《绿色数字化转型：</w:t>
      </w:r>
      <w:r w:rsidR="00663467">
        <w:rPr>
          <w:rFonts w:hint="eastAsia"/>
          <w:sz w:val="20"/>
          <w:lang w:eastAsia="zh-CN"/>
        </w:rPr>
        <w:t>如何可持续地</w:t>
      </w:r>
      <w:r w:rsidR="001360D4">
        <w:rPr>
          <w:rFonts w:hint="eastAsia"/>
          <w:sz w:val="20"/>
          <w:lang w:eastAsia="zh-CN"/>
        </w:rPr>
        <w:t>缩小</w:t>
      </w:r>
      <w:r w:rsidR="00663467">
        <w:rPr>
          <w:rFonts w:hint="eastAsia"/>
          <w:sz w:val="20"/>
          <w:lang w:eastAsia="zh-CN"/>
        </w:rPr>
        <w:t>数字</w:t>
      </w:r>
      <w:r w:rsidR="001360D4">
        <w:rPr>
          <w:rFonts w:hint="eastAsia"/>
          <w:sz w:val="20"/>
          <w:lang w:eastAsia="zh-CN"/>
        </w:rPr>
        <w:t>鸿沟并</w:t>
      </w:r>
      <w:r w:rsidR="00663467">
        <w:rPr>
          <w:rFonts w:hint="eastAsia"/>
          <w:sz w:val="20"/>
          <w:lang w:eastAsia="zh-CN"/>
        </w:rPr>
        <w:t>利用数字工具</w:t>
      </w:r>
      <w:r w:rsidR="001360D4">
        <w:rPr>
          <w:rFonts w:hint="eastAsia"/>
          <w:sz w:val="20"/>
          <w:lang w:eastAsia="zh-CN"/>
        </w:rPr>
        <w:t>促进</w:t>
      </w:r>
      <w:r w:rsidR="00663467">
        <w:rPr>
          <w:rFonts w:hint="eastAsia"/>
          <w:sz w:val="20"/>
          <w:lang w:eastAsia="zh-CN"/>
        </w:rPr>
        <w:t>气候行动》</w:t>
      </w:r>
    </w:p>
  </w:footnote>
  <w:footnote w:id="3">
    <w:p w14:paraId="330255FC" w14:textId="0DC2B1F6" w:rsidR="00CE59F1" w:rsidRPr="00B74FA7" w:rsidRDefault="00CE59F1" w:rsidP="00CE59F1">
      <w:pPr>
        <w:pStyle w:val="FootnoteText"/>
        <w:spacing w:before="40"/>
        <w:rPr>
          <w:lang w:eastAsia="zh-CN"/>
        </w:rPr>
      </w:pPr>
      <w:r>
        <w:rPr>
          <w:rStyle w:val="FootnoteReference"/>
        </w:rPr>
        <w:footnoteRef/>
      </w:r>
      <w:r w:rsidRPr="003C0F00">
        <w:rPr>
          <w:lang w:eastAsia="zh-CN"/>
        </w:rPr>
        <w:tab/>
      </w:r>
      <w:r w:rsidR="001360D4">
        <w:rPr>
          <w:rFonts w:hint="eastAsia"/>
          <w:sz w:val="20"/>
          <w:lang w:eastAsia="zh-CN"/>
        </w:rPr>
        <w:t>世界银行和国际电联，</w:t>
      </w:r>
      <w:r w:rsidR="001360D4">
        <w:rPr>
          <w:rFonts w:hint="eastAsia"/>
          <w:sz w:val="20"/>
          <w:lang w:eastAsia="zh-CN"/>
        </w:rPr>
        <w:t>2024</w:t>
      </w:r>
      <w:r w:rsidR="001360D4">
        <w:rPr>
          <w:rFonts w:hint="eastAsia"/>
          <w:sz w:val="20"/>
          <w:lang w:eastAsia="zh-CN"/>
        </w:rPr>
        <w:t>年，《</w:t>
      </w:r>
      <w:r w:rsidR="001360D4" w:rsidRPr="001360D4">
        <w:rPr>
          <w:rFonts w:hint="eastAsia"/>
          <w:sz w:val="20"/>
          <w:lang w:eastAsia="zh-CN"/>
        </w:rPr>
        <w:t>衡量</w:t>
      </w:r>
      <w:r w:rsidR="001360D4" w:rsidRPr="001360D4">
        <w:rPr>
          <w:rFonts w:hint="eastAsia"/>
          <w:sz w:val="20"/>
          <w:lang w:eastAsia="zh-CN"/>
        </w:rPr>
        <w:t>ICT</w:t>
      </w:r>
      <w:r w:rsidR="001360D4" w:rsidRPr="001360D4">
        <w:rPr>
          <w:rFonts w:hint="eastAsia"/>
          <w:sz w:val="20"/>
          <w:lang w:eastAsia="zh-CN"/>
        </w:rPr>
        <w:t>行业的排放和能源足迹：对气候行动的影响</w:t>
      </w:r>
      <w:r w:rsidR="001360D4">
        <w:rPr>
          <w:rFonts w:hint="eastAsia"/>
          <w:sz w:val="20"/>
          <w:lang w:eastAsia="zh-CN"/>
        </w:rPr>
        <w:t>》</w:t>
      </w:r>
    </w:p>
  </w:footnote>
  <w:footnote w:id="4">
    <w:p w14:paraId="7BA96D86" w14:textId="3752D1B8" w:rsidR="00CE59F1" w:rsidRPr="00FC20DA" w:rsidRDefault="00CE59F1" w:rsidP="00CE59F1">
      <w:pPr>
        <w:pStyle w:val="FootnoteText"/>
        <w:spacing w:before="40"/>
        <w:rPr>
          <w:lang w:eastAsia="zh-CN"/>
        </w:rPr>
      </w:pPr>
      <w:r>
        <w:rPr>
          <w:rStyle w:val="FootnoteReference"/>
        </w:rPr>
        <w:footnoteRef/>
      </w:r>
      <w:r w:rsidR="008D6C13">
        <w:rPr>
          <w:lang w:eastAsia="zh-CN"/>
        </w:rPr>
        <w:tab/>
      </w:r>
      <w:r w:rsidR="001360D4">
        <w:rPr>
          <w:rFonts w:hint="eastAsia"/>
          <w:sz w:val="20"/>
          <w:lang w:eastAsia="zh-CN"/>
        </w:rPr>
        <w:t>国际电联和世界基准联盟</w:t>
      </w:r>
      <w:r w:rsidR="00703E9E">
        <w:rPr>
          <w:rFonts w:hint="eastAsia"/>
          <w:sz w:val="20"/>
          <w:lang w:eastAsia="zh-CN"/>
        </w:rPr>
        <w:t>，</w:t>
      </w:r>
      <w:r w:rsidR="00703E9E">
        <w:rPr>
          <w:rFonts w:hint="eastAsia"/>
          <w:sz w:val="20"/>
          <w:lang w:eastAsia="zh-CN"/>
        </w:rPr>
        <w:t>2023</w:t>
      </w:r>
      <w:r w:rsidR="00703E9E">
        <w:rPr>
          <w:rFonts w:hint="eastAsia"/>
          <w:sz w:val="20"/>
          <w:lang w:eastAsia="zh-CN"/>
        </w:rPr>
        <w:t>年，《绿色数字企业</w:t>
      </w:r>
      <w:r w:rsidR="00703E9E">
        <w:rPr>
          <w:rFonts w:hint="eastAsia"/>
          <w:sz w:val="20"/>
          <w:lang w:eastAsia="zh-CN"/>
        </w:rPr>
        <w:t>2023</w:t>
      </w:r>
      <w:r w:rsidR="00703E9E">
        <w:rPr>
          <w:rFonts w:hint="eastAsia"/>
          <w:sz w:val="20"/>
          <w:lang w:eastAsia="zh-CN"/>
        </w:rPr>
        <w:t>年报告》</w:t>
      </w:r>
    </w:p>
  </w:footnote>
  <w:footnote w:id="5">
    <w:p w14:paraId="2DDBAABD" w14:textId="034741AF" w:rsidR="00CE59F1" w:rsidRPr="000A6852" w:rsidRDefault="00CE59F1" w:rsidP="00CE59F1">
      <w:pPr>
        <w:pStyle w:val="FootnoteText"/>
        <w:spacing w:before="40"/>
        <w:rPr>
          <w:lang w:eastAsia="zh-CN"/>
        </w:rPr>
      </w:pPr>
      <w:r>
        <w:rPr>
          <w:rStyle w:val="FootnoteReference"/>
        </w:rPr>
        <w:footnoteRef/>
      </w:r>
      <w:r w:rsidR="008D6C13">
        <w:rPr>
          <w:lang w:eastAsia="zh-CN"/>
        </w:rPr>
        <w:tab/>
      </w:r>
      <w:r w:rsidR="00703E9E">
        <w:rPr>
          <w:rFonts w:hint="eastAsia"/>
          <w:sz w:val="20"/>
          <w:lang w:eastAsia="zh-CN"/>
        </w:rPr>
        <w:t>国际电联和世界银行，</w:t>
      </w:r>
      <w:r w:rsidR="00703E9E">
        <w:rPr>
          <w:rFonts w:hint="eastAsia"/>
          <w:sz w:val="20"/>
          <w:lang w:eastAsia="zh-CN"/>
        </w:rPr>
        <w:t>2023</w:t>
      </w:r>
      <w:r w:rsidR="00703E9E">
        <w:rPr>
          <w:rFonts w:hint="eastAsia"/>
          <w:sz w:val="20"/>
          <w:lang w:eastAsia="zh-CN"/>
        </w:rPr>
        <w:t>年，</w:t>
      </w:r>
      <w:hyperlink r:id="rId1" w:anchor="/zh" w:history="1">
        <w:r w:rsidR="00E951B8" w:rsidRPr="00E951B8">
          <w:rPr>
            <w:rStyle w:val="Hyperlink"/>
            <w:rFonts w:hint="eastAsia"/>
            <w:sz w:val="20"/>
            <w:lang w:eastAsia="zh-CN"/>
          </w:rPr>
          <w:t>《</w:t>
        </w:r>
        <w:r w:rsidR="00E951B8" w:rsidRPr="00E951B8">
          <w:rPr>
            <w:rStyle w:val="Hyperlink"/>
            <w:sz w:val="20"/>
            <w:lang w:eastAsia="zh-CN"/>
          </w:rPr>
          <w:t>绿色</w:t>
        </w:r>
        <w:r w:rsidR="00E951B8" w:rsidRPr="00E951B8">
          <w:rPr>
            <w:rStyle w:val="Hyperlink"/>
            <w:rFonts w:hint="eastAsia"/>
            <w:sz w:val="20"/>
            <w:lang w:eastAsia="zh-CN"/>
          </w:rPr>
          <w:t>数据</w:t>
        </w:r>
        <w:r w:rsidR="00E951B8" w:rsidRPr="00E951B8">
          <w:rPr>
            <w:rStyle w:val="Hyperlink"/>
            <w:sz w:val="20"/>
            <w:lang w:eastAsia="zh-CN"/>
          </w:rPr>
          <w:t>中心：</w:t>
        </w:r>
        <w:r w:rsidR="00E951B8" w:rsidRPr="00E951B8">
          <w:rPr>
            <w:rStyle w:val="Hyperlink"/>
            <w:rFonts w:hint="eastAsia"/>
            <w:sz w:val="20"/>
            <w:lang w:eastAsia="zh-CN"/>
          </w:rPr>
          <w:t>迈向</w:t>
        </w:r>
        <w:r w:rsidR="00E951B8" w:rsidRPr="00E951B8">
          <w:rPr>
            <w:rStyle w:val="Hyperlink"/>
            <w:sz w:val="20"/>
            <w:lang w:eastAsia="zh-CN"/>
          </w:rPr>
          <w:t>可持续数字化转型</w:t>
        </w:r>
        <w:r w:rsidR="00E951B8" w:rsidRPr="00E951B8">
          <w:rPr>
            <w:rStyle w:val="Hyperlink"/>
            <w:rFonts w:hint="eastAsia"/>
            <w:sz w:val="20"/>
            <w:lang w:eastAsia="zh-CN"/>
          </w:rPr>
          <w:t xml:space="preserve"> </w:t>
        </w:r>
        <w:r w:rsidR="00E951B8" w:rsidRPr="00E951B8">
          <w:rPr>
            <w:rStyle w:val="Hyperlink"/>
            <w:sz w:val="20"/>
            <w:lang w:eastAsia="zh-CN"/>
          </w:rPr>
          <w:t>–</w:t>
        </w:r>
        <w:r w:rsidR="00E951B8" w:rsidRPr="00E951B8">
          <w:rPr>
            <w:rStyle w:val="Hyperlink"/>
            <w:rFonts w:hint="eastAsia"/>
            <w:sz w:val="20"/>
            <w:lang w:eastAsia="zh-CN"/>
          </w:rPr>
          <w:t xml:space="preserve"> </w:t>
        </w:r>
        <w:r w:rsidR="00E951B8" w:rsidRPr="00E951B8">
          <w:rPr>
            <w:rStyle w:val="Hyperlink"/>
            <w:rFonts w:hint="eastAsia"/>
            <w:sz w:val="20"/>
            <w:lang w:eastAsia="zh-CN"/>
          </w:rPr>
          <w:t>从业者指南》</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4C3C886" w14:textId="77777777" w:rsidTr="00E31DCE">
      <w:trPr>
        <w:trHeight w:val="1104"/>
        <w:jc w:val="center"/>
      </w:trPr>
      <w:tc>
        <w:tcPr>
          <w:tcW w:w="4390" w:type="dxa"/>
          <w:vAlign w:val="center"/>
        </w:tcPr>
        <w:p w14:paraId="72E7E178" w14:textId="77777777" w:rsidR="00E24D59" w:rsidRPr="009621F8" w:rsidRDefault="00B93453" w:rsidP="00E24D59">
          <w:pPr>
            <w:pStyle w:val="Header"/>
            <w:jc w:val="left"/>
            <w:rPr>
              <w:rFonts w:ascii="Arial" w:hAnsi="Arial" w:cs="Arial"/>
              <w:b/>
              <w:bCs/>
              <w:color w:val="009CD6"/>
              <w:sz w:val="36"/>
              <w:szCs w:val="36"/>
            </w:rPr>
          </w:pPr>
          <w:bookmarkStart w:id="8" w:name="_Hlk133422111"/>
          <w:r>
            <w:rPr>
              <w:noProof/>
            </w:rPr>
            <w:drawing>
              <wp:inline distT="0" distB="0" distL="0" distR="0" wp14:anchorId="209C8B29" wp14:editId="30936409">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44C1A17E" w14:textId="77777777" w:rsidR="00E24D59" w:rsidRDefault="00E24D59" w:rsidP="00E24D59">
          <w:pPr>
            <w:pStyle w:val="Header"/>
            <w:jc w:val="right"/>
            <w:rPr>
              <w:rFonts w:ascii="Arial" w:hAnsi="Arial" w:cs="Arial"/>
              <w:b/>
              <w:bCs/>
              <w:color w:val="009CD6"/>
              <w:szCs w:val="18"/>
            </w:rPr>
          </w:pPr>
        </w:p>
        <w:p w14:paraId="535D4400" w14:textId="77777777" w:rsidR="00E24D59" w:rsidRDefault="00E24D59" w:rsidP="00E24D59">
          <w:pPr>
            <w:pStyle w:val="Header"/>
            <w:jc w:val="right"/>
            <w:rPr>
              <w:rFonts w:ascii="Arial" w:hAnsi="Arial" w:cs="Arial"/>
              <w:b/>
              <w:bCs/>
              <w:color w:val="009CD6"/>
              <w:szCs w:val="18"/>
            </w:rPr>
          </w:pPr>
        </w:p>
        <w:p w14:paraId="3C069D0D"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45F09D7D"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1717354" wp14:editId="186230FD">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35393"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DCD731E"/>
    <w:multiLevelType w:val="hybridMultilevel"/>
    <w:tmpl w:val="2934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846355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38D5"/>
    <w:rsid w:val="000042C5"/>
    <w:rsid w:val="0000517A"/>
    <w:rsid w:val="00010F8B"/>
    <w:rsid w:val="00012E8F"/>
    <w:rsid w:val="00031E72"/>
    <w:rsid w:val="00032C20"/>
    <w:rsid w:val="00036546"/>
    <w:rsid w:val="000404D2"/>
    <w:rsid w:val="0004400C"/>
    <w:rsid w:val="00044BFB"/>
    <w:rsid w:val="00047104"/>
    <w:rsid w:val="000560BD"/>
    <w:rsid w:val="00075B68"/>
    <w:rsid w:val="0007782C"/>
    <w:rsid w:val="00077B3D"/>
    <w:rsid w:val="000853C0"/>
    <w:rsid w:val="0009409E"/>
    <w:rsid w:val="000A1C21"/>
    <w:rsid w:val="000B57D4"/>
    <w:rsid w:val="000C03E2"/>
    <w:rsid w:val="000C0BC5"/>
    <w:rsid w:val="000C6689"/>
    <w:rsid w:val="000D15EA"/>
    <w:rsid w:val="000D3A41"/>
    <w:rsid w:val="000E2B5C"/>
    <w:rsid w:val="00100D84"/>
    <w:rsid w:val="00104263"/>
    <w:rsid w:val="001057AE"/>
    <w:rsid w:val="00116102"/>
    <w:rsid w:val="0011687F"/>
    <w:rsid w:val="00124C9D"/>
    <w:rsid w:val="001360D4"/>
    <w:rsid w:val="0014123A"/>
    <w:rsid w:val="00157773"/>
    <w:rsid w:val="00157923"/>
    <w:rsid w:val="00172566"/>
    <w:rsid w:val="0018251A"/>
    <w:rsid w:val="00182E5B"/>
    <w:rsid w:val="00190272"/>
    <w:rsid w:val="00193244"/>
    <w:rsid w:val="00195C6C"/>
    <w:rsid w:val="00195FED"/>
    <w:rsid w:val="001A2201"/>
    <w:rsid w:val="001A4BD6"/>
    <w:rsid w:val="001B6B01"/>
    <w:rsid w:val="001D5A18"/>
    <w:rsid w:val="001E0E17"/>
    <w:rsid w:val="001F4804"/>
    <w:rsid w:val="00200070"/>
    <w:rsid w:val="00201CEC"/>
    <w:rsid w:val="0021483D"/>
    <w:rsid w:val="00220D27"/>
    <w:rsid w:val="00224449"/>
    <w:rsid w:val="00227F19"/>
    <w:rsid w:val="002439C7"/>
    <w:rsid w:val="00280EB8"/>
    <w:rsid w:val="00294DFF"/>
    <w:rsid w:val="002A3CE6"/>
    <w:rsid w:val="002A49B8"/>
    <w:rsid w:val="002A6670"/>
    <w:rsid w:val="002C0522"/>
    <w:rsid w:val="002D440E"/>
    <w:rsid w:val="002D5A74"/>
    <w:rsid w:val="002F028F"/>
    <w:rsid w:val="00303502"/>
    <w:rsid w:val="00304B59"/>
    <w:rsid w:val="00325C25"/>
    <w:rsid w:val="00336100"/>
    <w:rsid w:val="00336528"/>
    <w:rsid w:val="003710FF"/>
    <w:rsid w:val="00372C8F"/>
    <w:rsid w:val="00377F5F"/>
    <w:rsid w:val="00380ECE"/>
    <w:rsid w:val="00382B06"/>
    <w:rsid w:val="00391048"/>
    <w:rsid w:val="00393DDF"/>
    <w:rsid w:val="00394FD5"/>
    <w:rsid w:val="00397F55"/>
    <w:rsid w:val="003A524C"/>
    <w:rsid w:val="003B4454"/>
    <w:rsid w:val="003B5108"/>
    <w:rsid w:val="003C0DEE"/>
    <w:rsid w:val="003C2E37"/>
    <w:rsid w:val="003D70D4"/>
    <w:rsid w:val="003F1415"/>
    <w:rsid w:val="003F2006"/>
    <w:rsid w:val="003F4937"/>
    <w:rsid w:val="0040144C"/>
    <w:rsid w:val="004021F1"/>
    <w:rsid w:val="00403EB7"/>
    <w:rsid w:val="00430BF0"/>
    <w:rsid w:val="004541F4"/>
    <w:rsid w:val="004672E6"/>
    <w:rsid w:val="00474ED1"/>
    <w:rsid w:val="00476652"/>
    <w:rsid w:val="004773E0"/>
    <w:rsid w:val="00477E64"/>
    <w:rsid w:val="00493085"/>
    <w:rsid w:val="004A2E77"/>
    <w:rsid w:val="004A36EC"/>
    <w:rsid w:val="004A7D4A"/>
    <w:rsid w:val="004C18BB"/>
    <w:rsid w:val="004D163F"/>
    <w:rsid w:val="004D40BE"/>
    <w:rsid w:val="004E3F04"/>
    <w:rsid w:val="004E4BFF"/>
    <w:rsid w:val="004E4E06"/>
    <w:rsid w:val="004F2598"/>
    <w:rsid w:val="004F343F"/>
    <w:rsid w:val="00500E11"/>
    <w:rsid w:val="005403F7"/>
    <w:rsid w:val="00540632"/>
    <w:rsid w:val="00541CF4"/>
    <w:rsid w:val="005451E8"/>
    <w:rsid w:val="005507F2"/>
    <w:rsid w:val="005759CC"/>
    <w:rsid w:val="005879C9"/>
    <w:rsid w:val="00591288"/>
    <w:rsid w:val="005A72E1"/>
    <w:rsid w:val="005B10F4"/>
    <w:rsid w:val="005B57D2"/>
    <w:rsid w:val="005C42C2"/>
    <w:rsid w:val="005C6632"/>
    <w:rsid w:val="005D1C9E"/>
    <w:rsid w:val="005D23D4"/>
    <w:rsid w:val="005D2A64"/>
    <w:rsid w:val="005E0DF0"/>
    <w:rsid w:val="005F1725"/>
    <w:rsid w:val="005F5FAC"/>
    <w:rsid w:val="00613E3B"/>
    <w:rsid w:val="00630DD5"/>
    <w:rsid w:val="00641CB9"/>
    <w:rsid w:val="00654257"/>
    <w:rsid w:val="0065435A"/>
    <w:rsid w:val="00663467"/>
    <w:rsid w:val="00667DC7"/>
    <w:rsid w:val="0067464F"/>
    <w:rsid w:val="00697E0A"/>
    <w:rsid w:val="006A2DD3"/>
    <w:rsid w:val="006A5AF8"/>
    <w:rsid w:val="006B1CBF"/>
    <w:rsid w:val="006B4856"/>
    <w:rsid w:val="006C36CD"/>
    <w:rsid w:val="006E6558"/>
    <w:rsid w:val="006F3472"/>
    <w:rsid w:val="006F3841"/>
    <w:rsid w:val="00700D1F"/>
    <w:rsid w:val="00703E9E"/>
    <w:rsid w:val="00711F2C"/>
    <w:rsid w:val="007205CB"/>
    <w:rsid w:val="00726073"/>
    <w:rsid w:val="00734FE8"/>
    <w:rsid w:val="007360CE"/>
    <w:rsid w:val="007450F4"/>
    <w:rsid w:val="00753084"/>
    <w:rsid w:val="00754B80"/>
    <w:rsid w:val="00760439"/>
    <w:rsid w:val="00770A6D"/>
    <w:rsid w:val="00772315"/>
    <w:rsid w:val="00775157"/>
    <w:rsid w:val="007813AE"/>
    <w:rsid w:val="0078496B"/>
    <w:rsid w:val="007A26C9"/>
    <w:rsid w:val="007A37DB"/>
    <w:rsid w:val="007B46AE"/>
    <w:rsid w:val="007B4C76"/>
    <w:rsid w:val="007C53E3"/>
    <w:rsid w:val="007D6E94"/>
    <w:rsid w:val="007E189D"/>
    <w:rsid w:val="007E65AA"/>
    <w:rsid w:val="007F0210"/>
    <w:rsid w:val="007F2A1E"/>
    <w:rsid w:val="007F7454"/>
    <w:rsid w:val="0080236B"/>
    <w:rsid w:val="00803338"/>
    <w:rsid w:val="00806A89"/>
    <w:rsid w:val="00806E3F"/>
    <w:rsid w:val="008074F4"/>
    <w:rsid w:val="00811259"/>
    <w:rsid w:val="0081148B"/>
    <w:rsid w:val="00813AA2"/>
    <w:rsid w:val="008173A3"/>
    <w:rsid w:val="0082549F"/>
    <w:rsid w:val="00833692"/>
    <w:rsid w:val="008418F5"/>
    <w:rsid w:val="00845D6B"/>
    <w:rsid w:val="00850A2A"/>
    <w:rsid w:val="0086059C"/>
    <w:rsid w:val="00864589"/>
    <w:rsid w:val="008672C9"/>
    <w:rsid w:val="00874C82"/>
    <w:rsid w:val="00890AFB"/>
    <w:rsid w:val="00890FC4"/>
    <w:rsid w:val="00892CF1"/>
    <w:rsid w:val="00893264"/>
    <w:rsid w:val="00895905"/>
    <w:rsid w:val="008A4278"/>
    <w:rsid w:val="008B0110"/>
    <w:rsid w:val="008B4290"/>
    <w:rsid w:val="008C7354"/>
    <w:rsid w:val="008D04D0"/>
    <w:rsid w:val="008D6C13"/>
    <w:rsid w:val="008E2B95"/>
    <w:rsid w:val="008F64AD"/>
    <w:rsid w:val="009024E9"/>
    <w:rsid w:val="00902B1F"/>
    <w:rsid w:val="00911867"/>
    <w:rsid w:val="009164A9"/>
    <w:rsid w:val="009258CB"/>
    <w:rsid w:val="0093362E"/>
    <w:rsid w:val="009353A4"/>
    <w:rsid w:val="00944563"/>
    <w:rsid w:val="00953160"/>
    <w:rsid w:val="0095619B"/>
    <w:rsid w:val="009625D8"/>
    <w:rsid w:val="0098459B"/>
    <w:rsid w:val="00997185"/>
    <w:rsid w:val="009A30D0"/>
    <w:rsid w:val="009A55EA"/>
    <w:rsid w:val="009C2458"/>
    <w:rsid w:val="009C4A7B"/>
    <w:rsid w:val="009C6123"/>
    <w:rsid w:val="009E4B87"/>
    <w:rsid w:val="009F1E3E"/>
    <w:rsid w:val="009F5D44"/>
    <w:rsid w:val="00A01F50"/>
    <w:rsid w:val="00A02391"/>
    <w:rsid w:val="00A1213C"/>
    <w:rsid w:val="00A17217"/>
    <w:rsid w:val="00A272FF"/>
    <w:rsid w:val="00A30A31"/>
    <w:rsid w:val="00A33C07"/>
    <w:rsid w:val="00A5354B"/>
    <w:rsid w:val="00A56978"/>
    <w:rsid w:val="00A64378"/>
    <w:rsid w:val="00A71B57"/>
    <w:rsid w:val="00A84566"/>
    <w:rsid w:val="00AB42C1"/>
    <w:rsid w:val="00AC516F"/>
    <w:rsid w:val="00AE0F87"/>
    <w:rsid w:val="00AE195F"/>
    <w:rsid w:val="00AE2926"/>
    <w:rsid w:val="00AF6D0C"/>
    <w:rsid w:val="00B0184B"/>
    <w:rsid w:val="00B035CD"/>
    <w:rsid w:val="00B0769D"/>
    <w:rsid w:val="00B12C1C"/>
    <w:rsid w:val="00B217F8"/>
    <w:rsid w:val="00B223DE"/>
    <w:rsid w:val="00B24E94"/>
    <w:rsid w:val="00B31502"/>
    <w:rsid w:val="00B332EA"/>
    <w:rsid w:val="00B40A53"/>
    <w:rsid w:val="00B433E2"/>
    <w:rsid w:val="00B45365"/>
    <w:rsid w:val="00B46A65"/>
    <w:rsid w:val="00B60184"/>
    <w:rsid w:val="00B62D20"/>
    <w:rsid w:val="00B81E75"/>
    <w:rsid w:val="00B93453"/>
    <w:rsid w:val="00B9775D"/>
    <w:rsid w:val="00BA2E93"/>
    <w:rsid w:val="00BD0954"/>
    <w:rsid w:val="00BD1A5A"/>
    <w:rsid w:val="00BD7A9B"/>
    <w:rsid w:val="00BD7BE1"/>
    <w:rsid w:val="00BF416B"/>
    <w:rsid w:val="00C06D56"/>
    <w:rsid w:val="00C158ED"/>
    <w:rsid w:val="00C15BE6"/>
    <w:rsid w:val="00C262CF"/>
    <w:rsid w:val="00C30A68"/>
    <w:rsid w:val="00C31955"/>
    <w:rsid w:val="00C3641A"/>
    <w:rsid w:val="00C45EB2"/>
    <w:rsid w:val="00C50521"/>
    <w:rsid w:val="00C51A71"/>
    <w:rsid w:val="00C64E4E"/>
    <w:rsid w:val="00C65CC1"/>
    <w:rsid w:val="00C669D1"/>
    <w:rsid w:val="00C66E64"/>
    <w:rsid w:val="00C761A0"/>
    <w:rsid w:val="00C77511"/>
    <w:rsid w:val="00C85F7E"/>
    <w:rsid w:val="00C90D53"/>
    <w:rsid w:val="00CA0B2E"/>
    <w:rsid w:val="00CA6EF7"/>
    <w:rsid w:val="00CB5115"/>
    <w:rsid w:val="00CB6D95"/>
    <w:rsid w:val="00CB7F18"/>
    <w:rsid w:val="00CD25EE"/>
    <w:rsid w:val="00CD47F0"/>
    <w:rsid w:val="00CD50F7"/>
    <w:rsid w:val="00CD5566"/>
    <w:rsid w:val="00CD5E2F"/>
    <w:rsid w:val="00CD64D7"/>
    <w:rsid w:val="00CE28DC"/>
    <w:rsid w:val="00CE59F1"/>
    <w:rsid w:val="00CE6F22"/>
    <w:rsid w:val="00CF41F6"/>
    <w:rsid w:val="00CF7D3E"/>
    <w:rsid w:val="00D02B4E"/>
    <w:rsid w:val="00D03FFE"/>
    <w:rsid w:val="00D0620D"/>
    <w:rsid w:val="00D21F11"/>
    <w:rsid w:val="00D36817"/>
    <w:rsid w:val="00D40154"/>
    <w:rsid w:val="00D416D8"/>
    <w:rsid w:val="00D453EE"/>
    <w:rsid w:val="00D5666C"/>
    <w:rsid w:val="00D666BC"/>
    <w:rsid w:val="00D83542"/>
    <w:rsid w:val="00D92F45"/>
    <w:rsid w:val="00D94637"/>
    <w:rsid w:val="00D9564D"/>
    <w:rsid w:val="00D9725C"/>
    <w:rsid w:val="00DA7006"/>
    <w:rsid w:val="00DB093A"/>
    <w:rsid w:val="00DB3621"/>
    <w:rsid w:val="00DC6427"/>
    <w:rsid w:val="00DD62F5"/>
    <w:rsid w:val="00DD66A1"/>
    <w:rsid w:val="00DD7687"/>
    <w:rsid w:val="00DE00F8"/>
    <w:rsid w:val="00DE196D"/>
    <w:rsid w:val="00DF5D46"/>
    <w:rsid w:val="00DF6B49"/>
    <w:rsid w:val="00E0018A"/>
    <w:rsid w:val="00E067C5"/>
    <w:rsid w:val="00E24D59"/>
    <w:rsid w:val="00E265BF"/>
    <w:rsid w:val="00E378D8"/>
    <w:rsid w:val="00E43A12"/>
    <w:rsid w:val="00E50920"/>
    <w:rsid w:val="00E524E5"/>
    <w:rsid w:val="00E5776C"/>
    <w:rsid w:val="00E628C5"/>
    <w:rsid w:val="00E64DAD"/>
    <w:rsid w:val="00E67C67"/>
    <w:rsid w:val="00E761C1"/>
    <w:rsid w:val="00E77476"/>
    <w:rsid w:val="00E8228B"/>
    <w:rsid w:val="00E923C2"/>
    <w:rsid w:val="00E951B8"/>
    <w:rsid w:val="00EA19AD"/>
    <w:rsid w:val="00EA5C26"/>
    <w:rsid w:val="00ED5BB4"/>
    <w:rsid w:val="00EE5706"/>
    <w:rsid w:val="00EF373D"/>
    <w:rsid w:val="00F11595"/>
    <w:rsid w:val="00F13BC9"/>
    <w:rsid w:val="00F148B4"/>
    <w:rsid w:val="00F20E3B"/>
    <w:rsid w:val="00F357B2"/>
    <w:rsid w:val="00F36556"/>
    <w:rsid w:val="00F44783"/>
    <w:rsid w:val="00F567EB"/>
    <w:rsid w:val="00F56911"/>
    <w:rsid w:val="00F62CEA"/>
    <w:rsid w:val="00F66FAC"/>
    <w:rsid w:val="00F705DF"/>
    <w:rsid w:val="00F70622"/>
    <w:rsid w:val="00F830CE"/>
    <w:rsid w:val="00F85624"/>
    <w:rsid w:val="00F87C05"/>
    <w:rsid w:val="00F93191"/>
    <w:rsid w:val="00F93A17"/>
    <w:rsid w:val="00FA098C"/>
    <w:rsid w:val="00FA2AF6"/>
    <w:rsid w:val="00FA2EDE"/>
    <w:rsid w:val="00FB073D"/>
    <w:rsid w:val="00FB771F"/>
    <w:rsid w:val="00FC0AAA"/>
    <w:rsid w:val="00FC5386"/>
    <w:rsid w:val="00FD4294"/>
    <w:rsid w:val="00FD4C8F"/>
    <w:rsid w:val="00FD6EA2"/>
    <w:rsid w:val="00FF12FB"/>
    <w:rsid w:val="00FF3CD7"/>
    <w:rsid w:val="00FF7A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4099D"/>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qFormat/>
    <w:locked/>
    <w:rsid w:val="00CE59F1"/>
    <w:rPr>
      <w:rFonts w:ascii="Calibri" w:eastAsia="Times New Roman" w:hAnsi="Calibri"/>
      <w:sz w:val="24"/>
      <w:lang w:val="en-GB" w:eastAsia="en-US"/>
    </w:rPr>
  </w:style>
  <w:style w:type="character" w:customStyle="1" w:styleId="normaltextrun">
    <w:name w:val="normaltextrun"/>
    <w:basedOn w:val="DefaultParagraphFont"/>
    <w:rsid w:val="00CE59F1"/>
  </w:style>
  <w:style w:type="character" w:styleId="UnresolvedMention">
    <w:name w:val="Unresolved Mention"/>
    <w:basedOn w:val="DefaultParagraphFont"/>
    <w:uiPriority w:val="99"/>
    <w:semiHidden/>
    <w:unhideWhenUsed/>
    <w:rsid w:val="000042C5"/>
    <w:rPr>
      <w:color w:val="605E5C"/>
      <w:shd w:val="clear" w:color="auto" w:fill="E1DFDD"/>
    </w:rPr>
  </w:style>
  <w:style w:type="paragraph" w:styleId="Revision">
    <w:name w:val="Revision"/>
    <w:hidden/>
    <w:uiPriority w:val="99"/>
    <w:semiHidden/>
    <w:rsid w:val="00667DC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82-C.pdf" TargetMode="External"/><Relationship Id="rId13" Type="http://schemas.openxmlformats.org/officeDocument/2006/relationships/hyperlink" Target="https://www.itu.int/ITU-T/recommendations/rec.aspx?rec=15030" TargetMode="External"/><Relationship Id="rId18" Type="http://schemas.openxmlformats.org/officeDocument/2006/relationships/hyperlink" Target="https://www.itu.int/en/ITU-D/Environment/Pages/Toolbox/Greening-Digital-Companies-2023.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nep.org/resources/report/greening-blue-report-2023" TargetMode="External"/><Relationship Id="rId7" Type="http://schemas.openxmlformats.org/officeDocument/2006/relationships/endnotes" Target="endnotes.xml"/><Relationship Id="rId12" Type="http://schemas.openxmlformats.org/officeDocument/2006/relationships/hyperlink" Target="https://www.itu.int/en/ITU-D/Environment/Pages/Publications/The-Global-E-waste-Monitor-2024.aspx" TargetMode="External"/><Relationship Id="rId17" Type="http://schemas.openxmlformats.org/officeDocument/2006/relationships/hyperlink" Target="https://www.itu.int/rec/T-REC-L.14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4-CL-C-0070/en" TargetMode="External"/><Relationship Id="rId20" Type="http://schemas.openxmlformats.org/officeDocument/2006/relationships/hyperlink" Target="https://www.itu.int/rec/T-REC-L.1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82-C.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initiatives/green-digital-action/impact/" TargetMode="External"/><Relationship Id="rId23" Type="http://schemas.openxmlformats.org/officeDocument/2006/relationships/header" Target="header1.xml"/><Relationship Id="rId10" Type="http://schemas.openxmlformats.org/officeDocument/2006/relationships/hyperlink" Target="https://www.itu.int/md/S24-CL-C-0035/en" TargetMode="External"/><Relationship Id="rId19" Type="http://schemas.openxmlformats.org/officeDocument/2006/relationships/hyperlink" Target="https://www.itu.int/en/ITU-D/Environment/Pages/Publications/Measuring-Emissions-and-Energy-Footprint-ICT-Sector.aspx" TargetMode="External"/><Relationship Id="rId4" Type="http://schemas.openxmlformats.org/officeDocument/2006/relationships/settings" Target="settings.xml"/><Relationship Id="rId9" Type="http://schemas.openxmlformats.org/officeDocument/2006/relationships/hyperlink" Target="https://www.itu.int/md/S24-CL-C-0070/en" TargetMode="External"/><Relationship Id="rId14" Type="http://schemas.openxmlformats.org/officeDocument/2006/relationships/hyperlink" Target="https://www.itu.int/md/S24-CL-C-0035/e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hub/publication/d-them-32-2023-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2904</Words>
  <Characters>1793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DI, Chenjing</dc:creator>
  <cp:keywords>C2024, C24 Council-24</cp:keywords>
  <dc:description/>
  <cp:lastModifiedBy>Brouard, Ricarda</cp:lastModifiedBy>
  <cp:revision>2</cp:revision>
  <cp:lastPrinted>2015-02-24T13:23:00Z</cp:lastPrinted>
  <dcterms:created xsi:type="dcterms:W3CDTF">2024-05-24T07:40:00Z</dcterms:created>
  <dcterms:modified xsi:type="dcterms:W3CDTF">2024-05-24T07:40:00Z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