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10129" w14:paraId="0043AC80" w14:textId="77777777" w:rsidTr="23D2F17E">
        <w:trPr>
          <w:cantSplit/>
          <w:trHeight w:val="23"/>
        </w:trPr>
        <w:tc>
          <w:tcPr>
            <w:tcW w:w="3969" w:type="dxa"/>
            <w:vMerge w:val="restart"/>
            <w:tcMar>
              <w:left w:w="0" w:type="dxa"/>
            </w:tcMar>
          </w:tcPr>
          <w:p w14:paraId="60A806D3" w14:textId="14B68CF4" w:rsidR="00AD3606" w:rsidRPr="001A7CC8" w:rsidRDefault="00AD3606" w:rsidP="00472BAD">
            <w:pPr>
              <w:tabs>
                <w:tab w:val="left" w:pos="851"/>
              </w:tabs>
              <w:spacing w:before="0" w:line="240" w:lineRule="atLeast"/>
              <w:rPr>
                <w:rFonts w:asciiTheme="minorHAnsi" w:hAnsiTheme="minorHAnsi" w:cstheme="minorHAnsi"/>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1A7CC8">
              <w:rPr>
                <w:rFonts w:asciiTheme="minorHAnsi" w:hAnsiTheme="minorHAnsi" w:cstheme="minorHAnsi"/>
                <w:b/>
              </w:rPr>
              <w:t xml:space="preserve">Agenda item: </w:t>
            </w:r>
            <w:r w:rsidR="00433BCA">
              <w:rPr>
                <w:rFonts w:asciiTheme="minorHAnsi" w:hAnsiTheme="minorHAnsi" w:cstheme="minorHAnsi"/>
                <w:b/>
              </w:rPr>
              <w:t>ADM 3</w:t>
            </w:r>
          </w:p>
        </w:tc>
        <w:tc>
          <w:tcPr>
            <w:tcW w:w="5245" w:type="dxa"/>
          </w:tcPr>
          <w:p w14:paraId="789BAB72" w14:textId="2B8F8BF9" w:rsidR="00910129" w:rsidRPr="004D0532" w:rsidRDefault="00910129" w:rsidP="00472BAD">
            <w:pPr>
              <w:tabs>
                <w:tab w:val="left" w:pos="851"/>
              </w:tabs>
              <w:spacing w:before="0" w:line="240" w:lineRule="atLeast"/>
              <w:jc w:val="right"/>
              <w:rPr>
                <w:rFonts w:asciiTheme="minorHAnsi" w:hAnsiTheme="minorHAnsi" w:cstheme="minorHAnsi"/>
                <w:b/>
              </w:rPr>
            </w:pPr>
            <w:r w:rsidRPr="004D0532">
              <w:rPr>
                <w:rFonts w:asciiTheme="minorHAnsi" w:hAnsiTheme="minorHAnsi" w:cstheme="minorHAnsi"/>
                <w:b/>
              </w:rPr>
              <w:t xml:space="preserve">Revision </w:t>
            </w:r>
            <w:r w:rsidR="00695091" w:rsidRPr="004D0532">
              <w:rPr>
                <w:rFonts w:asciiTheme="minorHAnsi" w:hAnsiTheme="minorHAnsi" w:cstheme="minorHAnsi"/>
                <w:b/>
              </w:rPr>
              <w:t>2</w:t>
            </w:r>
            <w:r w:rsidRPr="004D0532">
              <w:rPr>
                <w:rFonts w:asciiTheme="minorHAnsi" w:hAnsiTheme="minorHAnsi" w:cstheme="minorHAnsi"/>
                <w:b/>
              </w:rPr>
              <w:t xml:space="preserve"> to</w:t>
            </w:r>
          </w:p>
          <w:p w14:paraId="291AB2A2" w14:textId="4BB1A1DE" w:rsidR="00AD3606" w:rsidRPr="004D0532" w:rsidRDefault="00AD3606" w:rsidP="00472BAD">
            <w:pPr>
              <w:tabs>
                <w:tab w:val="left" w:pos="851"/>
              </w:tabs>
              <w:spacing w:before="0" w:line="240" w:lineRule="atLeast"/>
              <w:jc w:val="right"/>
              <w:rPr>
                <w:rFonts w:asciiTheme="minorHAnsi" w:hAnsiTheme="minorHAnsi" w:cstheme="minorHAnsi"/>
                <w:b/>
              </w:rPr>
            </w:pPr>
            <w:r w:rsidRPr="004D0532">
              <w:rPr>
                <w:rFonts w:asciiTheme="minorHAnsi" w:hAnsiTheme="minorHAnsi" w:cstheme="minorHAnsi"/>
                <w:b/>
              </w:rPr>
              <w:t>Document C2</w:t>
            </w:r>
            <w:r w:rsidR="00E23618" w:rsidRPr="004D0532">
              <w:rPr>
                <w:rFonts w:asciiTheme="minorHAnsi" w:hAnsiTheme="minorHAnsi" w:cstheme="minorHAnsi"/>
                <w:b/>
              </w:rPr>
              <w:t>4</w:t>
            </w:r>
            <w:r w:rsidRPr="004D0532">
              <w:rPr>
                <w:rFonts w:asciiTheme="minorHAnsi" w:hAnsiTheme="minorHAnsi" w:cstheme="minorHAnsi"/>
                <w:b/>
              </w:rPr>
              <w:t>/</w:t>
            </w:r>
            <w:r w:rsidR="00C132EF" w:rsidRPr="004D0532">
              <w:rPr>
                <w:rFonts w:asciiTheme="minorHAnsi" w:hAnsiTheme="minorHAnsi" w:cstheme="minorHAnsi"/>
                <w:b/>
              </w:rPr>
              <w:t>71</w:t>
            </w:r>
            <w:r w:rsidRPr="004D0532">
              <w:rPr>
                <w:rFonts w:asciiTheme="minorHAnsi" w:hAnsiTheme="minorHAnsi" w:cstheme="minorHAnsi"/>
                <w:b/>
              </w:rPr>
              <w:t>-E</w:t>
            </w:r>
          </w:p>
        </w:tc>
      </w:tr>
      <w:tr w:rsidR="00AD3606" w:rsidRPr="001A7CC8" w14:paraId="789B45BA" w14:textId="77777777" w:rsidTr="23D2F17E">
        <w:trPr>
          <w:cantSplit/>
        </w:trPr>
        <w:tc>
          <w:tcPr>
            <w:tcW w:w="3969" w:type="dxa"/>
            <w:vMerge/>
          </w:tcPr>
          <w:p w14:paraId="3F3D4E17" w14:textId="77777777" w:rsidR="00AD3606" w:rsidRPr="004D0532" w:rsidRDefault="00AD3606" w:rsidP="00AD3606">
            <w:pPr>
              <w:tabs>
                <w:tab w:val="left" w:pos="851"/>
              </w:tabs>
              <w:spacing w:line="240" w:lineRule="atLeast"/>
              <w:rPr>
                <w:rFonts w:asciiTheme="minorHAnsi" w:hAnsiTheme="minorHAnsi" w:cstheme="minorHAnsi"/>
                <w:b/>
              </w:rPr>
            </w:pPr>
            <w:bookmarkStart w:id="6" w:name="ddate" w:colFirst="1" w:colLast="1"/>
            <w:bookmarkEnd w:id="0"/>
            <w:bookmarkEnd w:id="1"/>
          </w:p>
        </w:tc>
        <w:tc>
          <w:tcPr>
            <w:tcW w:w="5245" w:type="dxa"/>
          </w:tcPr>
          <w:p w14:paraId="2DE9ACEA" w14:textId="0DD4401A" w:rsidR="00AD3606" w:rsidRPr="001A7CC8" w:rsidRDefault="004D0532" w:rsidP="00AD3606">
            <w:pPr>
              <w:tabs>
                <w:tab w:val="left" w:pos="851"/>
              </w:tabs>
              <w:spacing w:before="0"/>
              <w:jc w:val="right"/>
              <w:rPr>
                <w:rFonts w:asciiTheme="minorHAnsi" w:hAnsiTheme="minorHAnsi" w:cstheme="minorHAnsi"/>
                <w:b/>
              </w:rPr>
            </w:pPr>
            <w:r>
              <w:rPr>
                <w:rFonts w:asciiTheme="minorHAnsi" w:hAnsiTheme="minorHAnsi" w:cstheme="minorHAnsi"/>
                <w:b/>
              </w:rPr>
              <w:t>12</w:t>
            </w:r>
            <w:r w:rsidR="00910129">
              <w:rPr>
                <w:rFonts w:asciiTheme="minorHAnsi" w:hAnsiTheme="minorHAnsi" w:cstheme="minorHAnsi"/>
                <w:b/>
              </w:rPr>
              <w:t xml:space="preserve"> June</w:t>
            </w:r>
            <w:r w:rsidR="00AD3606" w:rsidRPr="001A7CC8">
              <w:rPr>
                <w:rFonts w:asciiTheme="minorHAnsi" w:hAnsiTheme="minorHAnsi" w:cstheme="minorHAnsi"/>
                <w:b/>
              </w:rPr>
              <w:t xml:space="preserve"> 202</w:t>
            </w:r>
            <w:r w:rsidR="00E23618" w:rsidRPr="001A7CC8">
              <w:rPr>
                <w:rFonts w:asciiTheme="minorHAnsi" w:hAnsiTheme="minorHAnsi" w:cstheme="minorHAnsi"/>
                <w:b/>
              </w:rPr>
              <w:t>4</w:t>
            </w:r>
          </w:p>
        </w:tc>
      </w:tr>
      <w:tr w:rsidR="00AD3606" w:rsidRPr="001A7CC8" w14:paraId="58A84C4A" w14:textId="77777777" w:rsidTr="23D2F17E">
        <w:trPr>
          <w:cantSplit/>
          <w:trHeight w:val="23"/>
        </w:trPr>
        <w:tc>
          <w:tcPr>
            <w:tcW w:w="3969" w:type="dxa"/>
            <w:vMerge/>
          </w:tcPr>
          <w:p w14:paraId="77CEDDAA" w14:textId="77777777" w:rsidR="00AD3606" w:rsidRPr="001A7CC8" w:rsidRDefault="00AD3606" w:rsidP="00AD3606">
            <w:pPr>
              <w:tabs>
                <w:tab w:val="left" w:pos="851"/>
              </w:tabs>
              <w:spacing w:line="240" w:lineRule="atLeast"/>
              <w:rPr>
                <w:rFonts w:asciiTheme="minorHAnsi" w:hAnsiTheme="minorHAnsi" w:cstheme="minorHAnsi"/>
                <w:b/>
              </w:rPr>
            </w:pPr>
            <w:bookmarkStart w:id="7" w:name="dorlang" w:colFirst="1" w:colLast="1"/>
            <w:bookmarkEnd w:id="6"/>
          </w:p>
        </w:tc>
        <w:tc>
          <w:tcPr>
            <w:tcW w:w="5245" w:type="dxa"/>
          </w:tcPr>
          <w:p w14:paraId="561AAE94" w14:textId="77777777" w:rsidR="00AD3606" w:rsidRPr="001A7CC8" w:rsidRDefault="00AD3606" w:rsidP="00AD3606">
            <w:pPr>
              <w:tabs>
                <w:tab w:val="left" w:pos="851"/>
              </w:tabs>
              <w:spacing w:before="0" w:line="240" w:lineRule="atLeast"/>
              <w:jc w:val="right"/>
              <w:rPr>
                <w:rFonts w:asciiTheme="minorHAnsi" w:hAnsiTheme="minorHAnsi" w:cstheme="minorHAnsi"/>
                <w:b/>
              </w:rPr>
            </w:pPr>
            <w:r w:rsidRPr="001A7CC8">
              <w:rPr>
                <w:rFonts w:asciiTheme="minorHAnsi" w:hAnsiTheme="minorHAnsi" w:cstheme="minorHAnsi"/>
                <w:b/>
              </w:rPr>
              <w:t>Original: English</w:t>
            </w:r>
          </w:p>
        </w:tc>
      </w:tr>
      <w:tr w:rsidR="00472BAD" w:rsidRPr="001A7CC8" w14:paraId="12C5EF5F" w14:textId="77777777" w:rsidTr="23D2F17E">
        <w:trPr>
          <w:cantSplit/>
          <w:trHeight w:val="23"/>
        </w:trPr>
        <w:tc>
          <w:tcPr>
            <w:tcW w:w="3969" w:type="dxa"/>
          </w:tcPr>
          <w:p w14:paraId="4B839BA2" w14:textId="77777777" w:rsidR="00472BAD" w:rsidRPr="001A7CC8" w:rsidRDefault="00472BAD" w:rsidP="00AD3606">
            <w:pPr>
              <w:tabs>
                <w:tab w:val="left" w:pos="851"/>
              </w:tabs>
              <w:spacing w:line="240" w:lineRule="atLeast"/>
              <w:rPr>
                <w:rFonts w:asciiTheme="minorHAnsi" w:hAnsiTheme="minorHAnsi" w:cstheme="minorHAnsi"/>
                <w:b/>
              </w:rPr>
            </w:pPr>
          </w:p>
        </w:tc>
        <w:tc>
          <w:tcPr>
            <w:tcW w:w="5245" w:type="dxa"/>
          </w:tcPr>
          <w:p w14:paraId="12F66D25" w14:textId="77777777" w:rsidR="00472BAD" w:rsidRPr="001A7CC8" w:rsidRDefault="00472BAD" w:rsidP="00AD3606">
            <w:pPr>
              <w:tabs>
                <w:tab w:val="left" w:pos="851"/>
              </w:tabs>
              <w:spacing w:before="0" w:line="240" w:lineRule="atLeast"/>
              <w:jc w:val="right"/>
              <w:rPr>
                <w:rFonts w:asciiTheme="minorHAnsi" w:hAnsiTheme="minorHAnsi" w:cstheme="minorHAnsi"/>
                <w:b/>
              </w:rPr>
            </w:pPr>
          </w:p>
        </w:tc>
      </w:tr>
      <w:tr w:rsidR="00AD3606" w:rsidRPr="001A7CC8" w14:paraId="27000B2A" w14:textId="77777777" w:rsidTr="23D2F17E">
        <w:trPr>
          <w:cantSplit/>
        </w:trPr>
        <w:tc>
          <w:tcPr>
            <w:tcW w:w="9214" w:type="dxa"/>
            <w:gridSpan w:val="2"/>
            <w:tcMar>
              <w:left w:w="0" w:type="dxa"/>
            </w:tcMar>
          </w:tcPr>
          <w:p w14:paraId="4E7CDB90" w14:textId="73802053" w:rsidR="00AD3606" w:rsidRPr="001A7CC8" w:rsidRDefault="00B11633" w:rsidP="006850BE">
            <w:pPr>
              <w:pStyle w:val="Source"/>
              <w:framePr w:hSpace="0" w:wrap="auto" w:vAnchor="margin" w:hAnchor="text" w:xAlign="left" w:yAlign="inline"/>
              <w:rPr>
                <w:rFonts w:asciiTheme="minorHAnsi" w:hAnsiTheme="minorHAnsi" w:cstheme="minorHAnsi"/>
              </w:rPr>
            </w:pPr>
            <w:bookmarkStart w:id="8" w:name="dsource" w:colFirst="0" w:colLast="0"/>
            <w:bookmarkEnd w:id="7"/>
            <w:r w:rsidRPr="001A7CC8">
              <w:rPr>
                <w:rFonts w:asciiTheme="minorHAnsi" w:hAnsiTheme="minorHAnsi" w:cstheme="minorHAnsi"/>
              </w:rPr>
              <w:t>Note by the Secretary-General</w:t>
            </w:r>
          </w:p>
        </w:tc>
      </w:tr>
      <w:tr w:rsidR="00AD3606" w:rsidRPr="001A7CC8" w14:paraId="2340750D" w14:textId="77777777" w:rsidTr="23D2F17E">
        <w:trPr>
          <w:cantSplit/>
        </w:trPr>
        <w:tc>
          <w:tcPr>
            <w:tcW w:w="9214" w:type="dxa"/>
            <w:gridSpan w:val="2"/>
            <w:tcMar>
              <w:left w:w="0" w:type="dxa"/>
            </w:tcMar>
          </w:tcPr>
          <w:p w14:paraId="47B91AA8" w14:textId="2FBE9153" w:rsidR="00AD3606" w:rsidRPr="001A7CC8" w:rsidRDefault="00862808" w:rsidP="006850BE">
            <w:pPr>
              <w:pStyle w:val="Subtitle1"/>
              <w:framePr w:hSpace="0" w:wrap="auto" w:xAlign="left" w:yAlign="inline"/>
              <w:rPr>
                <w:rFonts w:asciiTheme="minorHAnsi" w:hAnsiTheme="minorHAnsi" w:cstheme="minorHAnsi"/>
              </w:rPr>
            </w:pPr>
            <w:bookmarkStart w:id="9" w:name="_Hlk164417504"/>
            <w:bookmarkStart w:id="10" w:name="dtitle1" w:colFirst="0" w:colLast="0"/>
            <w:bookmarkEnd w:id="8"/>
            <w:r w:rsidRPr="001A7CC8">
              <w:rPr>
                <w:rFonts w:asciiTheme="minorHAnsi" w:hAnsiTheme="minorHAnsi" w:cstheme="minorHAnsi"/>
              </w:rPr>
              <w:t>TELECOMMUNICATION STANDARDIZATION BUREAU (TSB) REORGANIZATION 2024</w:t>
            </w:r>
            <w:bookmarkEnd w:id="9"/>
          </w:p>
        </w:tc>
      </w:tr>
      <w:tr w:rsidR="00AD3606" w:rsidRPr="001A7CC8" w14:paraId="1F564D2D" w14:textId="77777777" w:rsidTr="23D2F17E">
        <w:trPr>
          <w:cantSplit/>
        </w:trPr>
        <w:tc>
          <w:tcPr>
            <w:tcW w:w="9214" w:type="dxa"/>
            <w:gridSpan w:val="2"/>
            <w:tcBorders>
              <w:top w:val="single" w:sz="4" w:space="0" w:color="auto"/>
              <w:bottom w:val="single" w:sz="4" w:space="0" w:color="auto"/>
            </w:tcBorders>
            <w:tcMar>
              <w:left w:w="0" w:type="dxa"/>
            </w:tcMar>
          </w:tcPr>
          <w:p w14:paraId="7AD73B47" w14:textId="1CBFE1AF" w:rsidR="00AD3606" w:rsidRPr="001A7CC8" w:rsidRDefault="00F16BAB" w:rsidP="00F16BAB">
            <w:pPr>
              <w:spacing w:before="160"/>
              <w:rPr>
                <w:rFonts w:asciiTheme="minorHAnsi" w:hAnsiTheme="minorHAnsi" w:cstheme="minorHAnsi"/>
                <w:b/>
                <w:bCs/>
                <w:sz w:val="26"/>
                <w:szCs w:val="26"/>
              </w:rPr>
            </w:pPr>
            <w:r w:rsidRPr="001A7CC8">
              <w:rPr>
                <w:rFonts w:asciiTheme="minorHAnsi" w:hAnsiTheme="minorHAnsi" w:cstheme="minorHAnsi"/>
                <w:b/>
                <w:bCs/>
                <w:sz w:val="26"/>
                <w:szCs w:val="26"/>
              </w:rPr>
              <w:t>Purpose</w:t>
            </w:r>
          </w:p>
          <w:p w14:paraId="503DC15B" w14:textId="4CF74C6D" w:rsidR="0035511B" w:rsidRPr="001A7CC8" w:rsidRDefault="583899B0" w:rsidP="23D2F17E">
            <w:pPr>
              <w:jc w:val="both"/>
              <w:rPr>
                <w:rFonts w:asciiTheme="minorHAnsi" w:hAnsiTheme="minorHAnsi" w:cstheme="minorBidi"/>
              </w:rPr>
            </w:pPr>
            <w:r w:rsidRPr="23D2F17E">
              <w:rPr>
                <w:rFonts w:asciiTheme="minorHAnsi" w:hAnsiTheme="minorHAnsi" w:cstheme="minorBidi"/>
              </w:rPr>
              <w:t xml:space="preserve">In response to </w:t>
            </w:r>
            <w:r w:rsidR="18303FB7" w:rsidRPr="23D2F17E">
              <w:rPr>
                <w:rFonts w:asciiTheme="minorHAnsi" w:hAnsiTheme="minorHAnsi" w:cstheme="minorBidi"/>
              </w:rPr>
              <w:t>the World Telecommunication Standardization Assembly (</w:t>
            </w:r>
            <w:r w:rsidRPr="23D2F17E">
              <w:rPr>
                <w:rFonts w:asciiTheme="minorHAnsi" w:hAnsiTheme="minorHAnsi" w:cstheme="minorBidi"/>
              </w:rPr>
              <w:t>WTSA-20</w:t>
            </w:r>
            <w:r w:rsidR="18303FB7" w:rsidRPr="23D2F17E">
              <w:rPr>
                <w:rFonts w:asciiTheme="minorHAnsi" w:hAnsiTheme="minorHAnsi" w:cstheme="minorBidi"/>
              </w:rPr>
              <w:t>)</w:t>
            </w:r>
            <w:r w:rsidRPr="23D2F17E">
              <w:rPr>
                <w:rFonts w:asciiTheme="minorHAnsi" w:hAnsiTheme="minorHAnsi" w:cstheme="minorBidi"/>
              </w:rPr>
              <w:t xml:space="preserve"> (held in 2022) and </w:t>
            </w:r>
            <w:r w:rsidR="18303FB7" w:rsidRPr="23D2F17E">
              <w:rPr>
                <w:rFonts w:asciiTheme="minorHAnsi" w:hAnsiTheme="minorHAnsi" w:cstheme="minorBidi"/>
              </w:rPr>
              <w:t>the Plenipotentiary Conference (</w:t>
            </w:r>
            <w:r w:rsidRPr="23D2F17E">
              <w:rPr>
                <w:rFonts w:asciiTheme="minorHAnsi" w:hAnsiTheme="minorHAnsi" w:cstheme="minorBidi"/>
              </w:rPr>
              <w:t>PP-22</w:t>
            </w:r>
            <w:r w:rsidR="18303FB7" w:rsidRPr="23D2F17E">
              <w:rPr>
                <w:rFonts w:asciiTheme="minorHAnsi" w:hAnsiTheme="minorHAnsi" w:cstheme="minorBidi"/>
              </w:rPr>
              <w:t>)</w:t>
            </w:r>
            <w:r w:rsidRPr="23D2F17E">
              <w:rPr>
                <w:rFonts w:asciiTheme="minorHAnsi" w:hAnsiTheme="minorHAnsi" w:cstheme="minorBidi"/>
              </w:rPr>
              <w:t xml:space="preserve"> outcomes, it has been necessary to reorganize and reinforce the T</w:t>
            </w:r>
            <w:r w:rsidR="660C3C59" w:rsidRPr="23D2F17E">
              <w:rPr>
                <w:rFonts w:asciiTheme="minorHAnsi" w:hAnsiTheme="minorHAnsi" w:cstheme="minorBidi"/>
              </w:rPr>
              <w:t xml:space="preserve">elecommunication </w:t>
            </w:r>
            <w:r w:rsidRPr="23D2F17E">
              <w:rPr>
                <w:rFonts w:asciiTheme="minorHAnsi" w:hAnsiTheme="minorHAnsi" w:cstheme="minorBidi"/>
              </w:rPr>
              <w:t>S</w:t>
            </w:r>
            <w:r w:rsidR="660C3C59" w:rsidRPr="23D2F17E">
              <w:rPr>
                <w:rFonts w:asciiTheme="minorHAnsi" w:hAnsiTheme="minorHAnsi" w:cstheme="minorBidi"/>
              </w:rPr>
              <w:t xml:space="preserve">tandardization </w:t>
            </w:r>
            <w:r w:rsidRPr="23D2F17E">
              <w:rPr>
                <w:rFonts w:asciiTheme="minorHAnsi" w:hAnsiTheme="minorHAnsi" w:cstheme="minorBidi"/>
              </w:rPr>
              <w:t>B</w:t>
            </w:r>
            <w:r w:rsidR="660C3C59" w:rsidRPr="23D2F17E">
              <w:rPr>
                <w:rFonts w:asciiTheme="minorHAnsi" w:hAnsiTheme="minorHAnsi" w:cstheme="minorBidi"/>
              </w:rPr>
              <w:t>ureau</w:t>
            </w:r>
            <w:r w:rsidR="1752ECE4" w:rsidRPr="23D2F17E">
              <w:rPr>
                <w:rFonts w:asciiTheme="minorHAnsi" w:hAnsiTheme="minorHAnsi" w:cstheme="minorBidi"/>
              </w:rPr>
              <w:t xml:space="preserve"> (TSB)</w:t>
            </w:r>
            <w:r w:rsidRPr="23D2F17E">
              <w:rPr>
                <w:rFonts w:asciiTheme="minorHAnsi" w:hAnsiTheme="minorHAnsi" w:cstheme="minorBidi"/>
              </w:rPr>
              <w:t xml:space="preserve"> </w:t>
            </w:r>
            <w:r w:rsidR="46205B03" w:rsidRPr="23D2F17E">
              <w:rPr>
                <w:rFonts w:asciiTheme="minorHAnsi" w:hAnsiTheme="minorHAnsi" w:cstheme="minorBidi"/>
              </w:rPr>
              <w:t>to</w:t>
            </w:r>
            <w:r w:rsidRPr="23D2F17E">
              <w:rPr>
                <w:rFonts w:asciiTheme="minorHAnsi" w:hAnsiTheme="minorHAnsi" w:cstheme="minorBidi"/>
              </w:rPr>
              <w:t xml:space="preserve"> implement the WTSA-20 and PP-22 Action Plans. The main change is the creation of a new Strategic Engagement Department and the move of the Study Groups to the existing Telecommunication Standardization Policy Department</w:t>
            </w:r>
            <w:r w:rsidR="4370AC05" w:rsidRPr="23D2F17E">
              <w:rPr>
                <w:rFonts w:asciiTheme="minorHAnsi" w:hAnsiTheme="minorHAnsi" w:cstheme="minorBidi"/>
              </w:rPr>
              <w:t xml:space="preserve"> (and renaming it to the Study Groups and Policy Department)</w:t>
            </w:r>
            <w:r w:rsidRPr="23D2F17E">
              <w:rPr>
                <w:rFonts w:asciiTheme="minorHAnsi" w:hAnsiTheme="minorHAnsi" w:cstheme="minorBidi"/>
              </w:rPr>
              <w:t>.</w:t>
            </w:r>
          </w:p>
          <w:p w14:paraId="6C2FABBA" w14:textId="3A3F44F6" w:rsidR="0035511B" w:rsidRPr="001A7CC8" w:rsidRDefault="0035511B" w:rsidP="007C12F3">
            <w:pPr>
              <w:jc w:val="both"/>
              <w:rPr>
                <w:rFonts w:asciiTheme="minorHAnsi" w:hAnsiTheme="minorHAnsi" w:cstheme="minorHAnsi"/>
              </w:rPr>
            </w:pPr>
            <w:r w:rsidRPr="001A7CC8">
              <w:rPr>
                <w:rFonts w:asciiTheme="minorHAnsi" w:hAnsiTheme="minorHAnsi" w:cstheme="minorHAnsi"/>
              </w:rPr>
              <w:t>The Deputy to the Director will be the Chief of the Study Groups and Policy Department.</w:t>
            </w:r>
          </w:p>
          <w:p w14:paraId="2E09FE8B" w14:textId="67BC9A9C" w:rsidR="00AD3606" w:rsidRPr="001A7CC8" w:rsidRDefault="595E697B" w:rsidP="23D2F17E">
            <w:pPr>
              <w:jc w:val="both"/>
              <w:rPr>
                <w:rFonts w:asciiTheme="minorHAnsi" w:hAnsiTheme="minorHAnsi" w:cstheme="minorBidi"/>
              </w:rPr>
            </w:pPr>
            <w:r w:rsidRPr="23D2F17E">
              <w:rPr>
                <w:rFonts w:asciiTheme="minorHAnsi" w:hAnsiTheme="minorHAnsi" w:cstheme="minorBidi"/>
              </w:rPr>
              <w:t xml:space="preserve">Following advice of the Coordination Committee, </w:t>
            </w:r>
            <w:r w:rsidR="6B7A2883" w:rsidRPr="23D2F17E">
              <w:rPr>
                <w:rFonts w:asciiTheme="minorHAnsi" w:hAnsiTheme="minorHAnsi" w:cstheme="minorBidi"/>
              </w:rPr>
              <w:t>t</w:t>
            </w:r>
            <w:r w:rsidR="20C3CC8F" w:rsidRPr="23D2F17E">
              <w:rPr>
                <w:rFonts w:asciiTheme="minorHAnsi" w:hAnsiTheme="minorHAnsi" w:cstheme="minorBidi"/>
              </w:rPr>
              <w:t>he Secretary-General has approved the reorganization of TSB</w:t>
            </w:r>
            <w:r w:rsidR="303807C2" w:rsidRPr="23D2F17E">
              <w:rPr>
                <w:rFonts w:asciiTheme="minorHAnsi" w:hAnsiTheme="minorHAnsi" w:cstheme="minorBidi"/>
              </w:rPr>
              <w:t>.</w:t>
            </w:r>
          </w:p>
          <w:p w14:paraId="5076D5C4" w14:textId="77777777" w:rsidR="00AD3606" w:rsidRPr="001A7CC8" w:rsidRDefault="00AD3606" w:rsidP="007C12F3">
            <w:pPr>
              <w:spacing w:before="160"/>
              <w:jc w:val="both"/>
              <w:rPr>
                <w:rFonts w:asciiTheme="minorHAnsi" w:hAnsiTheme="minorHAnsi" w:cstheme="minorHAnsi"/>
                <w:b/>
                <w:bCs/>
                <w:sz w:val="26"/>
                <w:szCs w:val="26"/>
              </w:rPr>
            </w:pPr>
            <w:r w:rsidRPr="001A7CC8">
              <w:rPr>
                <w:rFonts w:asciiTheme="minorHAnsi" w:hAnsiTheme="minorHAnsi" w:cstheme="minorHAnsi"/>
                <w:b/>
                <w:bCs/>
                <w:sz w:val="26"/>
                <w:szCs w:val="26"/>
              </w:rPr>
              <w:t>Action required</w:t>
            </w:r>
            <w:r w:rsidR="00F16BAB" w:rsidRPr="001A7CC8">
              <w:rPr>
                <w:rFonts w:asciiTheme="minorHAnsi" w:hAnsiTheme="minorHAnsi" w:cstheme="minorHAnsi"/>
                <w:b/>
                <w:bCs/>
                <w:sz w:val="26"/>
                <w:szCs w:val="26"/>
              </w:rPr>
              <w:t xml:space="preserve"> by the </w:t>
            </w:r>
            <w:proofErr w:type="gramStart"/>
            <w:r w:rsidR="00F16BAB" w:rsidRPr="001A7CC8">
              <w:rPr>
                <w:rFonts w:asciiTheme="minorHAnsi" w:hAnsiTheme="minorHAnsi" w:cstheme="minorHAnsi"/>
                <w:b/>
                <w:bCs/>
                <w:sz w:val="26"/>
                <w:szCs w:val="26"/>
              </w:rPr>
              <w:t>Council</w:t>
            </w:r>
            <w:proofErr w:type="gramEnd"/>
          </w:p>
          <w:p w14:paraId="193E52DB" w14:textId="292E3E6A" w:rsidR="00D14502" w:rsidRPr="001A7CC8" w:rsidRDefault="00F46AD1" w:rsidP="007C12F3">
            <w:pPr>
              <w:jc w:val="both"/>
              <w:rPr>
                <w:rFonts w:asciiTheme="minorHAnsi" w:hAnsiTheme="minorHAnsi" w:cstheme="minorHAnsi"/>
              </w:rPr>
            </w:pPr>
            <w:r w:rsidRPr="001A7CC8">
              <w:rPr>
                <w:rFonts w:asciiTheme="minorHAnsi" w:hAnsiTheme="minorHAnsi" w:cstheme="minorHAnsi"/>
              </w:rPr>
              <w:t xml:space="preserve">The Council is invited to </w:t>
            </w:r>
            <w:r w:rsidRPr="001A7CC8">
              <w:rPr>
                <w:rFonts w:asciiTheme="minorHAnsi" w:hAnsiTheme="minorHAnsi" w:cstheme="minorHAnsi"/>
                <w:b/>
                <w:bCs/>
              </w:rPr>
              <w:t>note</w:t>
            </w:r>
            <w:r w:rsidRPr="001A7CC8">
              <w:rPr>
                <w:rFonts w:asciiTheme="minorHAnsi" w:hAnsiTheme="minorHAnsi" w:cstheme="minorHAnsi"/>
              </w:rPr>
              <w:t xml:space="preserve"> the reorganization of TSB and to </w:t>
            </w:r>
            <w:r w:rsidRPr="001A7CC8">
              <w:rPr>
                <w:rFonts w:asciiTheme="minorHAnsi" w:hAnsiTheme="minorHAnsi" w:cstheme="minorHAnsi"/>
                <w:b/>
                <w:bCs/>
              </w:rPr>
              <w:t>approve</w:t>
            </w:r>
            <w:r w:rsidR="00737BFC" w:rsidRPr="001A7CC8">
              <w:rPr>
                <w:rFonts w:asciiTheme="minorHAnsi" w:hAnsiTheme="minorHAnsi" w:cstheme="minorHAnsi"/>
              </w:rPr>
              <w:t xml:space="preserve"> </w:t>
            </w:r>
            <w:r w:rsidR="00B51977" w:rsidRPr="001A7CC8">
              <w:rPr>
                <w:rFonts w:asciiTheme="minorHAnsi" w:hAnsiTheme="minorHAnsi" w:cstheme="minorHAnsi"/>
              </w:rPr>
              <w:t>the attached</w:t>
            </w:r>
            <w:r w:rsidR="00737BFC" w:rsidRPr="001A7CC8">
              <w:rPr>
                <w:rFonts w:asciiTheme="minorHAnsi" w:hAnsiTheme="minorHAnsi" w:cstheme="minorHAnsi"/>
              </w:rPr>
              <w:t xml:space="preserve"> draft decision regarding </w:t>
            </w:r>
            <w:r w:rsidRPr="001A7CC8">
              <w:rPr>
                <w:rFonts w:asciiTheme="minorHAnsi" w:hAnsiTheme="minorHAnsi" w:cstheme="minorHAnsi"/>
              </w:rPr>
              <w:t>the job description of the D</w:t>
            </w:r>
            <w:r w:rsidR="00210287" w:rsidRPr="001A7CC8">
              <w:rPr>
                <w:rFonts w:asciiTheme="minorHAnsi" w:hAnsiTheme="minorHAnsi" w:cstheme="minorHAnsi"/>
              </w:rPr>
              <w:t>.</w:t>
            </w:r>
            <w:r w:rsidRPr="001A7CC8">
              <w:rPr>
                <w:rFonts w:asciiTheme="minorHAnsi" w:hAnsiTheme="minorHAnsi" w:cstheme="minorHAnsi"/>
              </w:rPr>
              <w:t>1 post of Chief, Strategic Engagement Department</w:t>
            </w:r>
            <w:r w:rsidR="00433BCA">
              <w:rPr>
                <w:rFonts w:asciiTheme="minorHAnsi" w:hAnsiTheme="minorHAnsi" w:cstheme="minorHAnsi"/>
              </w:rPr>
              <w:t>.</w:t>
            </w:r>
          </w:p>
          <w:p w14:paraId="0CFE00A1" w14:textId="27631945" w:rsidR="004D6022" w:rsidRPr="001A7CC8" w:rsidRDefault="004D6022" w:rsidP="004D6022">
            <w:pPr>
              <w:spacing w:before="160"/>
              <w:rPr>
                <w:b/>
                <w:bCs/>
                <w:sz w:val="26"/>
                <w:szCs w:val="26"/>
              </w:rPr>
            </w:pPr>
            <w:r w:rsidRPr="001A7CC8">
              <w:rPr>
                <w:b/>
                <w:bCs/>
                <w:sz w:val="26"/>
                <w:szCs w:val="26"/>
              </w:rPr>
              <w:t>Relevant link(s) with the Strategic Plan</w:t>
            </w:r>
          </w:p>
          <w:p w14:paraId="2F8D7E01" w14:textId="6E1D2ECA" w:rsidR="004D6022" w:rsidRPr="001A7CC8" w:rsidRDefault="004D6022" w:rsidP="004D6022">
            <w:pPr>
              <w:spacing w:before="160"/>
              <w:rPr>
                <w:szCs w:val="24"/>
              </w:rPr>
            </w:pPr>
            <w:r w:rsidRPr="001A7CC8">
              <w:rPr>
                <w:szCs w:val="24"/>
              </w:rPr>
              <w:t>Organizational excellence</w:t>
            </w:r>
            <w:r w:rsidR="00433BCA">
              <w:rPr>
                <w:szCs w:val="24"/>
              </w:rPr>
              <w:t>.</w:t>
            </w:r>
          </w:p>
          <w:p w14:paraId="076AE760" w14:textId="2B1892DA" w:rsidR="004D6022" w:rsidRPr="001A7CC8" w:rsidRDefault="004D6022" w:rsidP="004D6022">
            <w:pPr>
              <w:spacing w:before="160"/>
              <w:rPr>
                <w:b/>
                <w:bCs/>
                <w:sz w:val="26"/>
                <w:szCs w:val="26"/>
              </w:rPr>
            </w:pPr>
            <w:r w:rsidRPr="001A7CC8">
              <w:rPr>
                <w:b/>
                <w:bCs/>
                <w:sz w:val="26"/>
                <w:szCs w:val="26"/>
              </w:rPr>
              <w:t>Financial implications</w:t>
            </w:r>
          </w:p>
          <w:p w14:paraId="4CCA600B" w14:textId="3C53B86C" w:rsidR="004D6022" w:rsidRPr="001A7CC8" w:rsidRDefault="004D6022" w:rsidP="007C12F3">
            <w:pPr>
              <w:jc w:val="both"/>
              <w:rPr>
                <w:rFonts w:asciiTheme="minorHAnsi" w:hAnsiTheme="minorHAnsi" w:cstheme="minorHAnsi"/>
              </w:rPr>
            </w:pPr>
            <w:r w:rsidRPr="001A7CC8">
              <w:rPr>
                <w:rFonts w:asciiTheme="minorHAnsi" w:hAnsiTheme="minorHAnsi" w:cstheme="minorHAnsi"/>
              </w:rPr>
              <w:t>The cost of the post has been included in the budget 2024-2025.</w:t>
            </w:r>
          </w:p>
          <w:p w14:paraId="2AAB18B0" w14:textId="42D70A83" w:rsidR="00AD3606" w:rsidRPr="001A7CC8" w:rsidRDefault="00AD3606" w:rsidP="00F16BAB">
            <w:pPr>
              <w:spacing w:before="160"/>
              <w:rPr>
                <w:rFonts w:asciiTheme="minorHAnsi" w:hAnsiTheme="minorHAnsi" w:cstheme="minorHAnsi"/>
                <w:caps/>
                <w:sz w:val="22"/>
              </w:rPr>
            </w:pPr>
            <w:r w:rsidRPr="001A7CC8">
              <w:rPr>
                <w:rFonts w:asciiTheme="minorHAnsi" w:hAnsiTheme="minorHAnsi" w:cstheme="minorHAnsi"/>
                <w:sz w:val="22"/>
              </w:rPr>
              <w:t>__________________</w:t>
            </w:r>
          </w:p>
          <w:p w14:paraId="00DEE14C" w14:textId="1BE67C7C" w:rsidR="00AD3606" w:rsidRPr="001A7CC8" w:rsidRDefault="00AD3606" w:rsidP="00F16BAB">
            <w:pPr>
              <w:spacing w:before="160"/>
              <w:rPr>
                <w:rFonts w:asciiTheme="minorHAnsi" w:hAnsiTheme="minorHAnsi" w:cstheme="minorHAnsi"/>
                <w:b/>
                <w:bCs/>
                <w:sz w:val="26"/>
                <w:szCs w:val="26"/>
              </w:rPr>
            </w:pPr>
            <w:r w:rsidRPr="001A7CC8">
              <w:rPr>
                <w:rFonts w:asciiTheme="minorHAnsi" w:hAnsiTheme="minorHAnsi" w:cstheme="minorHAnsi"/>
                <w:b/>
                <w:bCs/>
                <w:sz w:val="26"/>
                <w:szCs w:val="26"/>
              </w:rPr>
              <w:t>References</w:t>
            </w:r>
          </w:p>
          <w:p w14:paraId="0175CD6C" w14:textId="4CFBE09E" w:rsidR="00AD3606" w:rsidRPr="001A7CC8" w:rsidRDefault="004D0532" w:rsidP="00433BCA">
            <w:pPr>
              <w:overflowPunct/>
              <w:spacing w:after="120"/>
              <w:textAlignment w:val="auto"/>
              <w:rPr>
                <w:rFonts w:asciiTheme="minorHAnsi" w:hAnsiTheme="minorHAnsi" w:cstheme="minorHAnsi"/>
              </w:rPr>
            </w:pPr>
            <w:hyperlink r:id="rId11" w:history="1">
              <w:r w:rsidR="00737BFC" w:rsidRPr="00433BCA">
                <w:rPr>
                  <w:rStyle w:val="Hyperlink"/>
                  <w:rFonts w:asciiTheme="minorHAnsi" w:eastAsia="SimSun" w:hAnsiTheme="minorHAnsi" w:cstheme="minorHAnsi"/>
                  <w:i/>
                  <w:iCs/>
                  <w:szCs w:val="24"/>
                  <w:lang w:eastAsia="zh-CN"/>
                </w:rPr>
                <w:t>Nos. 70 and 71 of the Convention</w:t>
              </w:r>
            </w:hyperlink>
            <w:r w:rsidR="00737BFC" w:rsidRPr="001A7CC8">
              <w:rPr>
                <w:rFonts w:asciiTheme="minorHAnsi" w:eastAsia="SimSun" w:hAnsiTheme="minorHAnsi" w:cstheme="minorHAnsi"/>
                <w:i/>
                <w:iCs/>
                <w:szCs w:val="24"/>
                <w:lang w:eastAsia="zh-CN"/>
              </w:rPr>
              <w:t xml:space="preserve"> of the International Telecommunication Union</w:t>
            </w:r>
            <w:r w:rsidR="00B031EA">
              <w:rPr>
                <w:rFonts w:asciiTheme="minorHAnsi" w:eastAsia="SimSun" w:hAnsiTheme="minorHAnsi" w:cstheme="minorHAnsi"/>
                <w:i/>
                <w:iCs/>
                <w:szCs w:val="24"/>
                <w:lang w:eastAsia="zh-CN"/>
              </w:rPr>
              <w:t xml:space="preserve"> (Geneva, 1992)</w:t>
            </w:r>
            <w:r w:rsidR="00433BCA">
              <w:rPr>
                <w:rFonts w:asciiTheme="minorHAnsi" w:eastAsia="SimSun" w:hAnsiTheme="minorHAnsi" w:cstheme="minorHAnsi"/>
                <w:i/>
                <w:iCs/>
                <w:szCs w:val="24"/>
                <w:lang w:eastAsia="zh-CN"/>
              </w:rPr>
              <w:t xml:space="preserve">; </w:t>
            </w:r>
            <w:hyperlink r:id="rId12" w:history="1">
              <w:r w:rsidR="00D14502" w:rsidRPr="00433BCA">
                <w:rPr>
                  <w:rStyle w:val="Hyperlink"/>
                  <w:rFonts w:asciiTheme="minorHAnsi" w:hAnsiTheme="minorHAnsi" w:cstheme="minorHAnsi"/>
                  <w:szCs w:val="24"/>
                </w:rPr>
                <w:t>Council Resolution 1108</w:t>
              </w:r>
            </w:hyperlink>
            <w:r w:rsidR="00D14502" w:rsidRPr="001A7CC8">
              <w:rPr>
                <w:rFonts w:asciiTheme="minorHAnsi" w:hAnsiTheme="minorHAnsi" w:cstheme="minorHAnsi"/>
                <w:szCs w:val="24"/>
              </w:rPr>
              <w:t xml:space="preserve"> on post management</w:t>
            </w:r>
            <w:r w:rsidR="00087E19" w:rsidRPr="001A7CC8">
              <w:rPr>
                <w:rFonts w:asciiTheme="minorHAnsi" w:hAnsiTheme="minorHAnsi" w:cstheme="minorHAnsi"/>
                <w:szCs w:val="24"/>
              </w:rPr>
              <w:t>.</w:t>
            </w:r>
          </w:p>
        </w:tc>
      </w:tr>
    </w:tbl>
    <w:p w14:paraId="1D7ED322" w14:textId="666A0ED7" w:rsidR="0090147A" w:rsidRPr="001A7CC8" w:rsidRDefault="0090147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rPr>
      </w:pPr>
      <w:bookmarkStart w:id="11" w:name="_Hlk133421428"/>
      <w:bookmarkEnd w:id="2"/>
      <w:bookmarkEnd w:id="3"/>
      <w:bookmarkEnd w:id="4"/>
      <w:bookmarkEnd w:id="10"/>
      <w:r w:rsidRPr="001A7CC8">
        <w:rPr>
          <w:rFonts w:asciiTheme="minorHAnsi" w:hAnsiTheme="minorHAnsi" w:cstheme="minorHAnsi"/>
        </w:rPr>
        <w:br w:type="page"/>
      </w:r>
    </w:p>
    <w:bookmarkEnd w:id="5"/>
    <w:bookmarkEnd w:id="11"/>
    <w:p w14:paraId="6DB991E4" w14:textId="7553DB15" w:rsidR="00633FDE" w:rsidRPr="001A7CC8" w:rsidRDefault="00633FDE" w:rsidP="00E339BD">
      <w:pPr>
        <w:pStyle w:val="Heading1"/>
        <w:tabs>
          <w:tab w:val="clear" w:pos="2835"/>
          <w:tab w:val="center" w:pos="4535"/>
        </w:tabs>
        <w:rPr>
          <w:rFonts w:asciiTheme="minorHAnsi" w:hAnsiTheme="minorHAnsi" w:cstheme="minorHAnsi"/>
        </w:rPr>
      </w:pPr>
      <w:r w:rsidRPr="001A7CC8">
        <w:rPr>
          <w:rFonts w:asciiTheme="minorHAnsi" w:hAnsiTheme="minorHAnsi" w:cstheme="minorHAnsi"/>
        </w:rPr>
        <w:lastRenderedPageBreak/>
        <w:t>TSB Reorganization</w:t>
      </w:r>
      <w:r w:rsidR="00E339BD" w:rsidRPr="001A7CC8">
        <w:rPr>
          <w:rFonts w:asciiTheme="minorHAnsi" w:hAnsiTheme="minorHAnsi" w:cstheme="minorHAnsi"/>
        </w:rPr>
        <w:tab/>
      </w:r>
    </w:p>
    <w:p w14:paraId="031ECFA4" w14:textId="45FAD9D1" w:rsidR="00633FDE" w:rsidRPr="001A7CC8" w:rsidRDefault="00633FDE" w:rsidP="453F3877">
      <w:pP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hAnsiTheme="minorHAnsi" w:cstheme="minorBidi"/>
        </w:rPr>
      </w:pPr>
      <w:r w:rsidRPr="453F3877">
        <w:rPr>
          <w:rFonts w:asciiTheme="minorHAnsi" w:hAnsiTheme="minorHAnsi" w:cstheme="minorBidi"/>
        </w:rPr>
        <w:t>1</w:t>
      </w:r>
      <w:r>
        <w:tab/>
      </w:r>
      <w:r w:rsidRPr="453F3877">
        <w:rPr>
          <w:rFonts w:asciiTheme="minorHAnsi" w:hAnsiTheme="minorHAnsi" w:cstheme="minorBidi"/>
        </w:rPr>
        <w:t xml:space="preserve">In response to WTSA-20 and PP-22 outcomes, it has been necessary to reorganize and reinforce the TSB </w:t>
      </w:r>
      <w:r w:rsidR="6DED9913" w:rsidRPr="453F3877">
        <w:rPr>
          <w:rFonts w:asciiTheme="minorHAnsi" w:hAnsiTheme="minorHAnsi" w:cstheme="minorBidi"/>
        </w:rPr>
        <w:t>to</w:t>
      </w:r>
      <w:r w:rsidRPr="453F3877">
        <w:rPr>
          <w:rFonts w:asciiTheme="minorHAnsi" w:hAnsiTheme="minorHAnsi" w:cstheme="minorBidi"/>
        </w:rPr>
        <w:t xml:space="preserve"> implement the WTSA-</w:t>
      </w:r>
      <w:r w:rsidR="00910129">
        <w:rPr>
          <w:rFonts w:asciiTheme="minorHAnsi" w:hAnsiTheme="minorHAnsi" w:cstheme="minorBidi"/>
        </w:rPr>
        <w:t>20</w:t>
      </w:r>
      <w:r w:rsidRPr="453F3877">
        <w:rPr>
          <w:rFonts w:asciiTheme="minorHAnsi" w:hAnsiTheme="minorHAnsi" w:cstheme="minorBidi"/>
        </w:rPr>
        <w:t xml:space="preserve"> and PP-22 Action Plans.</w:t>
      </w:r>
    </w:p>
    <w:p w14:paraId="50108B23" w14:textId="5A341337" w:rsidR="00633FDE" w:rsidRPr="001A7CC8" w:rsidRDefault="00633FDE" w:rsidP="007C12F3">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rPr>
      </w:pPr>
      <w:r w:rsidRPr="001A7CC8">
        <w:rPr>
          <w:rFonts w:asciiTheme="minorHAnsi" w:hAnsiTheme="minorHAnsi" w:cstheme="minorHAnsi"/>
        </w:rPr>
        <w:t>2</w:t>
      </w:r>
      <w:r w:rsidRPr="001A7CC8">
        <w:rPr>
          <w:rFonts w:asciiTheme="minorHAnsi" w:hAnsiTheme="minorHAnsi" w:cstheme="minorHAnsi"/>
        </w:rPr>
        <w:tab/>
        <w:t xml:space="preserve">The former structure of the TSB is shown in </w:t>
      </w:r>
      <w:hyperlink w:anchor="AnnexA" w:history="1">
        <w:r w:rsidRPr="006D296C">
          <w:rPr>
            <w:rStyle w:val="Hyperlink"/>
            <w:rFonts w:asciiTheme="minorHAnsi" w:hAnsiTheme="minorHAnsi" w:cstheme="minorHAnsi"/>
          </w:rPr>
          <w:t>Annex A</w:t>
        </w:r>
      </w:hyperlink>
      <w:r w:rsidRPr="001A7CC8">
        <w:rPr>
          <w:rFonts w:asciiTheme="minorHAnsi" w:hAnsiTheme="minorHAnsi" w:cstheme="minorHAnsi"/>
        </w:rPr>
        <w:t xml:space="preserve"> and the new structure is shown in </w:t>
      </w:r>
      <w:hyperlink w:anchor="AnnexB" w:history="1">
        <w:r w:rsidRPr="006D296C">
          <w:rPr>
            <w:rStyle w:val="Hyperlink"/>
            <w:rFonts w:asciiTheme="minorHAnsi" w:hAnsiTheme="minorHAnsi" w:cstheme="minorHAnsi"/>
          </w:rPr>
          <w:t>Annex B</w:t>
        </w:r>
      </w:hyperlink>
      <w:r w:rsidRPr="001A7CC8">
        <w:rPr>
          <w:rFonts w:asciiTheme="minorHAnsi" w:hAnsiTheme="minorHAnsi" w:cstheme="minorHAnsi"/>
        </w:rPr>
        <w:t>.</w:t>
      </w:r>
    </w:p>
    <w:p w14:paraId="25B69F47" w14:textId="638D4CC4" w:rsidR="00633FDE" w:rsidRPr="001A7CC8" w:rsidRDefault="00633FDE" w:rsidP="453F387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rPr>
      </w:pPr>
      <w:r w:rsidRPr="453F3877">
        <w:rPr>
          <w:rFonts w:asciiTheme="minorHAnsi" w:hAnsiTheme="minorHAnsi" w:cstheme="minorBidi"/>
        </w:rPr>
        <w:t>3</w:t>
      </w:r>
      <w:r>
        <w:tab/>
      </w:r>
      <w:r w:rsidRPr="453F3877">
        <w:rPr>
          <w:rFonts w:asciiTheme="minorHAnsi" w:hAnsiTheme="minorHAnsi" w:cstheme="minorBidi"/>
        </w:rPr>
        <w:t>The main change is the creation of a new Strategic Engagement Department</w:t>
      </w:r>
      <w:r w:rsidR="4ABA655F" w:rsidRPr="453F3877">
        <w:rPr>
          <w:rFonts w:asciiTheme="minorHAnsi" w:hAnsiTheme="minorHAnsi" w:cstheme="minorBidi"/>
        </w:rPr>
        <w:t xml:space="preserve">, </w:t>
      </w:r>
      <w:r w:rsidRPr="453F3877">
        <w:rPr>
          <w:rFonts w:asciiTheme="minorHAnsi" w:hAnsiTheme="minorHAnsi" w:cstheme="minorBidi"/>
        </w:rPr>
        <w:t xml:space="preserve">the move of the Study Groups under the Telecommunication Standardization Policy </w:t>
      </w:r>
      <w:r w:rsidR="1DF41BF5" w:rsidRPr="453F3877">
        <w:rPr>
          <w:rFonts w:asciiTheme="minorHAnsi" w:hAnsiTheme="minorHAnsi" w:cstheme="minorBidi"/>
        </w:rPr>
        <w:t>Department and</w:t>
      </w:r>
      <w:r w:rsidRPr="453F3877">
        <w:rPr>
          <w:rFonts w:asciiTheme="minorHAnsi" w:hAnsiTheme="minorHAnsi" w:cstheme="minorBidi"/>
        </w:rPr>
        <w:t xml:space="preserve"> renaming it to Study Groups and Policy Department. The Job </w:t>
      </w:r>
      <w:r w:rsidR="00D51D3F" w:rsidRPr="453F3877">
        <w:rPr>
          <w:rFonts w:asciiTheme="minorHAnsi" w:hAnsiTheme="minorHAnsi" w:cstheme="minorBidi"/>
        </w:rPr>
        <w:t>D</w:t>
      </w:r>
      <w:r w:rsidRPr="453F3877">
        <w:rPr>
          <w:rFonts w:asciiTheme="minorHAnsi" w:hAnsiTheme="minorHAnsi" w:cstheme="minorBidi"/>
        </w:rPr>
        <w:t xml:space="preserve">escription of the </w:t>
      </w:r>
      <w:r w:rsidR="00D51D3F" w:rsidRPr="453F3877">
        <w:rPr>
          <w:rFonts w:asciiTheme="minorHAnsi" w:hAnsiTheme="minorHAnsi" w:cstheme="minorBidi"/>
        </w:rPr>
        <w:t>C</w:t>
      </w:r>
      <w:r w:rsidRPr="453F3877">
        <w:rPr>
          <w:rFonts w:asciiTheme="minorHAnsi" w:hAnsiTheme="minorHAnsi" w:cstheme="minorBidi"/>
        </w:rPr>
        <w:t>hief</w:t>
      </w:r>
      <w:r w:rsidR="00D51D3F" w:rsidRPr="453F3877">
        <w:rPr>
          <w:rFonts w:asciiTheme="minorHAnsi" w:hAnsiTheme="minorHAnsi" w:cstheme="minorBidi"/>
        </w:rPr>
        <w:t>,</w:t>
      </w:r>
      <w:r w:rsidRPr="453F3877">
        <w:rPr>
          <w:rFonts w:asciiTheme="minorHAnsi" w:hAnsiTheme="minorHAnsi" w:cstheme="minorBidi"/>
        </w:rPr>
        <w:t xml:space="preserve"> Strategic Engagement Department is contained in </w:t>
      </w:r>
      <w:hyperlink w:anchor="AnnexC">
        <w:r w:rsidRPr="453F3877">
          <w:rPr>
            <w:rStyle w:val="Hyperlink"/>
            <w:rFonts w:asciiTheme="minorHAnsi" w:hAnsiTheme="minorHAnsi" w:cstheme="minorBidi"/>
          </w:rPr>
          <w:t xml:space="preserve">Annex </w:t>
        </w:r>
        <w:r w:rsidR="00D14502" w:rsidRPr="453F3877">
          <w:rPr>
            <w:rStyle w:val="Hyperlink"/>
            <w:rFonts w:asciiTheme="minorHAnsi" w:hAnsiTheme="minorHAnsi" w:cstheme="minorBidi"/>
          </w:rPr>
          <w:t>C</w:t>
        </w:r>
      </w:hyperlink>
      <w:r w:rsidRPr="453F3877">
        <w:rPr>
          <w:rFonts w:asciiTheme="minorHAnsi" w:hAnsiTheme="minorHAnsi" w:cstheme="minorBidi"/>
        </w:rPr>
        <w:t>.</w:t>
      </w:r>
    </w:p>
    <w:p w14:paraId="2409084A" w14:textId="38119921" w:rsidR="1B901619" w:rsidRDefault="1B901619" w:rsidP="453F3877">
      <w:pPr>
        <w:tabs>
          <w:tab w:val="clear" w:pos="567"/>
          <w:tab w:val="clear" w:pos="1134"/>
          <w:tab w:val="clear" w:pos="1701"/>
          <w:tab w:val="clear" w:pos="2268"/>
          <w:tab w:val="clear" w:pos="2835"/>
        </w:tabs>
        <w:spacing w:after="120"/>
        <w:jc w:val="both"/>
        <w:rPr>
          <w:rFonts w:asciiTheme="minorHAnsi" w:hAnsiTheme="minorHAnsi" w:cstheme="minorBidi"/>
        </w:rPr>
      </w:pPr>
      <w:r w:rsidRPr="453F3877">
        <w:rPr>
          <w:rFonts w:asciiTheme="minorHAnsi" w:hAnsiTheme="minorHAnsi" w:cstheme="minorBidi"/>
        </w:rPr>
        <w:t>4</w:t>
      </w:r>
      <w:r>
        <w:tab/>
      </w:r>
      <w:r w:rsidR="50AEA6AE" w:rsidRPr="453F3877">
        <w:rPr>
          <w:rFonts w:asciiTheme="minorHAnsi" w:hAnsiTheme="minorHAnsi" w:cstheme="minorBidi"/>
        </w:rPr>
        <w:t>T</w:t>
      </w:r>
      <w:r w:rsidRPr="453F3877">
        <w:rPr>
          <w:rFonts w:asciiTheme="minorHAnsi" w:hAnsiTheme="minorHAnsi" w:cstheme="minorBidi"/>
        </w:rPr>
        <w:t xml:space="preserve">he mandate and </w:t>
      </w:r>
      <w:r w:rsidR="32893057" w:rsidRPr="453F3877">
        <w:rPr>
          <w:rFonts w:asciiTheme="minorHAnsi" w:hAnsiTheme="minorHAnsi" w:cstheme="minorBidi"/>
        </w:rPr>
        <w:t>key role</w:t>
      </w:r>
      <w:r w:rsidRPr="453F3877">
        <w:rPr>
          <w:rFonts w:asciiTheme="minorHAnsi" w:hAnsiTheme="minorHAnsi" w:cstheme="minorBidi"/>
        </w:rPr>
        <w:t xml:space="preserve"> of the Deputy to the Director and Chief of Department does not change. </w:t>
      </w:r>
      <w:r w:rsidR="468E2C7E" w:rsidRPr="453F3877">
        <w:rPr>
          <w:rFonts w:asciiTheme="minorHAnsi" w:hAnsiTheme="minorHAnsi" w:cstheme="minorBidi"/>
        </w:rPr>
        <w:t xml:space="preserve">There are also no changes to the Operations and Planning Department. </w:t>
      </w:r>
    </w:p>
    <w:p w14:paraId="3B59F280" w14:textId="4CA41921" w:rsidR="00737BFC" w:rsidRPr="001A7CC8" w:rsidRDefault="538E3718" w:rsidP="23D2F17E">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rPr>
      </w:pPr>
      <w:r w:rsidRPr="23D2F17E">
        <w:rPr>
          <w:rFonts w:asciiTheme="minorHAnsi" w:hAnsiTheme="minorHAnsi" w:cstheme="minorBidi"/>
        </w:rPr>
        <w:t>5</w:t>
      </w:r>
      <w:r w:rsidR="78197870">
        <w:tab/>
      </w:r>
      <w:r w:rsidR="6CA0E764" w:rsidRPr="23D2F17E">
        <w:rPr>
          <w:rFonts w:asciiTheme="minorHAnsi" w:hAnsiTheme="minorHAnsi" w:cstheme="minorBidi"/>
        </w:rPr>
        <w:t xml:space="preserve">Following advice of the Coordination Committee, </w:t>
      </w:r>
      <w:r w:rsidR="5D1731F9" w:rsidRPr="23D2F17E">
        <w:rPr>
          <w:rFonts w:asciiTheme="minorHAnsi" w:hAnsiTheme="minorHAnsi" w:cstheme="minorBidi"/>
        </w:rPr>
        <w:t>t</w:t>
      </w:r>
      <w:r w:rsidR="002FABDD" w:rsidRPr="23D2F17E">
        <w:rPr>
          <w:rFonts w:asciiTheme="minorHAnsi" w:hAnsiTheme="minorHAnsi" w:cstheme="minorBidi"/>
        </w:rPr>
        <w:t>he Secretary</w:t>
      </w:r>
      <w:r w:rsidR="2C755015" w:rsidRPr="23D2F17E">
        <w:rPr>
          <w:rFonts w:asciiTheme="minorHAnsi" w:hAnsiTheme="minorHAnsi" w:cstheme="minorBidi"/>
        </w:rPr>
        <w:t>-</w:t>
      </w:r>
      <w:r w:rsidR="002FABDD" w:rsidRPr="23D2F17E">
        <w:rPr>
          <w:rFonts w:asciiTheme="minorHAnsi" w:hAnsiTheme="minorHAnsi" w:cstheme="minorBidi"/>
        </w:rPr>
        <w:t>General approved the TSB reorganization.</w:t>
      </w:r>
    </w:p>
    <w:p w14:paraId="25C7439A" w14:textId="2D54714B" w:rsidR="00737BFC" w:rsidRPr="001A7CC8" w:rsidRDefault="5EB3C616" w:rsidP="453F387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rPr>
      </w:pPr>
      <w:r w:rsidRPr="453F3877">
        <w:rPr>
          <w:rFonts w:asciiTheme="minorHAnsi" w:hAnsiTheme="minorHAnsi" w:cstheme="minorBidi"/>
        </w:rPr>
        <w:t>6</w:t>
      </w:r>
      <w:r w:rsidR="00737BFC">
        <w:tab/>
      </w:r>
      <w:r w:rsidR="00737BFC" w:rsidRPr="453F3877">
        <w:rPr>
          <w:rFonts w:asciiTheme="minorHAnsi" w:hAnsiTheme="minorHAnsi" w:cstheme="minorBidi"/>
        </w:rPr>
        <w:t>The Council is invited to</w:t>
      </w:r>
      <w:r w:rsidR="00737BFC" w:rsidRPr="00DD3AF4">
        <w:rPr>
          <w:rFonts w:asciiTheme="minorHAnsi" w:hAnsiTheme="minorHAnsi" w:cstheme="minorBidi"/>
          <w:b/>
          <w:bCs/>
        </w:rPr>
        <w:t xml:space="preserve"> note</w:t>
      </w:r>
      <w:r w:rsidR="00737BFC" w:rsidRPr="453F3877">
        <w:rPr>
          <w:rFonts w:asciiTheme="minorHAnsi" w:hAnsiTheme="minorHAnsi" w:cstheme="minorBidi"/>
        </w:rPr>
        <w:t xml:space="preserve"> the reorganization and </w:t>
      </w:r>
      <w:r w:rsidR="00737BFC" w:rsidRPr="00DD3AF4">
        <w:rPr>
          <w:rFonts w:asciiTheme="minorHAnsi" w:hAnsiTheme="minorHAnsi" w:cstheme="minorBidi"/>
          <w:b/>
          <w:bCs/>
        </w:rPr>
        <w:t>approve</w:t>
      </w:r>
      <w:r w:rsidR="00737BFC" w:rsidRPr="453F3877">
        <w:rPr>
          <w:rFonts w:asciiTheme="minorHAnsi" w:hAnsiTheme="minorHAnsi" w:cstheme="minorBidi"/>
        </w:rPr>
        <w:t xml:space="preserve"> the draft Decision in </w:t>
      </w:r>
      <w:hyperlink w:anchor="AnnexD">
        <w:r w:rsidR="00737BFC" w:rsidRPr="453F3877">
          <w:rPr>
            <w:rStyle w:val="Hyperlink"/>
            <w:rFonts w:asciiTheme="minorHAnsi" w:hAnsiTheme="minorHAnsi" w:cstheme="minorBidi"/>
          </w:rPr>
          <w:t xml:space="preserve">Annex </w:t>
        </w:r>
        <w:r w:rsidR="00D14502" w:rsidRPr="453F3877">
          <w:rPr>
            <w:rStyle w:val="Hyperlink"/>
            <w:rFonts w:asciiTheme="minorHAnsi" w:hAnsiTheme="minorHAnsi" w:cstheme="minorBidi"/>
          </w:rPr>
          <w:t>D</w:t>
        </w:r>
      </w:hyperlink>
      <w:r w:rsidR="00737BFC" w:rsidRPr="453F3877">
        <w:rPr>
          <w:rFonts w:asciiTheme="minorHAnsi" w:hAnsiTheme="minorHAnsi" w:cstheme="minorBidi"/>
        </w:rPr>
        <w:t xml:space="preserve"> regarding the</w:t>
      </w:r>
      <w:r w:rsidR="00D14502" w:rsidRPr="453F3877">
        <w:rPr>
          <w:rFonts w:asciiTheme="minorHAnsi" w:hAnsiTheme="minorHAnsi" w:cstheme="minorBidi"/>
        </w:rPr>
        <w:t xml:space="preserve"> job description of the post of Chief</w:t>
      </w:r>
      <w:r w:rsidR="00734309" w:rsidRPr="453F3877">
        <w:rPr>
          <w:rFonts w:asciiTheme="minorHAnsi" w:hAnsiTheme="minorHAnsi" w:cstheme="minorBidi"/>
        </w:rPr>
        <w:t>,</w:t>
      </w:r>
      <w:r w:rsidR="00D14502" w:rsidRPr="453F3877">
        <w:rPr>
          <w:rFonts w:asciiTheme="minorHAnsi" w:hAnsiTheme="minorHAnsi" w:cstheme="minorBidi"/>
        </w:rPr>
        <w:t xml:space="preserve"> Strategic Engagement Department.</w:t>
      </w:r>
    </w:p>
    <w:p w14:paraId="4FFE6AF1" w14:textId="4B002CF2" w:rsidR="00680F2F" w:rsidRPr="001A7CC8" w:rsidRDefault="00633FDE" w:rsidP="00433BCA">
      <w:pPr>
        <w:tabs>
          <w:tab w:val="clear" w:pos="567"/>
          <w:tab w:val="clear" w:pos="1134"/>
          <w:tab w:val="clear" w:pos="1701"/>
          <w:tab w:val="clear" w:pos="2268"/>
          <w:tab w:val="clear" w:pos="2835"/>
        </w:tabs>
        <w:overflowPunct/>
        <w:autoSpaceDE/>
        <w:autoSpaceDN/>
        <w:adjustRightInd/>
        <w:spacing w:before="1440"/>
        <w:textAlignment w:val="auto"/>
        <w:rPr>
          <w:rFonts w:asciiTheme="minorHAnsi" w:hAnsiTheme="minorHAnsi" w:cstheme="minorHAnsi"/>
        </w:rPr>
      </w:pPr>
      <w:r w:rsidRPr="00433BCA">
        <w:rPr>
          <w:rFonts w:asciiTheme="minorHAnsi" w:hAnsiTheme="minorHAnsi" w:cstheme="minorHAnsi"/>
          <w:b/>
          <w:bCs/>
          <w:i/>
          <w:iCs/>
        </w:rPr>
        <w:t>Annexes</w:t>
      </w:r>
      <w:r w:rsidRPr="00433BCA">
        <w:rPr>
          <w:rFonts w:asciiTheme="minorHAnsi" w:hAnsiTheme="minorHAnsi" w:cstheme="minorHAnsi"/>
          <w:i/>
          <w:iCs/>
        </w:rPr>
        <w:t>:</w:t>
      </w:r>
      <w:r w:rsidR="00D51D3F" w:rsidRPr="00433BCA">
        <w:rPr>
          <w:rFonts w:asciiTheme="minorHAnsi" w:hAnsiTheme="minorHAnsi" w:cstheme="minorHAnsi"/>
          <w:i/>
          <w:iCs/>
        </w:rPr>
        <w:t xml:space="preserve"> </w:t>
      </w:r>
      <w:r w:rsidR="00005285" w:rsidRPr="00433BCA">
        <w:rPr>
          <w:rFonts w:asciiTheme="minorHAnsi" w:hAnsiTheme="minorHAnsi" w:cstheme="minorHAnsi"/>
          <w:i/>
          <w:iCs/>
        </w:rPr>
        <w:t>4</w:t>
      </w:r>
    </w:p>
    <w:p w14:paraId="18593DDC" w14:textId="77777777" w:rsidR="0033747B" w:rsidRPr="001A7CC8" w:rsidRDefault="0033747B" w:rsidP="00633FD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sectPr w:rsidR="0033747B" w:rsidRPr="001A7CC8" w:rsidSect="00D9538D">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pPr>
    </w:p>
    <w:p w14:paraId="5DAA3E3B" w14:textId="7D8EDF0C" w:rsidR="00457B41" w:rsidRPr="001A7CC8" w:rsidRDefault="00457B41" w:rsidP="00B031EA">
      <w:pPr>
        <w:tabs>
          <w:tab w:val="clear" w:pos="567"/>
          <w:tab w:val="clear" w:pos="1134"/>
          <w:tab w:val="clear" w:pos="1701"/>
          <w:tab w:val="clear" w:pos="2268"/>
          <w:tab w:val="clear" w:pos="2835"/>
        </w:tabs>
        <w:overflowPunct/>
        <w:autoSpaceDE/>
        <w:autoSpaceDN/>
        <w:adjustRightInd/>
        <w:spacing w:before="0" w:after="240"/>
        <w:jc w:val="center"/>
        <w:textAlignment w:val="auto"/>
        <w:rPr>
          <w:rFonts w:asciiTheme="minorHAnsi" w:hAnsiTheme="minorHAnsi" w:cstheme="minorHAnsi"/>
        </w:rPr>
      </w:pPr>
      <w:bookmarkStart w:id="13" w:name="AnnexA"/>
      <w:r w:rsidRPr="001A7CC8">
        <w:rPr>
          <w:rFonts w:asciiTheme="minorHAnsi" w:hAnsiTheme="minorHAnsi" w:cstheme="minorHAnsi"/>
          <w:sz w:val="28"/>
          <w:szCs w:val="28"/>
        </w:rPr>
        <w:lastRenderedPageBreak/>
        <w:t>ANNEX A</w:t>
      </w:r>
      <w:bookmarkEnd w:id="13"/>
    </w:p>
    <w:p w14:paraId="3E05F4E5" w14:textId="6D0FBF0A" w:rsidR="00A9015D" w:rsidRDefault="00E17163" w:rsidP="00DE668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pPr>
      <w:r w:rsidRPr="00DD3AF4">
        <w:rPr>
          <w:b/>
          <w:bCs/>
          <w:noProof/>
          <w:sz w:val="26"/>
          <w:szCs w:val="26"/>
        </w:rPr>
        <mc:AlternateContent>
          <mc:Choice Requires="wps">
            <w:drawing>
              <wp:anchor distT="45720" distB="45720" distL="114300" distR="114300" simplePos="0" relativeHeight="251659264" behindDoc="0" locked="0" layoutInCell="1" allowOverlap="1" wp14:anchorId="42FDD441" wp14:editId="34F65D72">
                <wp:simplePos x="0" y="0"/>
                <wp:positionH relativeFrom="column">
                  <wp:posOffset>3529965</wp:posOffset>
                </wp:positionH>
                <wp:positionV relativeFrom="page">
                  <wp:posOffset>1479655</wp:posOffset>
                </wp:positionV>
                <wp:extent cx="2008314"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314" cy="1404620"/>
                        </a:xfrm>
                        <a:prstGeom prst="rect">
                          <a:avLst/>
                        </a:prstGeom>
                        <a:solidFill>
                          <a:schemeClr val="bg1"/>
                        </a:solidFill>
                        <a:ln w="9525">
                          <a:noFill/>
                          <a:miter lim="800000"/>
                          <a:headEnd/>
                          <a:tailEnd/>
                        </a:ln>
                      </wps:spPr>
                      <wps:txbx>
                        <w:txbxContent>
                          <w:p w14:paraId="296C2FC0" w14:textId="353F68CB" w:rsidR="00DD3AF4" w:rsidRPr="00DD3AF4" w:rsidRDefault="00DD3AF4" w:rsidP="00DD3AF4">
                            <w:pPr>
                              <w:spacing w:before="0"/>
                              <w:rPr>
                                <w:sz w:val="26"/>
                                <w:szCs w:val="26"/>
                              </w:rPr>
                            </w:pPr>
                            <w:r w:rsidRPr="00DD3AF4">
                              <w:rPr>
                                <w:sz w:val="26"/>
                                <w:szCs w:val="26"/>
                              </w:rPr>
                              <w:t>FORMER TSB STRUCTURE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FDD441" id="_x0000_t202" coordsize="21600,21600" o:spt="202" path="m,l,21600r21600,l21600,xe">
                <v:stroke joinstyle="miter"/>
                <v:path gradientshapeok="t" o:connecttype="rect"/>
              </v:shapetype>
              <v:shape id="Text Box 2" o:spid="_x0000_s1026" type="#_x0000_t202" style="position:absolute;left:0;text-align:left;margin-left:277.95pt;margin-top:116.5pt;width:158.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" fillcolor="white [3212]" stroked="f">
                <v:textbox style="mso-fit-shape-to-text:t">
                  <w:txbxContent>
                    <w:p w14:paraId="296C2FC0" w14:textId="353F68CB" w:rsidR="00DD3AF4" w:rsidRPr="00DD3AF4" w:rsidRDefault="00DD3AF4" w:rsidP="00DD3AF4">
                      <w:pPr>
                        <w:spacing w:before="0"/>
                        <w:rPr>
                          <w:sz w:val="26"/>
                          <w:szCs w:val="26"/>
                        </w:rPr>
                      </w:pPr>
                      <w:r w:rsidRPr="00DD3AF4">
                        <w:rPr>
                          <w:sz w:val="26"/>
                          <w:szCs w:val="26"/>
                        </w:rPr>
                        <w:t>FORMER TSB STRUCTURE</w:t>
                      </w:r>
                    </w:p>
                  </w:txbxContent>
                </v:textbox>
                <w10:wrap anchory="page"/>
              </v:shape>
            </w:pict>
          </mc:Fallback>
        </mc:AlternateContent>
      </w:r>
      <w:r w:rsidR="00911A30">
        <w:rPr>
          <w:noProof/>
        </w:rPr>
        <w:drawing>
          <wp:inline distT="0" distB="0" distL="0" distR="0" wp14:anchorId="2D017C21" wp14:editId="1A2504EC">
            <wp:extent cx="8563591" cy="4068305"/>
            <wp:effectExtent l="0" t="0" r="0" b="8890"/>
            <wp:docPr id="853867943" name="Picture 1" descr="A group of rectangular box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67943" name="Picture 1" descr="A group of rectangular boxes with text&#10;&#10;Description automatically generated"/>
                    <pic:cNvPicPr/>
                  </pic:nvPicPr>
                  <pic:blipFill>
                    <a:blip r:embed="rId16"/>
                    <a:stretch>
                      <a:fillRect/>
                    </a:stretch>
                  </pic:blipFill>
                  <pic:spPr>
                    <a:xfrm>
                      <a:off x="0" y="0"/>
                      <a:ext cx="8609076" cy="4089914"/>
                    </a:xfrm>
                    <a:prstGeom prst="rect">
                      <a:avLst/>
                    </a:prstGeom>
                  </pic:spPr>
                </pic:pic>
              </a:graphicData>
            </a:graphic>
          </wp:inline>
        </w:drawing>
      </w:r>
    </w:p>
    <w:p w14:paraId="06D28162" w14:textId="54BA3AAE" w:rsidR="00457B41" w:rsidRPr="001A7CC8" w:rsidRDefault="00457B4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1A7CC8">
        <w:rPr>
          <w:rFonts w:asciiTheme="minorHAnsi" w:hAnsiTheme="minorHAnsi" w:cstheme="minorHAnsi"/>
        </w:rPr>
        <w:br w:type="page"/>
      </w:r>
    </w:p>
    <w:p w14:paraId="3E1CD68D" w14:textId="2D4A2A2B" w:rsidR="00457B41" w:rsidRPr="001A7CC8" w:rsidRDefault="00457B41" w:rsidP="00B031EA">
      <w:pPr>
        <w:tabs>
          <w:tab w:val="clear" w:pos="567"/>
          <w:tab w:val="clear" w:pos="1134"/>
          <w:tab w:val="clear" w:pos="1701"/>
          <w:tab w:val="clear" w:pos="2268"/>
          <w:tab w:val="clear" w:pos="2835"/>
        </w:tabs>
        <w:overflowPunct/>
        <w:autoSpaceDE/>
        <w:autoSpaceDN/>
        <w:adjustRightInd/>
        <w:spacing w:before="0" w:after="120"/>
        <w:jc w:val="center"/>
        <w:textAlignment w:val="auto"/>
        <w:rPr>
          <w:rFonts w:asciiTheme="minorHAnsi" w:hAnsiTheme="minorHAnsi" w:cstheme="minorHAnsi"/>
        </w:rPr>
      </w:pPr>
      <w:bookmarkStart w:id="14" w:name="AnnexB"/>
      <w:r w:rsidRPr="001A7CC8">
        <w:rPr>
          <w:rFonts w:asciiTheme="minorHAnsi" w:hAnsiTheme="minorHAnsi" w:cstheme="minorHAnsi"/>
          <w:sz w:val="28"/>
          <w:szCs w:val="28"/>
        </w:rPr>
        <w:lastRenderedPageBreak/>
        <w:t>ANNEX B</w:t>
      </w:r>
      <w:bookmarkEnd w:id="14"/>
    </w:p>
    <w:p w14:paraId="75D956D0" w14:textId="42DF376C" w:rsidR="00457B41" w:rsidRPr="001A7CC8" w:rsidRDefault="004720B0" w:rsidP="00DE668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pPr>
      <w:r w:rsidRPr="001A7CC8">
        <w:rPr>
          <w:noProof/>
        </w:rPr>
        <w:drawing>
          <wp:inline distT="0" distB="0" distL="0" distR="0" wp14:anchorId="085DF2B2" wp14:editId="47F6A91E">
            <wp:extent cx="8845550" cy="4218214"/>
            <wp:effectExtent l="0" t="0" r="0" b="0"/>
            <wp:docPr id="549697503" name="Picture 1"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97503" name="Picture 1" descr="A diagram of a structure&#10;&#10;Description automatically generated"/>
                    <pic:cNvPicPr/>
                  </pic:nvPicPr>
                  <pic:blipFill>
                    <a:blip r:embed="rId17"/>
                    <a:stretch>
                      <a:fillRect/>
                    </a:stretch>
                  </pic:blipFill>
                  <pic:spPr>
                    <a:xfrm>
                      <a:off x="0" y="0"/>
                      <a:ext cx="8885293" cy="4237166"/>
                    </a:xfrm>
                    <a:prstGeom prst="rect">
                      <a:avLst/>
                    </a:prstGeom>
                  </pic:spPr>
                </pic:pic>
              </a:graphicData>
            </a:graphic>
          </wp:inline>
        </w:drawing>
      </w:r>
    </w:p>
    <w:p w14:paraId="2C0874FD" w14:textId="77777777" w:rsidR="003F4CD9" w:rsidRPr="001A7CC8" w:rsidRDefault="003F4CD9" w:rsidP="00DE668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pPr>
    </w:p>
    <w:p w14:paraId="5B459DBD" w14:textId="77777777" w:rsidR="003F4CD9" w:rsidRPr="001A7CC8" w:rsidRDefault="003F4CD9" w:rsidP="00DE668E">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sectPr w:rsidR="003F4CD9" w:rsidRPr="001A7CC8" w:rsidSect="00D9538D">
          <w:pgSz w:w="16834" w:h="11907" w:orient="landscape"/>
          <w:pgMar w:top="1418" w:right="1418" w:bottom="1418" w:left="1418" w:header="720" w:footer="720" w:gutter="0"/>
          <w:paperSrc w:first="286" w:other="286"/>
          <w:cols w:space="720"/>
          <w:docGrid w:linePitch="326"/>
        </w:sectPr>
      </w:pPr>
    </w:p>
    <w:p w14:paraId="11A410FE" w14:textId="78CDBCEE" w:rsidR="00087E19" w:rsidRPr="001A7CC8" w:rsidRDefault="00D224CB" w:rsidP="00B031EA">
      <w:pPr>
        <w:pStyle w:val="AnnexNo"/>
      </w:pPr>
      <w:bookmarkStart w:id="15" w:name="AnnexC"/>
      <w:r w:rsidRPr="001A7CC8">
        <w:lastRenderedPageBreak/>
        <w:t xml:space="preserve">ANNEX </w:t>
      </w:r>
      <w:r w:rsidR="00D14502" w:rsidRPr="001A7CC8">
        <w:t xml:space="preserve">C </w:t>
      </w:r>
      <w:bookmarkEnd w:id="15"/>
    </w:p>
    <w:p w14:paraId="054CE644" w14:textId="7011B491" w:rsidR="00E80075" w:rsidRPr="001A7CC8" w:rsidRDefault="00E80075" w:rsidP="00B031EA">
      <w:pPr>
        <w:pStyle w:val="AnnexNo"/>
      </w:pPr>
      <w:r w:rsidRPr="001A7CC8">
        <w:t xml:space="preserve">DRAFT NEW JOB DESCRIPTION FOR POST </w:t>
      </w:r>
      <w:r w:rsidR="00667958" w:rsidRPr="001A7CC8">
        <w:t>NO. ST02/D1/579</w:t>
      </w:r>
    </w:p>
    <w:p w14:paraId="31550DD4" w14:textId="3FB90577" w:rsidR="006B61B3" w:rsidRPr="001A7CC8" w:rsidRDefault="006B61B3" w:rsidP="00B031EA">
      <w:pPr>
        <w:pStyle w:val="Annextitle"/>
        <w:rPr>
          <w:rFonts w:asciiTheme="minorHAnsi" w:hAnsiTheme="minorHAnsi" w:cstheme="minorHAnsi"/>
          <w:b w:val="0"/>
          <w:bCs/>
          <w:szCs w:val="28"/>
        </w:rPr>
      </w:pPr>
      <w:r w:rsidRPr="001A7CC8">
        <w:t>CHIEF, STRATEGIC ENGAGEMENT DEPARTMENT (SED)</w:t>
      </w:r>
    </w:p>
    <w:p w14:paraId="4FEFE3FE" w14:textId="39CB339C" w:rsidR="006B61B3" w:rsidRPr="001A7CC8" w:rsidRDefault="006B61B3" w:rsidP="00B031EA">
      <w:pPr>
        <w:pStyle w:val="Annextitle"/>
      </w:pPr>
      <w:r w:rsidRPr="001A7CC8">
        <w:t>D.1</w:t>
      </w:r>
    </w:p>
    <w:p w14:paraId="47F47A84" w14:textId="62F47A63" w:rsidR="00E80075" w:rsidRPr="001A7CC8" w:rsidRDefault="00E80075" w:rsidP="0019275E">
      <w:pPr>
        <w:pStyle w:val="Heading1"/>
        <w:spacing w:before="120" w:after="120"/>
        <w:jc w:val="both"/>
        <w:rPr>
          <w:rFonts w:asciiTheme="minorHAnsi" w:hAnsiTheme="minorHAnsi" w:cstheme="minorHAnsi"/>
          <w:szCs w:val="28"/>
        </w:rPr>
      </w:pPr>
      <w:r w:rsidRPr="001A7CC8">
        <w:rPr>
          <w:rFonts w:asciiTheme="minorHAnsi" w:hAnsiTheme="minorHAnsi" w:cstheme="minorHAnsi"/>
          <w:szCs w:val="28"/>
        </w:rPr>
        <w:t>Duties/Responsibilities</w:t>
      </w:r>
    </w:p>
    <w:p w14:paraId="38364484" w14:textId="60A2E758" w:rsidR="002D0A08" w:rsidRPr="001A7CC8" w:rsidRDefault="00E80075" w:rsidP="0019275E">
      <w:pPr>
        <w:spacing w:after="120"/>
        <w:jc w:val="both"/>
        <w:rPr>
          <w:rFonts w:asciiTheme="minorHAnsi" w:hAnsiTheme="minorHAnsi" w:cstheme="minorHAnsi"/>
          <w:szCs w:val="24"/>
        </w:rPr>
      </w:pPr>
      <w:r w:rsidRPr="001A7CC8">
        <w:rPr>
          <w:rFonts w:asciiTheme="minorHAnsi" w:hAnsiTheme="minorHAnsi" w:cstheme="minorHAnsi"/>
          <w:szCs w:val="24"/>
        </w:rPr>
        <w:t xml:space="preserve">Under the direction of the Director of the TSB, the incumbent is responsible for the management of the </w:t>
      </w:r>
      <w:r w:rsidR="00C51C5C" w:rsidRPr="001A7CC8">
        <w:rPr>
          <w:rFonts w:asciiTheme="minorHAnsi" w:hAnsiTheme="minorHAnsi" w:cstheme="minorHAnsi"/>
          <w:szCs w:val="24"/>
        </w:rPr>
        <w:t xml:space="preserve">Strategic Engagement </w:t>
      </w:r>
      <w:r w:rsidRPr="001A7CC8">
        <w:rPr>
          <w:rFonts w:asciiTheme="minorHAnsi" w:hAnsiTheme="minorHAnsi" w:cstheme="minorHAnsi"/>
          <w:szCs w:val="24"/>
        </w:rPr>
        <w:t>Department. To this end, he/she:</w:t>
      </w:r>
    </w:p>
    <w:p w14:paraId="200FC08C" w14:textId="3DA4987C" w:rsidR="002D0A08" w:rsidRPr="001A7CC8" w:rsidRDefault="002D0A08"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Lead and direct the Strategic Engagement Department (SED) activities, human and financial resources of the Department, ensuring alignment with the overall strategic direction of the TSB and compliance with organizational regulations and rules and assigned mandate; empower and build the capacity of the team to increase their commitment; and drive change to achieve objectives of the Department:</w:t>
      </w:r>
    </w:p>
    <w:p w14:paraId="175A78D4" w14:textId="140448D7" w:rsidR="002D0A08" w:rsidRPr="001A7CC8" w:rsidRDefault="00910129" w:rsidP="006D296C">
      <w:pPr>
        <w:pStyle w:val="ListParagraph"/>
        <w:numPr>
          <w:ilvl w:val="0"/>
          <w:numId w:val="3"/>
        </w:numPr>
        <w:spacing w:after="60"/>
        <w:ind w:left="1134" w:hanging="567"/>
        <w:contextualSpacing w:val="0"/>
        <w:jc w:val="both"/>
        <w:rPr>
          <w:rFonts w:asciiTheme="minorHAnsi" w:hAnsiTheme="minorHAnsi" w:cstheme="minorHAnsi"/>
          <w:szCs w:val="24"/>
        </w:rPr>
      </w:pPr>
      <w:r w:rsidRPr="00910129">
        <w:rPr>
          <w:rFonts w:asciiTheme="minorHAnsi" w:hAnsiTheme="minorHAnsi" w:cstheme="minorHAnsi"/>
          <w:szCs w:val="24"/>
        </w:rPr>
        <w:t xml:space="preserve">supervise the Communications, Media Relations, </w:t>
      </w:r>
      <w:proofErr w:type="gramStart"/>
      <w:r w:rsidRPr="00910129">
        <w:rPr>
          <w:rFonts w:asciiTheme="minorHAnsi" w:hAnsiTheme="minorHAnsi" w:cstheme="minorHAnsi"/>
          <w:szCs w:val="24"/>
        </w:rPr>
        <w:t>Social Media</w:t>
      </w:r>
      <w:proofErr w:type="gramEnd"/>
      <w:r w:rsidRPr="00910129">
        <w:rPr>
          <w:rFonts w:asciiTheme="minorHAnsi" w:hAnsiTheme="minorHAnsi" w:cstheme="minorHAnsi"/>
          <w:szCs w:val="24"/>
        </w:rPr>
        <w:t>, Digital Marketing and Web Development programmes related to the work of the Bureau in close coordination with ITU’s Corporate Communication Service</w:t>
      </w:r>
      <w:r w:rsidR="002D0A08" w:rsidRPr="001A7CC8">
        <w:rPr>
          <w:rFonts w:asciiTheme="minorHAnsi" w:hAnsiTheme="minorHAnsi" w:cstheme="minorHAnsi"/>
          <w:szCs w:val="24"/>
        </w:rPr>
        <w:t>;</w:t>
      </w:r>
    </w:p>
    <w:p w14:paraId="04DA18D0" w14:textId="385D3ABC" w:rsidR="002D0A08" w:rsidRPr="001A7CC8" w:rsidRDefault="00910129"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910129">
        <w:rPr>
          <w:rFonts w:asciiTheme="minorHAnsi" w:hAnsiTheme="minorHAnsi" w:cstheme="minorHAnsi"/>
          <w:szCs w:val="24"/>
        </w:rPr>
        <w:t xml:space="preserve">lead the Division responsible for crafting and executing comprehensive communication strategies to enhance the Bureau’s visibility and brand recognition (e.g. WTSA, GSS, FNC, WSC, AI for Good, and other priority public-facing events and platforms), including promoting ITU-T study group </w:t>
      </w:r>
      <w:proofErr w:type="gramStart"/>
      <w:r w:rsidRPr="00910129">
        <w:rPr>
          <w:rFonts w:asciiTheme="minorHAnsi" w:hAnsiTheme="minorHAnsi" w:cstheme="minorHAnsi"/>
          <w:szCs w:val="24"/>
        </w:rPr>
        <w:t>outputs</w:t>
      </w:r>
      <w:r>
        <w:rPr>
          <w:rFonts w:asciiTheme="minorHAnsi" w:hAnsiTheme="minorHAnsi" w:cstheme="minorHAnsi"/>
          <w:szCs w:val="24"/>
        </w:rPr>
        <w:t>;</w:t>
      </w:r>
      <w:proofErr w:type="gramEnd"/>
    </w:p>
    <w:p w14:paraId="3DF69517" w14:textId="57802FDC" w:rsidR="002D0A08" w:rsidRPr="001A7CC8" w:rsidRDefault="002D0A08"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generate media opportunities and partnerships; and</w:t>
      </w:r>
    </w:p>
    <w:p w14:paraId="1C90B392" w14:textId="5D5DFB99" w:rsidR="002D0A08" w:rsidRPr="001A7CC8" w:rsidRDefault="002D0A08"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manage social media channels and digital marketing campaigns to engage with ITU-T’s target audience effectively.</w:t>
      </w:r>
    </w:p>
    <w:p w14:paraId="3255A10F" w14:textId="25583E41" w:rsidR="008E2957" w:rsidRPr="001A7CC8" w:rsidRDefault="00910129"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910129">
        <w:rPr>
          <w:rFonts w:asciiTheme="minorHAnsi" w:hAnsiTheme="minorHAnsi" w:cstheme="minorHAnsi"/>
          <w:szCs w:val="24"/>
        </w:rPr>
        <w:t xml:space="preserve">Direct, plan and oversee the membership, sponsorship and outreach and business development activities and lay the groundwork for positioning TSB to engage on future-oriented emerging </w:t>
      </w:r>
      <w:r w:rsidR="00DF1110">
        <w:rPr>
          <w:rFonts w:asciiTheme="minorHAnsi" w:hAnsiTheme="minorHAnsi" w:cstheme="minorHAnsi"/>
          <w:szCs w:val="24"/>
        </w:rPr>
        <w:t>telecommunications/ICT</w:t>
      </w:r>
      <w:r w:rsidR="00DF1110" w:rsidRPr="00910129">
        <w:rPr>
          <w:rFonts w:asciiTheme="minorHAnsi" w:hAnsiTheme="minorHAnsi" w:cstheme="minorHAnsi"/>
          <w:szCs w:val="24"/>
        </w:rPr>
        <w:t xml:space="preserve"> </w:t>
      </w:r>
      <w:r w:rsidRPr="00910129">
        <w:rPr>
          <w:rFonts w:asciiTheme="minorHAnsi" w:hAnsiTheme="minorHAnsi" w:cstheme="minorHAnsi"/>
          <w:szCs w:val="24"/>
        </w:rPr>
        <w:t>standards</w:t>
      </w:r>
      <w:r w:rsidR="008E2957" w:rsidRPr="001A7CC8">
        <w:rPr>
          <w:rFonts w:asciiTheme="minorHAnsi" w:hAnsiTheme="minorHAnsi" w:cstheme="minorHAnsi"/>
          <w:szCs w:val="24"/>
        </w:rPr>
        <w:t>:</w:t>
      </w:r>
    </w:p>
    <w:p w14:paraId="1A109ADD" w14:textId="2BDAE575" w:rsidR="008E2957" w:rsidRDefault="008E2957"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 xml:space="preserve">lead the development and implementation of strategies to attract new members and retain </w:t>
      </w:r>
      <w:r w:rsidR="00910129" w:rsidRPr="00910129">
        <w:rPr>
          <w:rFonts w:asciiTheme="minorHAnsi" w:hAnsiTheme="minorHAnsi" w:cstheme="minorHAnsi"/>
          <w:szCs w:val="24"/>
        </w:rPr>
        <w:t xml:space="preserve">existing ITU-T </w:t>
      </w:r>
      <w:proofErr w:type="gramStart"/>
      <w:r w:rsidR="00910129" w:rsidRPr="00910129">
        <w:rPr>
          <w:rFonts w:asciiTheme="minorHAnsi" w:hAnsiTheme="minorHAnsi" w:cstheme="minorHAnsi"/>
          <w:szCs w:val="24"/>
        </w:rPr>
        <w:t>members</w:t>
      </w:r>
      <w:r w:rsidRPr="001A7CC8">
        <w:rPr>
          <w:rFonts w:asciiTheme="minorHAnsi" w:hAnsiTheme="minorHAnsi" w:cstheme="minorHAnsi"/>
          <w:szCs w:val="24"/>
        </w:rPr>
        <w:t>;</w:t>
      </w:r>
      <w:proofErr w:type="gramEnd"/>
    </w:p>
    <w:p w14:paraId="2A31B6F3" w14:textId="03E8FE0E" w:rsidR="00910129" w:rsidRPr="001A7CC8" w:rsidRDefault="00910129"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910129">
        <w:rPr>
          <w:rFonts w:asciiTheme="minorHAnsi" w:hAnsiTheme="minorHAnsi" w:cstheme="minorHAnsi"/>
          <w:szCs w:val="24"/>
        </w:rPr>
        <w:t xml:space="preserve">lead the strategy to attract and engage with new industry verticals and emerging </w:t>
      </w:r>
      <w:r w:rsidR="00E43A26">
        <w:rPr>
          <w:rFonts w:asciiTheme="minorHAnsi" w:hAnsiTheme="minorHAnsi" w:cstheme="minorHAnsi"/>
          <w:szCs w:val="24"/>
        </w:rPr>
        <w:t xml:space="preserve">telecommunications/ICT </w:t>
      </w:r>
      <w:r w:rsidRPr="00910129">
        <w:rPr>
          <w:rFonts w:asciiTheme="minorHAnsi" w:hAnsiTheme="minorHAnsi" w:cstheme="minorHAnsi"/>
          <w:szCs w:val="24"/>
        </w:rPr>
        <w:t xml:space="preserve">standards, positioning TSB as a future-oriented </w:t>
      </w:r>
      <w:proofErr w:type="gramStart"/>
      <w:r w:rsidRPr="00910129">
        <w:rPr>
          <w:rFonts w:asciiTheme="minorHAnsi" w:hAnsiTheme="minorHAnsi" w:cstheme="minorHAnsi"/>
          <w:szCs w:val="24"/>
        </w:rPr>
        <w:t>Bureau;</w:t>
      </w:r>
      <w:proofErr w:type="gramEnd"/>
    </w:p>
    <w:p w14:paraId="0A11BEAB" w14:textId="70C39619" w:rsidR="008E2957" w:rsidRPr="001A7CC8" w:rsidRDefault="008E2957"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 xml:space="preserve">cultivate relationships with potential sponsors and partners, negotiating agreements and sponsorship packages to support organizational </w:t>
      </w:r>
      <w:proofErr w:type="gramStart"/>
      <w:r w:rsidRPr="001A7CC8">
        <w:rPr>
          <w:rFonts w:asciiTheme="minorHAnsi" w:hAnsiTheme="minorHAnsi" w:cstheme="minorHAnsi"/>
          <w:szCs w:val="24"/>
        </w:rPr>
        <w:t>goals;</w:t>
      </w:r>
      <w:proofErr w:type="gramEnd"/>
    </w:p>
    <w:p w14:paraId="65CC6A4E" w14:textId="437A466D" w:rsidR="008E2957" w:rsidRPr="001A7CC8" w:rsidRDefault="008E2957"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1A7CC8">
        <w:rPr>
          <w:rFonts w:asciiTheme="minorHAnsi" w:hAnsiTheme="minorHAnsi" w:cstheme="minorHAnsi"/>
          <w:szCs w:val="24"/>
        </w:rPr>
        <w:t>oversees business development efforts, identifying opportunities for growth and partnership expansion; and</w:t>
      </w:r>
    </w:p>
    <w:p w14:paraId="67CD23FF" w14:textId="6BA31FA0" w:rsidR="002D0A08" w:rsidRPr="001A7CC8" w:rsidRDefault="00910129"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910129">
        <w:rPr>
          <w:rFonts w:asciiTheme="minorHAnsi" w:hAnsiTheme="minorHAnsi" w:cstheme="minorHAnsi"/>
          <w:szCs w:val="24"/>
        </w:rPr>
        <w:lastRenderedPageBreak/>
        <w:t>lead outreach initiatives to engage with stakeholders, including industry professionals, academia, governmental bodies, and youth to enhance collaboration. Supervise the ITU Journal and ITU-T Academia Programme</w:t>
      </w:r>
      <w:r w:rsidR="008E2957" w:rsidRPr="001A7CC8">
        <w:rPr>
          <w:rFonts w:asciiTheme="minorHAnsi" w:hAnsiTheme="minorHAnsi" w:cstheme="minorHAnsi"/>
          <w:szCs w:val="24"/>
        </w:rPr>
        <w:t>.</w:t>
      </w:r>
    </w:p>
    <w:p w14:paraId="6C1421D5" w14:textId="1C67030E" w:rsidR="00187FBD" w:rsidRPr="001A7CC8" w:rsidRDefault="00910129"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910129">
        <w:rPr>
          <w:rFonts w:asciiTheme="minorHAnsi" w:hAnsiTheme="minorHAnsi" w:cstheme="minorHAnsi"/>
          <w:szCs w:val="24"/>
        </w:rPr>
        <w:t>As a core component of the overall strategic engagement strategy, direct, plan and lead major initiatives such as AI for Good. Work collaboratively with the other Bureaux and General Secretariat to enhance ITU's</w:t>
      </w:r>
      <w:r w:rsidR="00494FC9">
        <w:rPr>
          <w:rFonts w:asciiTheme="minorHAnsi" w:hAnsiTheme="minorHAnsi" w:cstheme="minorHAnsi"/>
          <w:szCs w:val="24"/>
        </w:rPr>
        <w:t xml:space="preserve"> standardization</w:t>
      </w:r>
      <w:r w:rsidRPr="00910129">
        <w:rPr>
          <w:rFonts w:asciiTheme="minorHAnsi" w:hAnsiTheme="minorHAnsi" w:cstheme="minorHAnsi"/>
          <w:szCs w:val="24"/>
        </w:rPr>
        <w:t xml:space="preserve"> standing</w:t>
      </w:r>
      <w:r w:rsidR="00406EBE">
        <w:rPr>
          <w:rFonts w:asciiTheme="minorHAnsi" w:hAnsiTheme="minorHAnsi" w:cstheme="minorHAnsi"/>
          <w:szCs w:val="24"/>
        </w:rPr>
        <w:t xml:space="preserve"> and collaboration</w:t>
      </w:r>
      <w:r w:rsidRPr="00910129">
        <w:rPr>
          <w:rFonts w:asciiTheme="minorHAnsi" w:hAnsiTheme="minorHAnsi" w:cstheme="minorHAnsi"/>
          <w:szCs w:val="24"/>
        </w:rPr>
        <w:t xml:space="preserve"> within the ICT industry, UN system, and standards community. Utilize these platforms to foster internal innovation, develop pathways for emerging standards, and strengthen ITU's thought leadership activities:</w:t>
      </w:r>
    </w:p>
    <w:p w14:paraId="0C2267B5" w14:textId="36ECEAC1" w:rsidR="00910129" w:rsidRDefault="00910129"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910129">
        <w:rPr>
          <w:rFonts w:asciiTheme="minorHAnsi" w:hAnsiTheme="minorHAnsi" w:cstheme="minorHAnsi"/>
          <w:szCs w:val="24"/>
        </w:rPr>
        <w:t xml:space="preserve">coordinate AI and emerging </w:t>
      </w:r>
      <w:r w:rsidR="005C2D00">
        <w:rPr>
          <w:rFonts w:asciiTheme="minorHAnsi" w:hAnsiTheme="minorHAnsi" w:cstheme="minorHAnsi"/>
          <w:szCs w:val="24"/>
        </w:rPr>
        <w:t>telecommunications/ICT</w:t>
      </w:r>
      <w:r w:rsidR="005C2D00" w:rsidRPr="00910129">
        <w:rPr>
          <w:rFonts w:asciiTheme="minorHAnsi" w:hAnsiTheme="minorHAnsi" w:cstheme="minorHAnsi"/>
          <w:szCs w:val="24"/>
        </w:rPr>
        <w:t xml:space="preserve"> </w:t>
      </w:r>
      <w:r w:rsidRPr="00910129">
        <w:rPr>
          <w:rFonts w:asciiTheme="minorHAnsi" w:hAnsiTheme="minorHAnsi" w:cstheme="minorHAnsi"/>
          <w:szCs w:val="24"/>
        </w:rPr>
        <w:t xml:space="preserve">efforts with the General Secretariat to ensure that TSB and these initiatives are strategically aligned and leveraged across all </w:t>
      </w:r>
      <w:proofErr w:type="gramStart"/>
      <w:r w:rsidRPr="00910129">
        <w:rPr>
          <w:rFonts w:asciiTheme="minorHAnsi" w:hAnsiTheme="minorHAnsi" w:cstheme="minorHAnsi"/>
          <w:szCs w:val="24"/>
        </w:rPr>
        <w:t>Bureaux;</w:t>
      </w:r>
      <w:proofErr w:type="gramEnd"/>
    </w:p>
    <w:p w14:paraId="5B62E642" w14:textId="4CAC3E71" w:rsidR="00187FBD" w:rsidRPr="001A7CC8" w:rsidRDefault="00910129"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910129">
        <w:rPr>
          <w:rFonts w:asciiTheme="minorHAnsi" w:hAnsiTheme="minorHAnsi" w:cstheme="minorHAnsi"/>
          <w:szCs w:val="24"/>
        </w:rPr>
        <w:t>lead AI for Good with its three pillars, the always online, all year</w:t>
      </w:r>
      <w:r w:rsidR="00C75B3F">
        <w:rPr>
          <w:rFonts w:asciiTheme="minorHAnsi" w:hAnsiTheme="minorHAnsi" w:cstheme="minorHAnsi"/>
          <w:szCs w:val="24"/>
        </w:rPr>
        <w:t>-</w:t>
      </w:r>
      <w:r w:rsidRPr="00910129">
        <w:rPr>
          <w:rFonts w:asciiTheme="minorHAnsi" w:hAnsiTheme="minorHAnsi" w:cstheme="minorHAnsi"/>
          <w:szCs w:val="24"/>
        </w:rPr>
        <w:t xml:space="preserve">round platform, the annual in-person Global Summit and collaboration efforts under the impact </w:t>
      </w:r>
      <w:proofErr w:type="gramStart"/>
      <w:r w:rsidRPr="00910129">
        <w:rPr>
          <w:rFonts w:asciiTheme="minorHAnsi" w:hAnsiTheme="minorHAnsi" w:cstheme="minorHAnsi"/>
          <w:szCs w:val="24"/>
        </w:rPr>
        <w:t>initiative</w:t>
      </w:r>
      <w:r w:rsidR="00187FBD" w:rsidRPr="001A7CC8">
        <w:rPr>
          <w:rFonts w:asciiTheme="minorHAnsi" w:hAnsiTheme="minorHAnsi" w:cstheme="minorHAnsi"/>
          <w:szCs w:val="24"/>
        </w:rPr>
        <w:t>;</w:t>
      </w:r>
      <w:proofErr w:type="gramEnd"/>
    </w:p>
    <w:p w14:paraId="7C285FBE" w14:textId="10017857" w:rsidR="00187FBD" w:rsidRPr="001A7CC8" w:rsidRDefault="00910129"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910129">
        <w:rPr>
          <w:rFonts w:asciiTheme="minorHAnsi" w:hAnsiTheme="minorHAnsi" w:cstheme="minorHAnsi"/>
          <w:szCs w:val="24"/>
        </w:rPr>
        <w:t xml:space="preserve">design and implement the strategic framework </w:t>
      </w:r>
      <w:r w:rsidR="008412A2">
        <w:rPr>
          <w:rFonts w:asciiTheme="minorHAnsi" w:hAnsiTheme="minorHAnsi" w:cstheme="minorHAnsi"/>
          <w:szCs w:val="24"/>
        </w:rPr>
        <w:t>of</w:t>
      </w:r>
      <w:r w:rsidRPr="00910129">
        <w:rPr>
          <w:rFonts w:asciiTheme="minorHAnsi" w:hAnsiTheme="minorHAnsi" w:cstheme="minorHAnsi"/>
          <w:szCs w:val="24"/>
        </w:rPr>
        <w:t xml:space="preserve"> major initiatives</w:t>
      </w:r>
      <w:r w:rsidR="008412A2">
        <w:rPr>
          <w:rFonts w:asciiTheme="minorHAnsi" w:hAnsiTheme="minorHAnsi" w:cstheme="minorHAnsi"/>
          <w:szCs w:val="24"/>
        </w:rPr>
        <w:t xml:space="preserve"> such as AI for Good and</w:t>
      </w:r>
      <w:r w:rsidRPr="00910129">
        <w:rPr>
          <w:rFonts w:asciiTheme="minorHAnsi" w:hAnsiTheme="minorHAnsi" w:cstheme="minorHAnsi"/>
          <w:szCs w:val="24"/>
        </w:rPr>
        <w:t xml:space="preserve"> </w:t>
      </w:r>
      <w:r w:rsidR="00403BBA">
        <w:rPr>
          <w:rFonts w:asciiTheme="minorHAnsi" w:hAnsiTheme="minorHAnsi" w:cstheme="minorHAnsi"/>
          <w:szCs w:val="24"/>
        </w:rPr>
        <w:t>ensur</w:t>
      </w:r>
      <w:r w:rsidR="00637609">
        <w:rPr>
          <w:rFonts w:asciiTheme="minorHAnsi" w:hAnsiTheme="minorHAnsi" w:cstheme="minorHAnsi"/>
          <w:szCs w:val="24"/>
        </w:rPr>
        <w:t>e</w:t>
      </w:r>
      <w:r w:rsidR="00403BBA">
        <w:rPr>
          <w:rFonts w:asciiTheme="minorHAnsi" w:hAnsiTheme="minorHAnsi" w:cstheme="minorHAnsi"/>
          <w:szCs w:val="24"/>
        </w:rPr>
        <w:t xml:space="preserve"> their</w:t>
      </w:r>
      <w:r w:rsidRPr="00910129">
        <w:rPr>
          <w:rFonts w:asciiTheme="minorHAnsi" w:hAnsiTheme="minorHAnsi" w:cstheme="minorHAnsi"/>
          <w:szCs w:val="24"/>
        </w:rPr>
        <w:t xml:space="preserve"> alignment with the overall strategic direction of </w:t>
      </w:r>
      <w:proofErr w:type="gramStart"/>
      <w:r w:rsidRPr="00910129">
        <w:rPr>
          <w:rFonts w:asciiTheme="minorHAnsi" w:hAnsiTheme="minorHAnsi" w:cstheme="minorHAnsi"/>
          <w:szCs w:val="24"/>
        </w:rPr>
        <w:t>ITU</w:t>
      </w:r>
      <w:r w:rsidR="00187FBD" w:rsidRPr="001A7CC8">
        <w:rPr>
          <w:rFonts w:asciiTheme="minorHAnsi" w:hAnsiTheme="minorHAnsi" w:cstheme="minorHAnsi"/>
          <w:szCs w:val="24"/>
        </w:rPr>
        <w:t>;</w:t>
      </w:r>
      <w:proofErr w:type="gramEnd"/>
    </w:p>
    <w:p w14:paraId="33EE0033" w14:textId="2372504A" w:rsidR="00187FBD" w:rsidRPr="001A7CC8" w:rsidRDefault="00910129"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910129">
        <w:rPr>
          <w:rFonts w:asciiTheme="minorHAnsi" w:hAnsiTheme="minorHAnsi" w:cstheme="minorHAnsi"/>
          <w:szCs w:val="24"/>
        </w:rPr>
        <w:t xml:space="preserve">develop and implement the financial plan and budget for </w:t>
      </w:r>
      <w:r w:rsidR="00B85F47">
        <w:rPr>
          <w:rFonts w:asciiTheme="minorHAnsi" w:hAnsiTheme="minorHAnsi" w:cstheme="minorHAnsi"/>
          <w:szCs w:val="24"/>
        </w:rPr>
        <w:t>major</w:t>
      </w:r>
      <w:r w:rsidRPr="00910129">
        <w:rPr>
          <w:rFonts w:asciiTheme="minorHAnsi" w:hAnsiTheme="minorHAnsi" w:cstheme="minorHAnsi"/>
          <w:szCs w:val="24"/>
        </w:rPr>
        <w:t xml:space="preserve"> initiatives</w:t>
      </w:r>
      <w:r w:rsidR="00B85F47">
        <w:rPr>
          <w:rFonts w:asciiTheme="minorHAnsi" w:hAnsiTheme="minorHAnsi" w:cstheme="minorHAnsi"/>
          <w:szCs w:val="24"/>
        </w:rPr>
        <w:t xml:space="preserve"> such as AI or </w:t>
      </w:r>
      <w:proofErr w:type="gramStart"/>
      <w:r w:rsidR="00B85F47">
        <w:rPr>
          <w:rFonts w:asciiTheme="minorHAnsi" w:hAnsiTheme="minorHAnsi" w:cstheme="minorHAnsi"/>
          <w:szCs w:val="24"/>
        </w:rPr>
        <w:t>Good</w:t>
      </w:r>
      <w:r w:rsidR="00187FBD" w:rsidRPr="001A7CC8">
        <w:rPr>
          <w:rFonts w:asciiTheme="minorHAnsi" w:hAnsiTheme="minorHAnsi" w:cstheme="minorHAnsi"/>
          <w:szCs w:val="24"/>
        </w:rPr>
        <w:t>;</w:t>
      </w:r>
      <w:proofErr w:type="gramEnd"/>
    </w:p>
    <w:p w14:paraId="4C8A67E3" w14:textId="737EE093" w:rsidR="00187FBD" w:rsidRPr="001A7CC8" w:rsidRDefault="00910129"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910129">
        <w:rPr>
          <w:rFonts w:asciiTheme="minorHAnsi" w:hAnsiTheme="minorHAnsi" w:cstheme="minorHAnsi"/>
          <w:szCs w:val="24"/>
        </w:rPr>
        <w:t>identify opportunities to transfer learnings from</w:t>
      </w:r>
      <w:r w:rsidR="008E0459">
        <w:rPr>
          <w:rFonts w:asciiTheme="minorHAnsi" w:hAnsiTheme="minorHAnsi" w:cstheme="minorHAnsi"/>
          <w:szCs w:val="24"/>
        </w:rPr>
        <w:t xml:space="preserve"> AI for Good or</w:t>
      </w:r>
      <w:r w:rsidRPr="00910129">
        <w:rPr>
          <w:rFonts w:asciiTheme="minorHAnsi" w:hAnsiTheme="minorHAnsi" w:cstheme="minorHAnsi"/>
          <w:szCs w:val="24"/>
        </w:rPr>
        <w:t xml:space="preserve"> </w:t>
      </w:r>
      <w:r w:rsidR="008E0459">
        <w:rPr>
          <w:rFonts w:asciiTheme="minorHAnsi" w:hAnsiTheme="minorHAnsi" w:cstheme="minorHAnsi"/>
          <w:szCs w:val="24"/>
        </w:rPr>
        <w:t xml:space="preserve">related </w:t>
      </w:r>
      <w:r w:rsidRPr="00910129">
        <w:rPr>
          <w:rFonts w:asciiTheme="minorHAnsi" w:hAnsiTheme="minorHAnsi" w:cstheme="minorHAnsi"/>
          <w:szCs w:val="24"/>
        </w:rPr>
        <w:t>initiatives (on content, services, tools, AI-powered pilots, way of working, etc.) to other projects within ITU</w:t>
      </w:r>
      <w:r w:rsidR="00187FBD" w:rsidRPr="001A7CC8">
        <w:rPr>
          <w:rFonts w:asciiTheme="minorHAnsi" w:hAnsiTheme="minorHAnsi" w:cstheme="minorHAnsi"/>
          <w:szCs w:val="24"/>
        </w:rPr>
        <w:t>; and</w:t>
      </w:r>
    </w:p>
    <w:p w14:paraId="1938617C" w14:textId="20B33ECB" w:rsidR="00187FBD" w:rsidRPr="001A7CC8" w:rsidRDefault="00910129" w:rsidP="006D296C">
      <w:pPr>
        <w:pStyle w:val="ListParagraph"/>
        <w:numPr>
          <w:ilvl w:val="0"/>
          <w:numId w:val="3"/>
        </w:numPr>
        <w:spacing w:before="60" w:after="60"/>
        <w:ind w:left="1134" w:hanging="567"/>
        <w:contextualSpacing w:val="0"/>
        <w:jc w:val="both"/>
        <w:rPr>
          <w:rFonts w:asciiTheme="minorHAnsi" w:hAnsiTheme="minorHAnsi" w:cstheme="minorHAnsi"/>
          <w:szCs w:val="24"/>
        </w:rPr>
      </w:pPr>
      <w:r w:rsidRPr="00910129">
        <w:rPr>
          <w:rFonts w:asciiTheme="minorHAnsi" w:hAnsiTheme="minorHAnsi" w:cstheme="minorHAnsi"/>
          <w:szCs w:val="24"/>
        </w:rPr>
        <w:t>engage in public speaking, representation and networking at senior executive level events and meetings inside and outside the UN system, in addition to serving as a media spokesperson</w:t>
      </w:r>
      <w:r w:rsidR="00187FBD" w:rsidRPr="001A7CC8">
        <w:rPr>
          <w:rFonts w:asciiTheme="minorHAnsi" w:hAnsiTheme="minorHAnsi" w:cstheme="minorHAnsi"/>
          <w:szCs w:val="24"/>
        </w:rPr>
        <w:t>.</w:t>
      </w:r>
    </w:p>
    <w:p w14:paraId="7C448119" w14:textId="4F8FF318" w:rsidR="008A284A" w:rsidRPr="001A7CC8" w:rsidRDefault="008A284A"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 xml:space="preserve">Direct and oversee the preparation of communications, </w:t>
      </w:r>
      <w:proofErr w:type="gramStart"/>
      <w:r w:rsidRPr="001A7CC8">
        <w:rPr>
          <w:rFonts w:asciiTheme="minorHAnsi" w:hAnsiTheme="minorHAnsi" w:cstheme="minorHAnsi"/>
          <w:szCs w:val="24"/>
        </w:rPr>
        <w:t>media</w:t>
      </w:r>
      <w:proofErr w:type="gramEnd"/>
      <w:r w:rsidRPr="001A7CC8">
        <w:rPr>
          <w:rFonts w:asciiTheme="minorHAnsi" w:hAnsiTheme="minorHAnsi" w:cstheme="minorHAnsi"/>
          <w:szCs w:val="24"/>
        </w:rPr>
        <w:t xml:space="preserve"> and promotional materials on the activities of the Bureau and related activities for presentation at ITU conferences, meetings, forum activities, and publications, and for presentation to external technical and professional meetings, conferences and seminars; participate whenever possible in such activities in order to present the work of the TSB to as wide a professional audience as possible.</w:t>
      </w:r>
    </w:p>
    <w:p w14:paraId="6B19873A" w14:textId="27ED26E6" w:rsidR="008A284A" w:rsidRPr="001A7CC8" w:rsidRDefault="008A284A"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Participate in the preparation of the ITU/TSB budget as regards the Strategic Engagement Department (SED); ensure that activities are carried out in compliance with the allocated budget.</w:t>
      </w:r>
    </w:p>
    <w:p w14:paraId="4D65B2AE" w14:textId="17025899" w:rsidR="008A284A" w:rsidRPr="001A7CC8" w:rsidRDefault="008A284A"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Provide authoritative advice to the Director and the Deputy to the Director on all the matters for which he/she is responsible and cooperates with the Chiefs of the other Departments in TSB; participate in the TSB management committee and contributes to the TSB strategy and policy.</w:t>
      </w:r>
    </w:p>
    <w:p w14:paraId="5184ABBB" w14:textId="505C91FE" w:rsidR="008A284A" w:rsidRPr="001A7CC8" w:rsidRDefault="008A284A"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 xml:space="preserve">Represent ITU-T to internal and external meetings and ensure that the TSB’s interest is represented and </w:t>
      </w:r>
      <w:proofErr w:type="gramStart"/>
      <w:r w:rsidRPr="001A7CC8">
        <w:rPr>
          <w:rFonts w:asciiTheme="minorHAnsi" w:hAnsiTheme="minorHAnsi" w:cstheme="minorHAnsi"/>
          <w:szCs w:val="24"/>
        </w:rPr>
        <w:t>taken into account</w:t>
      </w:r>
      <w:proofErr w:type="gramEnd"/>
      <w:r w:rsidRPr="001A7CC8">
        <w:rPr>
          <w:rFonts w:asciiTheme="minorHAnsi" w:hAnsiTheme="minorHAnsi" w:cstheme="minorHAnsi"/>
          <w:szCs w:val="24"/>
        </w:rPr>
        <w:t>.</w:t>
      </w:r>
    </w:p>
    <w:p w14:paraId="0ACD0BFC" w14:textId="6EA99532" w:rsidR="00187FBD" w:rsidRPr="001A7CC8" w:rsidRDefault="008A284A" w:rsidP="0019275E">
      <w:pPr>
        <w:pStyle w:val="ListParagraph"/>
        <w:numPr>
          <w:ilvl w:val="0"/>
          <w:numId w:val="2"/>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Perform other related duties as assigned.</w:t>
      </w:r>
    </w:p>
    <w:p w14:paraId="5255F461" w14:textId="77777777" w:rsidR="00E80075" w:rsidRPr="001A7CC8" w:rsidRDefault="00E80075" w:rsidP="006D296C">
      <w:pPr>
        <w:pStyle w:val="Heading1"/>
        <w:spacing w:before="240" w:after="120"/>
        <w:jc w:val="both"/>
        <w:rPr>
          <w:rFonts w:asciiTheme="minorHAnsi" w:hAnsiTheme="minorHAnsi" w:cstheme="minorHAnsi"/>
          <w:szCs w:val="28"/>
        </w:rPr>
      </w:pPr>
      <w:r w:rsidRPr="001A7CC8">
        <w:rPr>
          <w:rFonts w:asciiTheme="minorHAnsi" w:hAnsiTheme="minorHAnsi" w:cstheme="minorHAnsi"/>
          <w:szCs w:val="28"/>
        </w:rPr>
        <w:lastRenderedPageBreak/>
        <w:t xml:space="preserve">Qualifications </w:t>
      </w:r>
      <w:proofErr w:type="gramStart"/>
      <w:r w:rsidRPr="001A7CC8">
        <w:rPr>
          <w:rFonts w:asciiTheme="minorHAnsi" w:hAnsiTheme="minorHAnsi" w:cstheme="minorHAnsi"/>
          <w:szCs w:val="28"/>
        </w:rPr>
        <w:t>required</w:t>
      </w:r>
      <w:proofErr w:type="gramEnd"/>
    </w:p>
    <w:p w14:paraId="3BF3FF4A" w14:textId="15B80F0A" w:rsidR="0099233C" w:rsidRPr="001A7CC8" w:rsidRDefault="0099233C" w:rsidP="002E273D">
      <w:pPr>
        <w:pStyle w:val="ListParagraph"/>
        <w:numPr>
          <w:ilvl w:val="0"/>
          <w:numId w:val="6"/>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Advanced university degree in business management, international business or a related field OR education from a reputed college of advanced education with a diploma of equivalent standard to that of an advanced university degree in one of the fields above. For internal candidates, a first university degree in one of the fields above in combination with twenty years of qualifying experience may be accepted in lieu of an advanced university degree for promotion or rotation purposes.</w:t>
      </w:r>
    </w:p>
    <w:p w14:paraId="21AC3A7F" w14:textId="674CD734" w:rsidR="00544AEE" w:rsidRPr="001A7CC8" w:rsidRDefault="00544AEE" w:rsidP="002E273D">
      <w:pPr>
        <w:pStyle w:val="ListParagraph"/>
        <w:numPr>
          <w:ilvl w:val="0"/>
          <w:numId w:val="6"/>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At least fifteen years of progressively responsible experience in various telecommunication fields and emerging technologies such as AI, including at least seven at the international level. A Doctorate in a related field can be considered as a substitute for three years of working experience.</w:t>
      </w:r>
    </w:p>
    <w:p w14:paraId="5D293917" w14:textId="77777777" w:rsidR="00012DCA" w:rsidRPr="001A7CC8" w:rsidRDefault="00012DCA" w:rsidP="002E273D">
      <w:pPr>
        <w:pStyle w:val="ListParagraph"/>
        <w:numPr>
          <w:ilvl w:val="0"/>
          <w:numId w:val="6"/>
        </w:numPr>
        <w:spacing w:after="120"/>
        <w:ind w:left="567" w:hanging="567"/>
        <w:contextualSpacing w:val="0"/>
        <w:jc w:val="both"/>
        <w:rPr>
          <w:rFonts w:asciiTheme="minorHAnsi" w:hAnsiTheme="minorHAnsi" w:cstheme="minorHAnsi"/>
          <w:szCs w:val="24"/>
        </w:rPr>
      </w:pPr>
      <w:r w:rsidRPr="001A7CC8">
        <w:rPr>
          <w:rFonts w:asciiTheme="minorHAnsi" w:hAnsiTheme="minorHAnsi" w:cstheme="minorHAnsi"/>
          <w:szCs w:val="24"/>
        </w:rPr>
        <w:t xml:space="preserve">Knowledge of one of the six official languages of the Union (Arabic, Chinese, English, French, Russian, Spanish) at advanced level and knowledge of a second official language at intermediate level. Knowledge of a third official language would be an advantage. </w:t>
      </w:r>
    </w:p>
    <w:p w14:paraId="53D994AB" w14:textId="675B4157" w:rsidR="00012DCA" w:rsidRPr="001A7CC8" w:rsidRDefault="00012DCA" w:rsidP="007B50F8">
      <w:pPr>
        <w:spacing w:after="120"/>
        <w:ind w:left="567"/>
        <w:jc w:val="both"/>
        <w:rPr>
          <w:rFonts w:asciiTheme="minorHAnsi" w:hAnsiTheme="minorHAnsi" w:cstheme="minorHAnsi"/>
          <w:szCs w:val="24"/>
          <w:highlight w:val="yellow"/>
        </w:rPr>
      </w:pPr>
      <w:r w:rsidRPr="001A7CC8">
        <w:rPr>
          <w:rFonts w:asciiTheme="minorHAnsi" w:hAnsiTheme="minorHAnsi" w:cstheme="minorHAnsi"/>
          <w:i/>
          <w:iCs/>
          <w:szCs w:val="24"/>
        </w:rPr>
        <w:t>(Under the provision of Resolution No. 626 of the Council, a relaxation of the language requirements may be authorized in the case of candidates from developing countries: when candidates from such countries possess a thorough knowledge of one of the official languages of the Union, their applications may be taken into consideration.)</w:t>
      </w:r>
    </w:p>
    <w:p w14:paraId="1EAFDA3A" w14:textId="77777777" w:rsidR="00E80075" w:rsidRPr="001A7CC8" w:rsidRDefault="00E80075" w:rsidP="0019275E">
      <w:pPr>
        <w:pStyle w:val="Heading1"/>
        <w:spacing w:before="120" w:after="120"/>
        <w:jc w:val="both"/>
        <w:rPr>
          <w:rFonts w:asciiTheme="minorHAnsi" w:hAnsiTheme="minorHAnsi" w:cstheme="minorHAnsi"/>
          <w:szCs w:val="28"/>
        </w:rPr>
      </w:pPr>
      <w:r w:rsidRPr="001A7CC8">
        <w:rPr>
          <w:rFonts w:asciiTheme="minorHAnsi" w:hAnsiTheme="minorHAnsi" w:cstheme="minorHAnsi"/>
          <w:szCs w:val="28"/>
        </w:rPr>
        <w:t>Competencies</w:t>
      </w:r>
    </w:p>
    <w:p w14:paraId="5BB26CDA" w14:textId="77777777"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 xml:space="preserve">Ability to identify key strategic issues, </w:t>
      </w:r>
      <w:proofErr w:type="gramStart"/>
      <w:r w:rsidRPr="001A7CC8">
        <w:rPr>
          <w:rFonts w:asciiTheme="minorHAnsi" w:hAnsiTheme="minorHAnsi" w:cstheme="minorHAnsi"/>
          <w:szCs w:val="24"/>
        </w:rPr>
        <w:t>opportunities</w:t>
      </w:r>
      <w:proofErr w:type="gramEnd"/>
      <w:r w:rsidRPr="001A7CC8">
        <w:rPr>
          <w:rFonts w:asciiTheme="minorHAnsi" w:hAnsiTheme="minorHAnsi" w:cstheme="minorHAnsi"/>
          <w:szCs w:val="24"/>
        </w:rPr>
        <w:t xml:space="preserve"> and risks and to formulate and take responsive initiatives.</w:t>
      </w:r>
    </w:p>
    <w:p w14:paraId="6706CB4C" w14:textId="77777777"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Reliability and commitment to timely delivery of high-quality outputs and to achieving ITU-T goals.</w:t>
      </w:r>
    </w:p>
    <w:p w14:paraId="0AB2163A" w14:textId="77777777"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Ability to build up teams and motivate and achieve effective teamwork.</w:t>
      </w:r>
    </w:p>
    <w:p w14:paraId="6D0B6CF5" w14:textId="77777777"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 xml:space="preserve">Ability to work in a multi-cultural, multi-ethnic environment with sensitivity and respect for diversity. </w:t>
      </w:r>
    </w:p>
    <w:p w14:paraId="6A5FF48D" w14:textId="77777777"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Political and diplomatic skills to liaise, negotiate and manage relationships with key TSB stakeholders.</w:t>
      </w:r>
    </w:p>
    <w:p w14:paraId="7E35C7AB" w14:textId="77777777"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 xml:space="preserve">Ability to identify key strategic issues, </w:t>
      </w:r>
      <w:proofErr w:type="gramStart"/>
      <w:r w:rsidRPr="001A7CC8">
        <w:rPr>
          <w:rFonts w:asciiTheme="minorHAnsi" w:hAnsiTheme="minorHAnsi" w:cstheme="minorHAnsi"/>
          <w:szCs w:val="24"/>
        </w:rPr>
        <w:t>opportunities</w:t>
      </w:r>
      <w:proofErr w:type="gramEnd"/>
      <w:r w:rsidRPr="001A7CC8">
        <w:rPr>
          <w:rFonts w:asciiTheme="minorHAnsi" w:hAnsiTheme="minorHAnsi" w:cstheme="minorHAnsi"/>
          <w:szCs w:val="24"/>
        </w:rPr>
        <w:t xml:space="preserve"> and risks and to formulate and take responsive initiatives.</w:t>
      </w:r>
    </w:p>
    <w:p w14:paraId="7039F463" w14:textId="6040FA06" w:rsidR="00D224CB"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r>
      <w:r w:rsidR="00910129" w:rsidRPr="00910129">
        <w:rPr>
          <w:rFonts w:asciiTheme="minorHAnsi" w:hAnsiTheme="minorHAnsi" w:cstheme="minorHAnsi"/>
          <w:szCs w:val="24"/>
        </w:rPr>
        <w:t xml:space="preserve">Proficiency in relevant office computer, </w:t>
      </w:r>
      <w:proofErr w:type="gramStart"/>
      <w:r w:rsidR="00910129" w:rsidRPr="00910129">
        <w:rPr>
          <w:rFonts w:asciiTheme="minorHAnsi" w:hAnsiTheme="minorHAnsi" w:cstheme="minorHAnsi"/>
          <w:szCs w:val="24"/>
        </w:rPr>
        <w:t>web</w:t>
      </w:r>
      <w:proofErr w:type="gramEnd"/>
      <w:r w:rsidR="00910129" w:rsidRPr="00910129">
        <w:rPr>
          <w:rFonts w:asciiTheme="minorHAnsi" w:hAnsiTheme="minorHAnsi" w:cstheme="minorHAnsi"/>
          <w:szCs w:val="24"/>
        </w:rPr>
        <w:t xml:space="preserve"> and AI applications</w:t>
      </w:r>
      <w:r w:rsidRPr="001A7CC8">
        <w:rPr>
          <w:rFonts w:asciiTheme="minorHAnsi" w:hAnsiTheme="minorHAnsi" w:cstheme="minorHAnsi"/>
          <w:szCs w:val="24"/>
        </w:rPr>
        <w:t>.</w:t>
      </w:r>
    </w:p>
    <w:p w14:paraId="1633061C" w14:textId="77777777" w:rsidR="0019275E" w:rsidRPr="001A7CC8" w:rsidRDefault="00D224CB" w:rsidP="006D296C">
      <w:pPr>
        <w:spacing w:before="60" w:after="60"/>
        <w:ind w:left="567" w:hanging="567"/>
        <w:jc w:val="both"/>
        <w:rPr>
          <w:rFonts w:asciiTheme="minorHAnsi" w:hAnsiTheme="minorHAnsi" w:cstheme="minorHAnsi"/>
          <w:szCs w:val="24"/>
        </w:rPr>
      </w:pPr>
      <w:r w:rsidRPr="001A7CC8">
        <w:rPr>
          <w:rFonts w:asciiTheme="minorHAnsi" w:hAnsiTheme="minorHAnsi" w:cstheme="minorHAnsi"/>
          <w:szCs w:val="24"/>
        </w:rPr>
        <w:t>•</w:t>
      </w:r>
      <w:r w:rsidRPr="001A7CC8">
        <w:rPr>
          <w:rFonts w:asciiTheme="minorHAnsi" w:hAnsiTheme="minorHAnsi" w:cstheme="minorHAnsi"/>
          <w:szCs w:val="24"/>
        </w:rPr>
        <w:tab/>
        <w:t>Awareness and understanding of ITU-T rules and procedures, its meeting activities and its products would be an advantage.</w:t>
      </w:r>
    </w:p>
    <w:p w14:paraId="68A81E9D" w14:textId="77777777" w:rsidR="00087E19" w:rsidRPr="001A7CC8" w:rsidRDefault="00087E1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1A7CC8">
        <w:rPr>
          <w:rFonts w:asciiTheme="minorHAnsi" w:hAnsiTheme="minorHAnsi" w:cstheme="minorHAnsi"/>
        </w:rPr>
        <w:br w:type="page"/>
      </w:r>
    </w:p>
    <w:p w14:paraId="372A68E5" w14:textId="0770627C" w:rsidR="00B51977" w:rsidRPr="001A7CC8" w:rsidRDefault="00B51977" w:rsidP="00B031EA">
      <w:pPr>
        <w:pStyle w:val="AnnexNo"/>
      </w:pPr>
      <w:bookmarkStart w:id="16" w:name="AnnexD"/>
      <w:r w:rsidRPr="001A7CC8">
        <w:lastRenderedPageBreak/>
        <w:t xml:space="preserve">ANNEX </w:t>
      </w:r>
      <w:r w:rsidR="00D14502" w:rsidRPr="001A7CC8">
        <w:t>D</w:t>
      </w:r>
      <w:bookmarkEnd w:id="16"/>
    </w:p>
    <w:p w14:paraId="7106F1D4" w14:textId="706C57C7" w:rsidR="00B51977" w:rsidRPr="001A7CC8" w:rsidRDefault="00B51977" w:rsidP="00B031EA">
      <w:pPr>
        <w:pStyle w:val="AnnexNo"/>
        <w:rPr>
          <w:rFonts w:eastAsia="SimSun"/>
          <w:lang w:eastAsia="zh-CN"/>
        </w:rPr>
      </w:pPr>
      <w:r w:rsidRPr="001A7CC8">
        <w:rPr>
          <w:rFonts w:eastAsia="SimSun"/>
          <w:lang w:eastAsia="zh-CN"/>
        </w:rPr>
        <w:t xml:space="preserve">DRAFT </w:t>
      </w:r>
      <w:r w:rsidR="00433BCA">
        <w:rPr>
          <w:rFonts w:eastAsia="SimSun"/>
          <w:lang w:eastAsia="zh-CN"/>
        </w:rPr>
        <w:t xml:space="preserve">NEW </w:t>
      </w:r>
      <w:r w:rsidRPr="001A7CC8">
        <w:rPr>
          <w:rFonts w:eastAsia="SimSun"/>
          <w:lang w:eastAsia="zh-CN"/>
        </w:rPr>
        <w:t>DECISION</w:t>
      </w:r>
      <w:r w:rsidR="00433BCA">
        <w:rPr>
          <w:rFonts w:eastAsia="SimSun"/>
          <w:lang w:eastAsia="zh-CN"/>
        </w:rPr>
        <w:t xml:space="preserve"> […]</w:t>
      </w:r>
    </w:p>
    <w:p w14:paraId="78AED703" w14:textId="0B1729B2" w:rsidR="001B5659" w:rsidRPr="001A7CC8" w:rsidRDefault="001B5659" w:rsidP="00B031EA">
      <w:pPr>
        <w:pStyle w:val="Annextitle"/>
        <w:rPr>
          <w:rFonts w:eastAsia="SimSun"/>
          <w:lang w:eastAsia="zh-CN"/>
        </w:rPr>
      </w:pPr>
      <w:r w:rsidRPr="001A7CC8">
        <w:rPr>
          <w:rFonts w:eastAsia="SimSun"/>
          <w:lang w:eastAsia="zh-CN"/>
        </w:rPr>
        <w:t>Job description for Post D.1 Chief, Strategic Engagement Department, Telecommunication Standardization Burea</w:t>
      </w:r>
      <w:r w:rsidR="00464670" w:rsidRPr="001A7CC8">
        <w:rPr>
          <w:rFonts w:eastAsia="SimSun"/>
          <w:lang w:eastAsia="zh-CN"/>
        </w:rPr>
        <w:t>u</w:t>
      </w:r>
    </w:p>
    <w:p w14:paraId="4A484E1B" w14:textId="7835E0E1" w:rsidR="00B51977" w:rsidRPr="001A7CC8" w:rsidRDefault="00B51977" w:rsidP="00B031EA">
      <w:pPr>
        <w:pStyle w:val="Normalaftertitle"/>
        <w:rPr>
          <w:rFonts w:eastAsia="SimSun"/>
          <w:lang w:eastAsia="zh-CN"/>
        </w:rPr>
      </w:pPr>
      <w:r w:rsidRPr="001A7CC8">
        <w:rPr>
          <w:rFonts w:eastAsia="SimSun"/>
          <w:lang w:eastAsia="zh-CN"/>
        </w:rPr>
        <w:t xml:space="preserve">The </w:t>
      </w:r>
      <w:r w:rsidR="00433BCA">
        <w:rPr>
          <w:rFonts w:eastAsia="SimSun"/>
          <w:lang w:eastAsia="zh-CN"/>
        </w:rPr>
        <w:t xml:space="preserve">ITU </w:t>
      </w:r>
      <w:r w:rsidRPr="001A7CC8">
        <w:rPr>
          <w:rFonts w:eastAsia="SimSun"/>
          <w:lang w:eastAsia="zh-CN"/>
        </w:rPr>
        <w:t>Council,</w:t>
      </w:r>
    </w:p>
    <w:p w14:paraId="51854C44" w14:textId="01CBB708" w:rsidR="00B031EA" w:rsidRPr="00B031EA" w:rsidRDefault="00B51977" w:rsidP="00B031EA">
      <w:pPr>
        <w:pStyle w:val="Call"/>
        <w:rPr>
          <w:rFonts w:eastAsia="SimSun"/>
        </w:rPr>
      </w:pPr>
      <w:r w:rsidRPr="00B031EA">
        <w:rPr>
          <w:rFonts w:eastAsia="SimSun"/>
        </w:rPr>
        <w:t xml:space="preserve">in </w:t>
      </w:r>
      <w:r w:rsidRPr="00B031EA">
        <w:t>view</w:t>
      </w:r>
      <w:r w:rsidRPr="00B031EA">
        <w:rPr>
          <w:rFonts w:eastAsia="SimSun"/>
        </w:rPr>
        <w:t xml:space="preserve"> of</w:t>
      </w:r>
    </w:p>
    <w:p w14:paraId="52E94563" w14:textId="35C13E71" w:rsidR="00B51977" w:rsidRPr="001A7CC8" w:rsidRDefault="00B51977" w:rsidP="00B031EA">
      <w:pPr>
        <w:rPr>
          <w:rFonts w:eastAsia="SimSun"/>
          <w:lang w:eastAsia="zh-CN"/>
        </w:rPr>
      </w:pPr>
      <w:r w:rsidRPr="001A7CC8">
        <w:rPr>
          <w:rFonts w:eastAsia="SimSun"/>
          <w:lang w:eastAsia="zh-CN"/>
        </w:rPr>
        <w:t>Nos. 70 and 71 of the Convention of the International Telecommunication Union (Geneva, 1992),</w:t>
      </w:r>
    </w:p>
    <w:p w14:paraId="5A17D02A" w14:textId="7A12D0BB" w:rsidR="00B51977" w:rsidRPr="00B031EA" w:rsidRDefault="00B51977" w:rsidP="00B031EA">
      <w:pPr>
        <w:pStyle w:val="Call"/>
        <w:rPr>
          <w:rFonts w:eastAsia="SimSun"/>
        </w:rPr>
      </w:pPr>
      <w:r w:rsidRPr="00B031EA">
        <w:t>decides</w:t>
      </w:r>
    </w:p>
    <w:p w14:paraId="5D2B2930" w14:textId="37B7E427" w:rsidR="00B51977" w:rsidRPr="001A7CC8" w:rsidRDefault="00B51977" w:rsidP="00D76FE2">
      <w:pPr>
        <w:jc w:val="both"/>
        <w:rPr>
          <w:rFonts w:asciiTheme="minorHAnsi" w:hAnsiTheme="minorHAnsi" w:cstheme="minorHAnsi"/>
        </w:rPr>
      </w:pPr>
      <w:r w:rsidRPr="001A7CC8">
        <w:rPr>
          <w:rFonts w:asciiTheme="minorHAnsi" w:hAnsiTheme="minorHAnsi" w:cstheme="minorHAnsi"/>
        </w:rPr>
        <w:t>to approve</w:t>
      </w:r>
      <w:r w:rsidR="00D14502" w:rsidRPr="001A7CC8">
        <w:rPr>
          <w:rFonts w:asciiTheme="minorHAnsi" w:hAnsiTheme="minorHAnsi" w:cstheme="minorHAnsi"/>
        </w:rPr>
        <w:t xml:space="preserve"> the</w:t>
      </w:r>
      <w:r w:rsidRPr="001A7CC8">
        <w:rPr>
          <w:rFonts w:asciiTheme="minorHAnsi" w:hAnsiTheme="minorHAnsi" w:cstheme="minorHAnsi"/>
        </w:rPr>
        <w:t xml:space="preserve"> job description for the </w:t>
      </w:r>
      <w:r w:rsidR="00087E19" w:rsidRPr="001A7CC8">
        <w:rPr>
          <w:rFonts w:asciiTheme="minorHAnsi" w:hAnsiTheme="minorHAnsi" w:cstheme="minorHAnsi"/>
        </w:rPr>
        <w:t>P</w:t>
      </w:r>
      <w:r w:rsidRPr="001A7CC8">
        <w:rPr>
          <w:rFonts w:asciiTheme="minorHAnsi" w:hAnsiTheme="minorHAnsi" w:cstheme="minorHAnsi"/>
        </w:rPr>
        <w:t>ost D</w:t>
      </w:r>
      <w:r w:rsidR="00087E19" w:rsidRPr="001A7CC8">
        <w:rPr>
          <w:rFonts w:asciiTheme="minorHAnsi" w:hAnsiTheme="minorHAnsi" w:cstheme="minorHAnsi"/>
        </w:rPr>
        <w:t>.</w:t>
      </w:r>
      <w:r w:rsidRPr="001A7CC8">
        <w:rPr>
          <w:rFonts w:asciiTheme="minorHAnsi" w:hAnsiTheme="minorHAnsi" w:cstheme="minorHAnsi"/>
        </w:rPr>
        <w:t>1 of Chief of the Strategic Engagement Department</w:t>
      </w:r>
      <w:r w:rsidR="00D14502" w:rsidRPr="001A7CC8">
        <w:rPr>
          <w:rFonts w:asciiTheme="minorHAnsi" w:hAnsiTheme="minorHAnsi" w:cstheme="minorHAnsi"/>
        </w:rPr>
        <w:t>, Telecommunication Standardization Bureau</w:t>
      </w:r>
      <w:r w:rsidR="008D1D83" w:rsidRPr="001A7CC8">
        <w:rPr>
          <w:rFonts w:asciiTheme="minorHAnsi" w:hAnsiTheme="minorHAnsi" w:cstheme="minorHAnsi"/>
        </w:rPr>
        <w:t>.</w:t>
      </w:r>
      <w:r w:rsidR="00D14502" w:rsidRPr="001A7CC8">
        <w:rPr>
          <w:rFonts w:asciiTheme="minorHAnsi" w:hAnsiTheme="minorHAnsi" w:cstheme="minorHAnsi"/>
        </w:rPr>
        <w:t xml:space="preserve"> </w:t>
      </w:r>
    </w:p>
    <w:p w14:paraId="5B3CC779" w14:textId="10F2DDC0" w:rsidR="007371BA" w:rsidRPr="001A7CC8" w:rsidRDefault="0019275E" w:rsidP="00B031EA">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szCs w:val="24"/>
        </w:rPr>
      </w:pPr>
      <w:r w:rsidRPr="001A7CC8">
        <w:rPr>
          <w:rFonts w:asciiTheme="minorHAnsi" w:hAnsiTheme="minorHAnsi" w:cstheme="minorHAnsi"/>
          <w:szCs w:val="24"/>
        </w:rPr>
        <w:t>_____________</w:t>
      </w:r>
    </w:p>
    <w:sectPr w:rsidR="007371BA" w:rsidRPr="001A7CC8" w:rsidSect="00D9538D">
      <w:pgSz w:w="11907" w:h="16834"/>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1BE7" w14:textId="77777777" w:rsidR="006B4B60" w:rsidRDefault="006B4B60">
      <w:r>
        <w:separator/>
      </w:r>
    </w:p>
  </w:endnote>
  <w:endnote w:type="continuationSeparator" w:id="0">
    <w:p w14:paraId="220A3B47" w14:textId="77777777" w:rsidR="006B4B60" w:rsidRDefault="006B4B60">
      <w:r>
        <w:continuationSeparator/>
      </w:r>
    </w:p>
  </w:endnote>
  <w:endnote w:type="continuationNotice" w:id="1">
    <w:p w14:paraId="36ED8CE9" w14:textId="77777777" w:rsidR="006B4B60" w:rsidRDefault="006B4B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352D07">
      <w:trPr>
        <w:jc w:val="center"/>
      </w:trPr>
      <w:tc>
        <w:tcPr>
          <w:tcW w:w="1803" w:type="dxa"/>
          <w:vAlign w:val="center"/>
        </w:tcPr>
        <w:p w14:paraId="727FD637" w14:textId="65FE69A3" w:rsidR="00EE49E8" w:rsidRDefault="00EE49E8" w:rsidP="00EE49E8">
          <w:pPr>
            <w:pStyle w:val="Header"/>
            <w:jc w:val="left"/>
            <w:rPr>
              <w:noProof/>
            </w:rPr>
          </w:pPr>
        </w:p>
      </w:tc>
      <w:tc>
        <w:tcPr>
          <w:tcW w:w="8261" w:type="dxa"/>
        </w:tcPr>
        <w:p w14:paraId="2D49E76E" w14:textId="5A6CBF0D" w:rsidR="00EE49E8" w:rsidRPr="00E06FD5" w:rsidRDefault="00EE49E8" w:rsidP="00EE49E8">
          <w:pPr>
            <w:pStyle w:val="Header"/>
            <w:tabs>
              <w:tab w:val="left" w:pos="6153"/>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7379F2">
            <w:rPr>
              <w:bCs/>
            </w:rPr>
            <w:t>71</w:t>
          </w:r>
          <w:r w:rsidR="00910129">
            <w:rPr>
              <w:bCs/>
            </w:rPr>
            <w:t>(Rev.</w:t>
          </w:r>
          <w:r w:rsidR="004D0532">
            <w:rPr>
              <w:bCs/>
            </w:rPr>
            <w:t>2</w:t>
          </w:r>
          <w:r w:rsidR="00910129">
            <w:rPr>
              <w:bCs/>
            </w:rPr>
            <w:t>)</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4D0532"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6AC29CB7" w:rsidR="00EE49E8" w:rsidRPr="00E06FD5" w:rsidRDefault="00EE49E8" w:rsidP="00EE49E8">
          <w:pPr>
            <w:pStyle w:val="Header"/>
            <w:tabs>
              <w:tab w:val="left" w:pos="6153"/>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E339BD">
            <w:rPr>
              <w:bCs/>
            </w:rPr>
            <w:t>71</w:t>
          </w:r>
          <w:r w:rsidR="00910129">
            <w:rPr>
              <w:bCs/>
            </w:rPr>
            <w:t>(Rev.</w:t>
          </w:r>
          <w:r w:rsidR="004D0532">
            <w:rPr>
              <w:bCs/>
            </w:rPr>
            <w:t>2</w:t>
          </w:r>
          <w:r w:rsidR="00910129">
            <w:rPr>
              <w:bCs/>
            </w:rPr>
            <w:t>)</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A3DA" w14:textId="77777777" w:rsidR="006B4B60" w:rsidRDefault="006B4B60">
      <w:r>
        <w:t>____________________</w:t>
      </w:r>
    </w:p>
  </w:footnote>
  <w:footnote w:type="continuationSeparator" w:id="0">
    <w:p w14:paraId="47D26FC6" w14:textId="77777777" w:rsidR="006B4B60" w:rsidRDefault="006B4B60">
      <w:r>
        <w:continuationSeparator/>
      </w:r>
    </w:p>
  </w:footnote>
  <w:footnote w:type="continuationNotice" w:id="1">
    <w:p w14:paraId="5B69FC06" w14:textId="77777777" w:rsidR="006B4B60" w:rsidRDefault="006B4B6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352D07">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2"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DFD45"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96233D2"/>
    <w:multiLevelType w:val="hybridMultilevel"/>
    <w:tmpl w:val="16B6A10C"/>
    <w:lvl w:ilvl="0" w:tplc="B1D6EA02">
      <w:numFmt w:val="bullet"/>
      <w:lvlText w:val="•"/>
      <w:lvlJc w:val="left"/>
      <w:pPr>
        <w:ind w:left="926" w:hanging="566"/>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841F8"/>
    <w:multiLevelType w:val="hybridMultilevel"/>
    <w:tmpl w:val="02DE4DAC"/>
    <w:lvl w:ilvl="0" w:tplc="08090001">
      <w:start w:val="1"/>
      <w:numFmt w:val="bullet"/>
      <w:lvlText w:val=""/>
      <w:lvlJc w:val="left"/>
      <w:pPr>
        <w:ind w:left="1341" w:hanging="360"/>
      </w:pPr>
      <w:rPr>
        <w:rFonts w:ascii="Symbol" w:hAnsi="Symbol" w:hint="default"/>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abstractNum w:abstractNumId="3" w15:restartNumberingAfterBreak="0">
    <w:nsid w:val="5AB81E7D"/>
    <w:multiLevelType w:val="hybridMultilevel"/>
    <w:tmpl w:val="34B2D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CE2F66"/>
    <w:multiLevelType w:val="hybridMultilevel"/>
    <w:tmpl w:val="34B2DF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72A5F5C"/>
    <w:multiLevelType w:val="hybridMultilevel"/>
    <w:tmpl w:val="F7FC4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313074637">
    <w:abstractNumId w:val="3"/>
  </w:num>
  <w:num w:numId="3" w16cid:durableId="462425767">
    <w:abstractNumId w:val="2"/>
  </w:num>
  <w:num w:numId="4" w16cid:durableId="1332103351">
    <w:abstractNumId w:val="1"/>
  </w:num>
  <w:num w:numId="5" w16cid:durableId="585962970">
    <w:abstractNumId w:val="5"/>
  </w:num>
  <w:num w:numId="6" w16cid:durableId="443886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5285"/>
    <w:rsid w:val="00012DCA"/>
    <w:rsid w:val="000210D4"/>
    <w:rsid w:val="00035F47"/>
    <w:rsid w:val="0004698E"/>
    <w:rsid w:val="00063016"/>
    <w:rsid w:val="00066795"/>
    <w:rsid w:val="00076AF6"/>
    <w:rsid w:val="00085CF2"/>
    <w:rsid w:val="00087E19"/>
    <w:rsid w:val="000945C9"/>
    <w:rsid w:val="000977DA"/>
    <w:rsid w:val="000B1705"/>
    <w:rsid w:val="000D75B2"/>
    <w:rsid w:val="001121F5"/>
    <w:rsid w:val="001339F1"/>
    <w:rsid w:val="001400DC"/>
    <w:rsid w:val="00140CE1"/>
    <w:rsid w:val="001612AA"/>
    <w:rsid w:val="0017539C"/>
    <w:rsid w:val="00175AC2"/>
    <w:rsid w:val="0017609F"/>
    <w:rsid w:val="00187FBD"/>
    <w:rsid w:val="0019275E"/>
    <w:rsid w:val="001A2483"/>
    <w:rsid w:val="001A7CC8"/>
    <w:rsid w:val="001A7D1D"/>
    <w:rsid w:val="001B51DD"/>
    <w:rsid w:val="001B5659"/>
    <w:rsid w:val="001C628E"/>
    <w:rsid w:val="001D086C"/>
    <w:rsid w:val="001E0F7B"/>
    <w:rsid w:val="00210287"/>
    <w:rsid w:val="002119FD"/>
    <w:rsid w:val="002130E0"/>
    <w:rsid w:val="00264425"/>
    <w:rsid w:val="00265875"/>
    <w:rsid w:val="0027303B"/>
    <w:rsid w:val="0028109B"/>
    <w:rsid w:val="00285A88"/>
    <w:rsid w:val="002A2188"/>
    <w:rsid w:val="002B1172"/>
    <w:rsid w:val="002B1F58"/>
    <w:rsid w:val="002C1C7A"/>
    <w:rsid w:val="002C54E2"/>
    <w:rsid w:val="002D0A08"/>
    <w:rsid w:val="002D3FE9"/>
    <w:rsid w:val="002E273D"/>
    <w:rsid w:val="002FABDD"/>
    <w:rsid w:val="0030160F"/>
    <w:rsid w:val="00305997"/>
    <w:rsid w:val="00320223"/>
    <w:rsid w:val="00322D0D"/>
    <w:rsid w:val="0033747B"/>
    <w:rsid w:val="00352D07"/>
    <w:rsid w:val="0035511B"/>
    <w:rsid w:val="00361465"/>
    <w:rsid w:val="003877F5"/>
    <w:rsid w:val="003942D4"/>
    <w:rsid w:val="003958A8"/>
    <w:rsid w:val="003B3CB3"/>
    <w:rsid w:val="003C2533"/>
    <w:rsid w:val="003D5A7F"/>
    <w:rsid w:val="003F4CD9"/>
    <w:rsid w:val="004016E2"/>
    <w:rsid w:val="00403BBA"/>
    <w:rsid w:val="0040435A"/>
    <w:rsid w:val="00406EBE"/>
    <w:rsid w:val="004119E9"/>
    <w:rsid w:val="00416A24"/>
    <w:rsid w:val="00431D9E"/>
    <w:rsid w:val="00433BCA"/>
    <w:rsid w:val="00433CE8"/>
    <w:rsid w:val="00434A5C"/>
    <w:rsid w:val="0044574B"/>
    <w:rsid w:val="004544D9"/>
    <w:rsid w:val="00457B41"/>
    <w:rsid w:val="00464670"/>
    <w:rsid w:val="004701A8"/>
    <w:rsid w:val="004720B0"/>
    <w:rsid w:val="00472BAD"/>
    <w:rsid w:val="004766A0"/>
    <w:rsid w:val="00484009"/>
    <w:rsid w:val="00490E72"/>
    <w:rsid w:val="00491157"/>
    <w:rsid w:val="004921C8"/>
    <w:rsid w:val="00494FC9"/>
    <w:rsid w:val="00495B0B"/>
    <w:rsid w:val="004A1B8B"/>
    <w:rsid w:val="004D0532"/>
    <w:rsid w:val="004D1851"/>
    <w:rsid w:val="004D599D"/>
    <w:rsid w:val="004D6022"/>
    <w:rsid w:val="004E2EA5"/>
    <w:rsid w:val="004E3AEB"/>
    <w:rsid w:val="0050223C"/>
    <w:rsid w:val="00511C4B"/>
    <w:rsid w:val="005243FF"/>
    <w:rsid w:val="00544AEE"/>
    <w:rsid w:val="00564FBC"/>
    <w:rsid w:val="005800BC"/>
    <w:rsid w:val="00582442"/>
    <w:rsid w:val="005B15D5"/>
    <w:rsid w:val="005B5974"/>
    <w:rsid w:val="005C2D00"/>
    <w:rsid w:val="005D32F1"/>
    <w:rsid w:val="005F3269"/>
    <w:rsid w:val="00623AE3"/>
    <w:rsid w:val="00626CC7"/>
    <w:rsid w:val="00633FDE"/>
    <w:rsid w:val="00637609"/>
    <w:rsid w:val="0064737F"/>
    <w:rsid w:val="006535F1"/>
    <w:rsid w:val="0065557D"/>
    <w:rsid w:val="00660D50"/>
    <w:rsid w:val="00662984"/>
    <w:rsid w:val="00667575"/>
    <w:rsid w:val="00667958"/>
    <w:rsid w:val="006716BB"/>
    <w:rsid w:val="00680F2F"/>
    <w:rsid w:val="00683BB5"/>
    <w:rsid w:val="006850BE"/>
    <w:rsid w:val="00695091"/>
    <w:rsid w:val="006A4BE0"/>
    <w:rsid w:val="006B1859"/>
    <w:rsid w:val="006B4B60"/>
    <w:rsid w:val="006B4DF8"/>
    <w:rsid w:val="006B61B3"/>
    <w:rsid w:val="006B6680"/>
    <w:rsid w:val="006B6DCC"/>
    <w:rsid w:val="006D296C"/>
    <w:rsid w:val="006D2C0B"/>
    <w:rsid w:val="00702DEF"/>
    <w:rsid w:val="00706861"/>
    <w:rsid w:val="00734309"/>
    <w:rsid w:val="007371BA"/>
    <w:rsid w:val="007379F2"/>
    <w:rsid w:val="00737BFC"/>
    <w:rsid w:val="0075051B"/>
    <w:rsid w:val="0079050C"/>
    <w:rsid w:val="00790F84"/>
    <w:rsid w:val="00793188"/>
    <w:rsid w:val="0079497B"/>
    <w:rsid w:val="00794D34"/>
    <w:rsid w:val="007B50F8"/>
    <w:rsid w:val="007C12F3"/>
    <w:rsid w:val="007C2CFF"/>
    <w:rsid w:val="007D43FB"/>
    <w:rsid w:val="007E203C"/>
    <w:rsid w:val="00813E5E"/>
    <w:rsid w:val="0083581B"/>
    <w:rsid w:val="008412A2"/>
    <w:rsid w:val="00862808"/>
    <w:rsid w:val="00863874"/>
    <w:rsid w:val="00864AFF"/>
    <w:rsid w:val="00865925"/>
    <w:rsid w:val="00887646"/>
    <w:rsid w:val="008A284A"/>
    <w:rsid w:val="008B4A6A"/>
    <w:rsid w:val="008C2D09"/>
    <w:rsid w:val="008C7E27"/>
    <w:rsid w:val="008D1D83"/>
    <w:rsid w:val="008E0459"/>
    <w:rsid w:val="008E2957"/>
    <w:rsid w:val="008F7448"/>
    <w:rsid w:val="0090147A"/>
    <w:rsid w:val="0090771E"/>
    <w:rsid w:val="00910129"/>
    <w:rsid w:val="00911A30"/>
    <w:rsid w:val="009173EF"/>
    <w:rsid w:val="00932906"/>
    <w:rsid w:val="009420E5"/>
    <w:rsid w:val="00952485"/>
    <w:rsid w:val="00961B0B"/>
    <w:rsid w:val="00962D33"/>
    <w:rsid w:val="009643F6"/>
    <w:rsid w:val="0099233C"/>
    <w:rsid w:val="009A64F1"/>
    <w:rsid w:val="009A7BFD"/>
    <w:rsid w:val="009B38C3"/>
    <w:rsid w:val="009E17BD"/>
    <w:rsid w:val="009E485A"/>
    <w:rsid w:val="009F5059"/>
    <w:rsid w:val="00A00E07"/>
    <w:rsid w:val="00A04CEC"/>
    <w:rsid w:val="00A27F92"/>
    <w:rsid w:val="00A32257"/>
    <w:rsid w:val="00A36D20"/>
    <w:rsid w:val="00A514A4"/>
    <w:rsid w:val="00A55622"/>
    <w:rsid w:val="00A83502"/>
    <w:rsid w:val="00A9015D"/>
    <w:rsid w:val="00AA6F25"/>
    <w:rsid w:val="00AB1BB3"/>
    <w:rsid w:val="00AD15B3"/>
    <w:rsid w:val="00AD3606"/>
    <w:rsid w:val="00AD4A3D"/>
    <w:rsid w:val="00AD523F"/>
    <w:rsid w:val="00AF6E49"/>
    <w:rsid w:val="00B031EA"/>
    <w:rsid w:val="00B04A67"/>
    <w:rsid w:val="00B0583C"/>
    <w:rsid w:val="00B11633"/>
    <w:rsid w:val="00B40A81"/>
    <w:rsid w:val="00B433FC"/>
    <w:rsid w:val="00B44910"/>
    <w:rsid w:val="00B51977"/>
    <w:rsid w:val="00B559CC"/>
    <w:rsid w:val="00B72267"/>
    <w:rsid w:val="00B76EB6"/>
    <w:rsid w:val="00B7737B"/>
    <w:rsid w:val="00B824C8"/>
    <w:rsid w:val="00B84B9D"/>
    <w:rsid w:val="00B85F47"/>
    <w:rsid w:val="00BB1DBF"/>
    <w:rsid w:val="00BB44DD"/>
    <w:rsid w:val="00BC251A"/>
    <w:rsid w:val="00BD032B"/>
    <w:rsid w:val="00BE2640"/>
    <w:rsid w:val="00C01189"/>
    <w:rsid w:val="00C132EF"/>
    <w:rsid w:val="00C374DE"/>
    <w:rsid w:val="00C44DB0"/>
    <w:rsid w:val="00C47AD4"/>
    <w:rsid w:val="00C51C5C"/>
    <w:rsid w:val="00C52D57"/>
    <w:rsid w:val="00C52D81"/>
    <w:rsid w:val="00C55198"/>
    <w:rsid w:val="00C75B3F"/>
    <w:rsid w:val="00C862D1"/>
    <w:rsid w:val="00CA6393"/>
    <w:rsid w:val="00CB18FF"/>
    <w:rsid w:val="00CB6D67"/>
    <w:rsid w:val="00CC5987"/>
    <w:rsid w:val="00CD0C08"/>
    <w:rsid w:val="00CE03FB"/>
    <w:rsid w:val="00CE433C"/>
    <w:rsid w:val="00CF0161"/>
    <w:rsid w:val="00CF33F3"/>
    <w:rsid w:val="00CF34B2"/>
    <w:rsid w:val="00CF4DD2"/>
    <w:rsid w:val="00D06183"/>
    <w:rsid w:val="00D14502"/>
    <w:rsid w:val="00D224CB"/>
    <w:rsid w:val="00D22C42"/>
    <w:rsid w:val="00D234D5"/>
    <w:rsid w:val="00D37D04"/>
    <w:rsid w:val="00D51D3F"/>
    <w:rsid w:val="00D65041"/>
    <w:rsid w:val="00D65AB2"/>
    <w:rsid w:val="00D76FE2"/>
    <w:rsid w:val="00D9183D"/>
    <w:rsid w:val="00D9538D"/>
    <w:rsid w:val="00DA021E"/>
    <w:rsid w:val="00DB1936"/>
    <w:rsid w:val="00DB384B"/>
    <w:rsid w:val="00DD3AF4"/>
    <w:rsid w:val="00DD3DAB"/>
    <w:rsid w:val="00DE668E"/>
    <w:rsid w:val="00DF0189"/>
    <w:rsid w:val="00DF1110"/>
    <w:rsid w:val="00E005F7"/>
    <w:rsid w:val="00E047EA"/>
    <w:rsid w:val="00E06FD5"/>
    <w:rsid w:val="00E10E80"/>
    <w:rsid w:val="00E124F0"/>
    <w:rsid w:val="00E17163"/>
    <w:rsid w:val="00E227F3"/>
    <w:rsid w:val="00E23618"/>
    <w:rsid w:val="00E3062F"/>
    <w:rsid w:val="00E339BD"/>
    <w:rsid w:val="00E43A26"/>
    <w:rsid w:val="00E545C6"/>
    <w:rsid w:val="00E60F04"/>
    <w:rsid w:val="00E65B24"/>
    <w:rsid w:val="00E80075"/>
    <w:rsid w:val="00E80EB1"/>
    <w:rsid w:val="00E854E4"/>
    <w:rsid w:val="00E86DBF"/>
    <w:rsid w:val="00EB0D6F"/>
    <w:rsid w:val="00EB2232"/>
    <w:rsid w:val="00EC5337"/>
    <w:rsid w:val="00EE49E8"/>
    <w:rsid w:val="00F037B1"/>
    <w:rsid w:val="00F15674"/>
    <w:rsid w:val="00F156B9"/>
    <w:rsid w:val="00F16BAB"/>
    <w:rsid w:val="00F2150A"/>
    <w:rsid w:val="00F231D8"/>
    <w:rsid w:val="00F36DBD"/>
    <w:rsid w:val="00F44C00"/>
    <w:rsid w:val="00F45D2C"/>
    <w:rsid w:val="00F46AD1"/>
    <w:rsid w:val="00F46C5F"/>
    <w:rsid w:val="00F53337"/>
    <w:rsid w:val="00F632C0"/>
    <w:rsid w:val="00F72ABB"/>
    <w:rsid w:val="00F74710"/>
    <w:rsid w:val="00F94A63"/>
    <w:rsid w:val="00FA1C28"/>
    <w:rsid w:val="00FB1279"/>
    <w:rsid w:val="00FB6B76"/>
    <w:rsid w:val="00FB7596"/>
    <w:rsid w:val="00FE4077"/>
    <w:rsid w:val="00FE500D"/>
    <w:rsid w:val="00FE77D2"/>
    <w:rsid w:val="0127405E"/>
    <w:rsid w:val="05ECAA61"/>
    <w:rsid w:val="07498162"/>
    <w:rsid w:val="1752ECE4"/>
    <w:rsid w:val="18303FB7"/>
    <w:rsid w:val="1B901619"/>
    <w:rsid w:val="1DF41BF5"/>
    <w:rsid w:val="20C3CC8F"/>
    <w:rsid w:val="23D2F17E"/>
    <w:rsid w:val="294EB175"/>
    <w:rsid w:val="2C755015"/>
    <w:rsid w:val="303807C2"/>
    <w:rsid w:val="32893057"/>
    <w:rsid w:val="3BD088FA"/>
    <w:rsid w:val="3F924597"/>
    <w:rsid w:val="4282B71A"/>
    <w:rsid w:val="4370AC05"/>
    <w:rsid w:val="453F3877"/>
    <w:rsid w:val="46205B03"/>
    <w:rsid w:val="468E2C7E"/>
    <w:rsid w:val="4ABA655F"/>
    <w:rsid w:val="50AEA6AE"/>
    <w:rsid w:val="5139A84D"/>
    <w:rsid w:val="5315F331"/>
    <w:rsid w:val="538E3718"/>
    <w:rsid w:val="583899B0"/>
    <w:rsid w:val="595E697B"/>
    <w:rsid w:val="5D1731F9"/>
    <w:rsid w:val="5EB3C616"/>
    <w:rsid w:val="6320BD9C"/>
    <w:rsid w:val="660C3C59"/>
    <w:rsid w:val="6A1A88D0"/>
    <w:rsid w:val="6B7A2883"/>
    <w:rsid w:val="6CA0E764"/>
    <w:rsid w:val="6DED9913"/>
    <w:rsid w:val="781978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AE8FE44F-B2FB-458D-9A0E-25205C6F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1A2483"/>
    <w:rPr>
      <w:color w:val="605E5C"/>
      <w:shd w:val="clear" w:color="auto" w:fill="E1DFDD"/>
    </w:rPr>
  </w:style>
  <w:style w:type="paragraph" w:styleId="ListParagraph">
    <w:name w:val="List Paragraph"/>
    <w:basedOn w:val="Normal"/>
    <w:uiPriority w:val="34"/>
    <w:qFormat/>
    <w:rsid w:val="0019275E"/>
    <w:pPr>
      <w:ind w:left="720"/>
      <w:contextualSpacing/>
    </w:pPr>
  </w:style>
  <w:style w:type="paragraph" w:styleId="Revision">
    <w:name w:val="Revision"/>
    <w:hidden/>
    <w:uiPriority w:val="99"/>
    <w:semiHidden/>
    <w:rsid w:val="00737BF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dms_pub/itu-s/opb/conf/S-CONF-CL-2023-PDF-E.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Convention-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45917C06-96CA-43E0-9C6D-03FDEE04D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41AA1-A40F-43E0-A725-8C28585814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DA0FB8-4545-4C5C-A8EE-9568876FB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PE_Council23.dotx</Template>
  <TotalTime>2</TotalTime>
  <Pages>8</Pages>
  <Words>1462</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Telecommunication Standardization Bureau (TSB) reorganization 2024</vt:lpstr>
    </vt:vector>
  </TitlesOfParts>
  <Manager>General Secretariat - Pool</Manager>
  <Company>International Telecommunication Union (ITU)</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 Standardization Bureau (TSB) reorganization 2024</dc:title>
  <dc:subject>Council 2024</dc:subject>
  <dc:creator>author</dc:creator>
  <cp:keywords>C2024, C24, Council-24</cp:keywords>
  <dc:description/>
  <cp:lastModifiedBy>Brouard, Ricarda</cp:lastModifiedBy>
  <cp:revision>3</cp:revision>
  <cp:lastPrinted>2000-07-18T22:30:00Z</cp:lastPrinted>
  <dcterms:created xsi:type="dcterms:W3CDTF">2024-06-12T14:05:00Z</dcterms:created>
  <dcterms:modified xsi:type="dcterms:W3CDTF">2024-06-12T14:06:00Z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