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0043AC80" w14:textId="77777777" w:rsidTr="00AD3606">
        <w:trPr>
          <w:cantSplit/>
          <w:trHeight w:val="23"/>
        </w:trPr>
        <w:tc>
          <w:tcPr>
            <w:tcW w:w="3969" w:type="dxa"/>
            <w:vMerge w:val="restart"/>
            <w:tcMar>
              <w:left w:w="0" w:type="dxa"/>
            </w:tcMar>
          </w:tcPr>
          <w:p w14:paraId="60A806D3" w14:textId="2B14C119"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Pr>
                <w:b/>
              </w:rPr>
              <w:t xml:space="preserve">Agenda item: </w:t>
            </w:r>
            <w:r w:rsidR="00EE589E">
              <w:rPr>
                <w:b/>
              </w:rPr>
              <w:t>ADM 1</w:t>
            </w:r>
          </w:p>
        </w:tc>
        <w:tc>
          <w:tcPr>
            <w:tcW w:w="5245" w:type="dxa"/>
          </w:tcPr>
          <w:p w14:paraId="291AB2A2" w14:textId="1D366B06" w:rsidR="00AD3606" w:rsidRPr="00E85629" w:rsidRDefault="00AD3606" w:rsidP="00472BAD">
            <w:pPr>
              <w:tabs>
                <w:tab w:val="left" w:pos="851"/>
              </w:tabs>
              <w:spacing w:before="0" w:line="240" w:lineRule="atLeast"/>
              <w:jc w:val="right"/>
              <w:rPr>
                <w:b/>
              </w:rPr>
            </w:pPr>
            <w:r>
              <w:rPr>
                <w:b/>
              </w:rPr>
              <w:t>Document C2</w:t>
            </w:r>
            <w:r w:rsidR="00E23618">
              <w:rPr>
                <w:b/>
              </w:rPr>
              <w:t>4</w:t>
            </w:r>
            <w:r>
              <w:rPr>
                <w:b/>
              </w:rPr>
              <w:t>/</w:t>
            </w:r>
            <w:r w:rsidR="00EE589E">
              <w:rPr>
                <w:b/>
              </w:rPr>
              <w:t>70</w:t>
            </w:r>
            <w:r>
              <w:rPr>
                <w:b/>
              </w:rPr>
              <w:t>-E</w:t>
            </w:r>
          </w:p>
        </w:tc>
      </w:tr>
      <w:tr w:rsidR="00AD3606" w:rsidRPr="00813E5E" w14:paraId="789B45BA" w14:textId="77777777" w:rsidTr="00AD3606">
        <w:trPr>
          <w:cantSplit/>
        </w:trPr>
        <w:tc>
          <w:tcPr>
            <w:tcW w:w="3969" w:type="dxa"/>
            <w:vMerge/>
          </w:tcPr>
          <w:p w14:paraId="3F3D4E17" w14:textId="77777777" w:rsidR="00AD3606" w:rsidRPr="00813E5E"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03F82553" w:rsidR="00AD3606" w:rsidRPr="00E85629" w:rsidRDefault="00C20D04" w:rsidP="00AD3606">
            <w:pPr>
              <w:tabs>
                <w:tab w:val="left" w:pos="851"/>
              </w:tabs>
              <w:spacing w:before="0"/>
              <w:jc w:val="right"/>
              <w:rPr>
                <w:b/>
              </w:rPr>
            </w:pPr>
            <w:r>
              <w:rPr>
                <w:b/>
              </w:rPr>
              <w:t>6 May</w:t>
            </w:r>
            <w:r w:rsidR="00AD3606">
              <w:rPr>
                <w:b/>
              </w:rPr>
              <w:t xml:space="preserve"> 202</w:t>
            </w:r>
            <w:r w:rsidR="00E23618">
              <w:rPr>
                <w:b/>
              </w:rPr>
              <w:t>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77777777" w:rsidR="00AD3606" w:rsidRPr="006850BE" w:rsidRDefault="00AD3606" w:rsidP="006850BE">
            <w:pPr>
              <w:pStyle w:val="Source"/>
              <w:framePr w:hSpace="0" w:wrap="auto" w:vAnchor="margin" w:hAnchor="text" w:xAlign="left" w:yAlign="inline"/>
            </w:pPr>
            <w:bookmarkStart w:id="8" w:name="dsource" w:colFirst="0" w:colLast="0"/>
            <w:bookmarkEnd w:id="7"/>
            <w:r w:rsidRPr="006850BE">
              <w:t>Report by the Secretary-General</w:t>
            </w:r>
          </w:p>
        </w:tc>
      </w:tr>
      <w:tr w:rsidR="00AD3606" w:rsidRPr="00813E5E" w14:paraId="2340750D" w14:textId="77777777" w:rsidTr="00AD3606">
        <w:trPr>
          <w:cantSplit/>
        </w:trPr>
        <w:tc>
          <w:tcPr>
            <w:tcW w:w="9214" w:type="dxa"/>
            <w:gridSpan w:val="2"/>
            <w:tcMar>
              <w:left w:w="0" w:type="dxa"/>
            </w:tcMar>
          </w:tcPr>
          <w:p w14:paraId="47B91AA8" w14:textId="27D359B6" w:rsidR="00AD3606" w:rsidRPr="006850BE" w:rsidRDefault="00EE589E" w:rsidP="006850BE">
            <w:pPr>
              <w:pStyle w:val="Subtitle1"/>
              <w:framePr w:hSpace="0" w:wrap="auto" w:xAlign="left" w:yAlign="inline"/>
            </w:pPr>
            <w:bookmarkStart w:id="9" w:name="dtitle1" w:colFirst="0" w:colLast="0"/>
            <w:bookmarkEnd w:id="8"/>
            <w:r w:rsidRPr="00EE589E">
              <w:t>ITU RESOURCE MOBILIZATION STRATEGY</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5F543D1B" w:rsidR="00AD3606" w:rsidRPr="00F16BAB" w:rsidRDefault="00F16BAB" w:rsidP="00F16BAB">
            <w:pPr>
              <w:spacing w:before="160"/>
              <w:rPr>
                <w:b/>
                <w:bCs/>
                <w:sz w:val="26"/>
                <w:szCs w:val="26"/>
              </w:rPr>
            </w:pPr>
            <w:r w:rsidRPr="00F16BAB">
              <w:rPr>
                <w:b/>
                <w:bCs/>
                <w:sz w:val="26"/>
                <w:szCs w:val="26"/>
              </w:rPr>
              <w:t>Purpose</w:t>
            </w:r>
          </w:p>
          <w:p w14:paraId="3B2E9124" w14:textId="05FCC2D5" w:rsidR="00EE589E" w:rsidRPr="00EE589E" w:rsidRDefault="00EE589E" w:rsidP="003175AB">
            <w:pPr>
              <w:jc w:val="both"/>
            </w:pPr>
            <w:r w:rsidRPr="00EE589E">
              <w:t>The Plenipotentiary Conference (Bucharest, 2022) instructed the Secretary-General in Decision 5 (Rev. Bucharest, 2022) to develop an ITU-wide resource mobilization strategy and to present it to ITU Council for review and guidance on its implementation.</w:t>
            </w:r>
          </w:p>
          <w:p w14:paraId="0482E7F3" w14:textId="3F1052E2" w:rsidR="00EE589E" w:rsidRPr="00EE589E" w:rsidRDefault="00EE589E" w:rsidP="003175AB">
            <w:pPr>
              <w:jc w:val="both"/>
            </w:pPr>
            <w:r w:rsidRPr="00EE589E">
              <w:t xml:space="preserve">The secretariat presented </w:t>
            </w:r>
            <w:hyperlink r:id="rId11">
              <w:r w:rsidRPr="00EE589E">
                <w:rPr>
                  <w:rStyle w:val="Hyperlink"/>
                </w:rPr>
                <w:t>C23/62</w:t>
              </w:r>
              <w:r>
                <w:rPr>
                  <w:rStyle w:val="Hyperlink"/>
                </w:rPr>
                <w:t>(R</w:t>
              </w:r>
              <w:r w:rsidRPr="00EE589E">
                <w:rPr>
                  <w:rStyle w:val="Hyperlink"/>
                </w:rPr>
                <w:t>ev</w:t>
              </w:r>
              <w:r>
                <w:rPr>
                  <w:rStyle w:val="Hyperlink"/>
                </w:rPr>
                <w:t>.1)</w:t>
              </w:r>
            </w:hyperlink>
            <w:r w:rsidRPr="00EE589E">
              <w:t xml:space="preserve"> to</w:t>
            </w:r>
            <w:r w:rsidR="003175AB">
              <w:t xml:space="preserve"> the</w:t>
            </w:r>
            <w:r w:rsidRPr="00EE589E">
              <w:t xml:space="preserve"> Council at its July 2023 session, which in turn asked the C</w:t>
            </w:r>
            <w:r>
              <w:t>ouncil Working Group on Financial and Human Resources (C</w:t>
            </w:r>
            <w:r w:rsidRPr="00EE589E">
              <w:t>WG-FHR</w:t>
            </w:r>
            <w:r>
              <w:t>)</w:t>
            </w:r>
            <w:r w:rsidRPr="00EE589E">
              <w:t xml:space="preserve"> to continue working on the strategy. The secretariat prepared </w:t>
            </w:r>
            <w:hyperlink r:id="rId12">
              <w:r w:rsidRPr="00EE589E">
                <w:rPr>
                  <w:rStyle w:val="Hyperlink"/>
                </w:rPr>
                <w:t>CWG-FHR</w:t>
              </w:r>
              <w:r>
                <w:rPr>
                  <w:rStyle w:val="Hyperlink"/>
                </w:rPr>
                <w:t>-</w:t>
              </w:r>
              <w:r w:rsidRPr="00EE589E">
                <w:rPr>
                  <w:rStyle w:val="Hyperlink"/>
                </w:rPr>
                <w:t>16/11</w:t>
              </w:r>
            </w:hyperlink>
            <w:r w:rsidRPr="00EE589E">
              <w:t xml:space="preserve"> and </w:t>
            </w:r>
            <w:hyperlink r:id="rId13">
              <w:r w:rsidRPr="00EE589E">
                <w:rPr>
                  <w:rStyle w:val="Hyperlink"/>
                </w:rPr>
                <w:t>CWG-FHR</w:t>
              </w:r>
              <w:r>
                <w:rPr>
                  <w:rStyle w:val="Hyperlink"/>
                </w:rPr>
                <w:t>-</w:t>
              </w:r>
              <w:r w:rsidRPr="00EE589E">
                <w:rPr>
                  <w:rStyle w:val="Hyperlink"/>
                </w:rPr>
                <w:t>17/3</w:t>
              </w:r>
            </w:hyperlink>
            <w:r w:rsidRPr="00EE589E">
              <w:t xml:space="preserve">. A brainstorming session was held during the CWG-FHR meeting in January 2024. The outcomes are available in </w:t>
            </w:r>
            <w:hyperlink r:id="rId14">
              <w:r w:rsidRPr="00EE589E">
                <w:rPr>
                  <w:rStyle w:val="Hyperlink"/>
                </w:rPr>
                <w:t>CWG-FHR</w:t>
              </w:r>
              <w:r>
                <w:rPr>
                  <w:rStyle w:val="Hyperlink"/>
                </w:rPr>
                <w:t>-</w:t>
              </w:r>
              <w:r w:rsidRPr="00EE589E">
                <w:rPr>
                  <w:rStyle w:val="Hyperlink"/>
                </w:rPr>
                <w:t>17</w:t>
              </w:r>
              <w:r>
                <w:rPr>
                  <w:rStyle w:val="Hyperlink"/>
                </w:rPr>
                <w:t>/</w:t>
              </w:r>
              <w:r w:rsidRPr="00EE589E">
                <w:rPr>
                  <w:rStyle w:val="Hyperlink"/>
                </w:rPr>
                <w:t>INF/9</w:t>
              </w:r>
            </w:hyperlink>
            <w:r w:rsidRPr="00EE589E">
              <w:t xml:space="preserve">. Finally, a CWG-FHR correspondence group was set up in March 2024. This document reflects the inputs gathered through these various consultations. </w:t>
            </w:r>
          </w:p>
          <w:p w14:paraId="2E09FE8B" w14:textId="55C0F71A" w:rsidR="00AD3606" w:rsidRPr="00813E5E" w:rsidRDefault="00EE589E" w:rsidP="003175AB">
            <w:pPr>
              <w:jc w:val="both"/>
            </w:pPr>
            <w:r w:rsidRPr="00EE589E">
              <w:t xml:space="preserve">At this stage, </w:t>
            </w:r>
            <w:r w:rsidR="06E33860">
              <w:t>th</w:t>
            </w:r>
            <w:r w:rsidR="5D4A6F54">
              <w:t>e</w:t>
            </w:r>
            <w:r w:rsidRPr="00EE589E">
              <w:t xml:space="preserve"> strategy is directional in nature. It outlines areas for further exploration and improvement as part of ITU’s transformation plan. As the strategy evolves, specific objectives and KPIs will be added to monitor implementation and measure impact.</w:t>
            </w:r>
          </w:p>
          <w:p w14:paraId="5076D5C4" w14:textId="77777777" w:rsidR="00AD3606" w:rsidRPr="00F16BAB" w:rsidRDefault="00AD3606" w:rsidP="003175AB">
            <w:pPr>
              <w:spacing w:before="160"/>
              <w:jc w:val="both"/>
              <w:rPr>
                <w:b/>
                <w:bCs/>
                <w:sz w:val="26"/>
                <w:szCs w:val="26"/>
              </w:rPr>
            </w:pPr>
            <w:r w:rsidRPr="00F16BAB">
              <w:rPr>
                <w:b/>
                <w:bCs/>
                <w:sz w:val="26"/>
                <w:szCs w:val="26"/>
              </w:rPr>
              <w:t>Action required</w:t>
            </w:r>
            <w:r w:rsidR="00F16BAB" w:rsidRPr="00F16BAB">
              <w:rPr>
                <w:b/>
                <w:bCs/>
                <w:sz w:val="26"/>
                <w:szCs w:val="26"/>
              </w:rPr>
              <w:t xml:space="preserve"> by the </w:t>
            </w:r>
            <w:proofErr w:type="gramStart"/>
            <w:r w:rsidR="00F16BAB" w:rsidRPr="00F16BAB">
              <w:rPr>
                <w:b/>
                <w:bCs/>
                <w:sz w:val="26"/>
                <w:szCs w:val="26"/>
              </w:rPr>
              <w:t>Council</w:t>
            </w:r>
            <w:proofErr w:type="gramEnd"/>
          </w:p>
          <w:p w14:paraId="79F38DAD" w14:textId="14DBB3D0" w:rsidR="00AD3606" w:rsidRPr="00484009" w:rsidRDefault="00EE589E" w:rsidP="003175AB">
            <w:pPr>
              <w:jc w:val="both"/>
            </w:pPr>
            <w:r w:rsidRPr="00EE589E">
              <w:t xml:space="preserve">The Council is invited </w:t>
            </w:r>
            <w:r w:rsidRPr="00EE589E">
              <w:rPr>
                <w:b/>
                <w:bCs/>
              </w:rPr>
              <w:t>to note</w:t>
            </w:r>
            <w:r w:rsidRPr="00EE589E">
              <w:t xml:space="preserve"> this document.</w:t>
            </w:r>
          </w:p>
          <w:p w14:paraId="0F8F1F03" w14:textId="14FB49A9" w:rsidR="00F16BAB" w:rsidRDefault="00F16BAB" w:rsidP="00F16BAB">
            <w:pPr>
              <w:spacing w:before="160"/>
              <w:rPr>
                <w:b/>
                <w:bCs/>
                <w:sz w:val="26"/>
                <w:szCs w:val="26"/>
              </w:rPr>
            </w:pPr>
            <w:r>
              <w:rPr>
                <w:b/>
                <w:bCs/>
                <w:sz w:val="26"/>
                <w:szCs w:val="26"/>
              </w:rPr>
              <w:t>Relevant link</w:t>
            </w:r>
            <w:r w:rsidR="00C81318">
              <w:rPr>
                <w:b/>
                <w:bCs/>
                <w:sz w:val="26"/>
                <w:szCs w:val="26"/>
              </w:rPr>
              <w:t>(s)</w:t>
            </w:r>
            <w:r>
              <w:rPr>
                <w:b/>
                <w:bCs/>
                <w:sz w:val="26"/>
                <w:szCs w:val="26"/>
              </w:rPr>
              <w:t xml:space="preserve"> with the Strategic Plan</w:t>
            </w:r>
          </w:p>
          <w:p w14:paraId="00A55EA1" w14:textId="569EFFA7" w:rsidR="00F16BAB" w:rsidRPr="00F16BAB" w:rsidRDefault="00EE589E" w:rsidP="00F16BAB">
            <w:r w:rsidRPr="00EE589E">
              <w:t>Resource mobilization.</w:t>
            </w:r>
          </w:p>
          <w:p w14:paraId="632C043A" w14:textId="14112DC4" w:rsidR="00F16BAB" w:rsidRDefault="00F16BAB" w:rsidP="00F16BAB">
            <w:pPr>
              <w:spacing w:before="160"/>
              <w:rPr>
                <w:b/>
                <w:bCs/>
                <w:sz w:val="26"/>
                <w:szCs w:val="26"/>
              </w:rPr>
            </w:pPr>
            <w:r>
              <w:rPr>
                <w:b/>
                <w:bCs/>
                <w:sz w:val="26"/>
                <w:szCs w:val="26"/>
              </w:rPr>
              <w:t>Financial implications</w:t>
            </w:r>
          </w:p>
          <w:p w14:paraId="3E96986E" w14:textId="64B6F458" w:rsidR="00C81318" w:rsidRPr="00C81318" w:rsidRDefault="00EE589E" w:rsidP="00F16BAB">
            <w:pPr>
              <w:spacing w:before="160"/>
              <w:rPr>
                <w:szCs w:val="24"/>
              </w:rPr>
            </w:pPr>
            <w:r w:rsidRPr="00EE589E">
              <w:rPr>
                <w:szCs w:val="24"/>
              </w:rPr>
              <w:t>Potential to increase regular budget and extra-budgetary funding.</w:t>
            </w:r>
          </w:p>
          <w:p w14:paraId="2AAB18B0" w14:textId="77777777" w:rsidR="00AD3606" w:rsidRPr="00813E5E" w:rsidRDefault="00AD3606" w:rsidP="00F16BAB">
            <w:pPr>
              <w:spacing w:before="160"/>
              <w:rPr>
                <w:caps/>
                <w:sz w:val="22"/>
              </w:rPr>
            </w:pPr>
            <w:r w:rsidRPr="00813E5E">
              <w:rPr>
                <w:sz w:val="22"/>
              </w:rPr>
              <w:t>____________</w:t>
            </w:r>
            <w:r>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0175CD6C" w14:textId="2C11BF7B" w:rsidR="00AD3606" w:rsidRPr="00EE589E" w:rsidRDefault="00904259" w:rsidP="00F16BAB">
            <w:pPr>
              <w:spacing w:after="160"/>
              <w:rPr>
                <w:sz w:val="22"/>
                <w:szCs w:val="22"/>
              </w:rPr>
            </w:pPr>
            <w:hyperlink r:id="rId15">
              <w:r w:rsidR="06E33860" w:rsidRPr="3A5DF2BD">
                <w:rPr>
                  <w:rStyle w:val="Hyperlink"/>
                  <w:i/>
                  <w:iCs/>
                  <w:sz w:val="22"/>
                  <w:szCs w:val="22"/>
                </w:rPr>
                <w:t>Decision 5</w:t>
              </w:r>
            </w:hyperlink>
            <w:r w:rsidR="06E33860" w:rsidRPr="3A5DF2BD">
              <w:rPr>
                <w:i/>
                <w:iCs/>
                <w:sz w:val="22"/>
                <w:szCs w:val="22"/>
              </w:rPr>
              <w:t xml:space="preserve"> (Rev. Bucharest, 2022) of the Plenipotentiary Conference; Council documents </w:t>
            </w:r>
            <w:hyperlink r:id="rId16">
              <w:r w:rsidR="06E33860" w:rsidRPr="3A5DF2BD">
                <w:rPr>
                  <w:rStyle w:val="Hyperlink"/>
                  <w:i/>
                  <w:iCs/>
                  <w:sz w:val="22"/>
                  <w:szCs w:val="22"/>
                </w:rPr>
                <w:t>C17/67</w:t>
              </w:r>
            </w:hyperlink>
            <w:r w:rsidR="06E33860" w:rsidRPr="3A5DF2BD">
              <w:rPr>
                <w:i/>
                <w:iCs/>
                <w:sz w:val="22"/>
                <w:szCs w:val="22"/>
              </w:rPr>
              <w:t xml:space="preserve">, and </w:t>
            </w:r>
            <w:hyperlink r:id="rId17">
              <w:r w:rsidR="06E33860" w:rsidRPr="3A5DF2BD">
                <w:rPr>
                  <w:rStyle w:val="Hyperlink"/>
                  <w:i/>
                  <w:iCs/>
                  <w:sz w:val="22"/>
                  <w:szCs w:val="22"/>
                </w:rPr>
                <w:t>C23/INF/12</w:t>
              </w:r>
            </w:hyperlink>
            <w:r w:rsidR="06E33860" w:rsidRPr="3A5DF2BD">
              <w:rPr>
                <w:i/>
                <w:iCs/>
                <w:sz w:val="22"/>
                <w:szCs w:val="22"/>
              </w:rPr>
              <w:t xml:space="preserve">; </w:t>
            </w:r>
            <w:hyperlink r:id="rId18">
              <w:r w:rsidR="06E33860" w:rsidRPr="3A5DF2BD">
                <w:rPr>
                  <w:rStyle w:val="Hyperlink"/>
                  <w:i/>
                  <w:iCs/>
                  <w:sz w:val="22"/>
                  <w:szCs w:val="22"/>
                </w:rPr>
                <w:t>Kigali Action Plan</w:t>
              </w:r>
            </w:hyperlink>
            <w:r w:rsidR="06E33860" w:rsidRPr="3A5DF2BD">
              <w:rPr>
                <w:i/>
                <w:iCs/>
                <w:sz w:val="22"/>
                <w:szCs w:val="22"/>
              </w:rPr>
              <w:t xml:space="preserve">,  </w:t>
            </w:r>
            <w:hyperlink r:id="rId19">
              <w:r w:rsidR="06E33860" w:rsidRPr="3A5DF2BD">
                <w:rPr>
                  <w:rStyle w:val="Hyperlink"/>
                  <w:i/>
                  <w:iCs/>
                  <w:sz w:val="22"/>
                  <w:szCs w:val="22"/>
                </w:rPr>
                <w:t>C23/62rev1</w:t>
              </w:r>
            </w:hyperlink>
            <w:r w:rsidR="06E33860" w:rsidRPr="3A5DF2BD">
              <w:rPr>
                <w:i/>
                <w:iCs/>
                <w:sz w:val="22"/>
                <w:szCs w:val="22"/>
              </w:rPr>
              <w:t xml:space="preserve">, </w:t>
            </w:r>
            <w:hyperlink r:id="rId20">
              <w:r w:rsidR="06E33860" w:rsidRPr="3A5DF2BD">
                <w:rPr>
                  <w:rStyle w:val="Hyperlink"/>
                  <w:i/>
                  <w:iCs/>
                  <w:sz w:val="22"/>
                  <w:szCs w:val="22"/>
                </w:rPr>
                <w:t>CWG-FHR 16/11</w:t>
              </w:r>
            </w:hyperlink>
            <w:r w:rsidR="06E33860" w:rsidRPr="3A5DF2BD">
              <w:rPr>
                <w:i/>
                <w:iCs/>
                <w:sz w:val="22"/>
                <w:szCs w:val="22"/>
              </w:rPr>
              <w:t xml:space="preserve">, </w:t>
            </w:r>
            <w:hyperlink r:id="rId21">
              <w:r w:rsidR="06E33860" w:rsidRPr="3A5DF2BD">
                <w:rPr>
                  <w:rStyle w:val="Hyperlink"/>
                  <w:i/>
                  <w:iCs/>
                  <w:sz w:val="22"/>
                  <w:szCs w:val="22"/>
                </w:rPr>
                <w:t>CWG-FHR 17/3</w:t>
              </w:r>
              <w:r w:rsidR="530082FE" w:rsidRPr="3A5DF2BD">
                <w:rPr>
                  <w:rStyle w:val="Hyperlink"/>
                  <w:i/>
                  <w:iCs/>
                  <w:sz w:val="22"/>
                  <w:szCs w:val="22"/>
                </w:rPr>
                <w:t>,</w:t>
              </w:r>
            </w:hyperlink>
            <w:r w:rsidR="530082FE" w:rsidRPr="3A5DF2BD">
              <w:rPr>
                <w:i/>
                <w:iCs/>
                <w:sz w:val="22"/>
                <w:szCs w:val="22"/>
              </w:rPr>
              <w:t xml:space="preserve"> </w:t>
            </w:r>
            <w:hyperlink r:id="rId22">
              <w:r w:rsidR="530082FE" w:rsidRPr="3A5DF2BD">
                <w:rPr>
                  <w:rStyle w:val="Hyperlink"/>
                  <w:i/>
                  <w:iCs/>
                  <w:sz w:val="22"/>
                  <w:szCs w:val="22"/>
                </w:rPr>
                <w:t>CWG-FHR-17/INF/9</w:t>
              </w:r>
            </w:hyperlink>
            <w:r w:rsidR="06E33860" w:rsidRPr="3A5DF2BD">
              <w:rPr>
                <w:i/>
                <w:iCs/>
                <w:sz w:val="22"/>
                <w:szCs w:val="22"/>
              </w:rPr>
              <w:t>.</w:t>
            </w:r>
          </w:p>
        </w:tc>
      </w:tr>
    </w:tbl>
    <w:p w14:paraId="4CDB8B60" w14:textId="2A4D9B15" w:rsidR="00E227F3" w:rsidRPr="003175AB"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3175AB"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3175AB">
        <w:br w:type="page"/>
      </w:r>
    </w:p>
    <w:bookmarkEnd w:id="5"/>
    <w:bookmarkEnd w:id="10"/>
    <w:p w14:paraId="55661BF8" w14:textId="71B6F009" w:rsidR="00EE589E" w:rsidRPr="00EE58F2" w:rsidRDefault="00EE589E" w:rsidP="4A92F946">
      <w:pPr>
        <w:tabs>
          <w:tab w:val="clear" w:pos="567"/>
          <w:tab w:val="clear" w:pos="1134"/>
          <w:tab w:val="clear" w:pos="1701"/>
          <w:tab w:val="clear" w:pos="2268"/>
          <w:tab w:val="clear" w:pos="2835"/>
        </w:tabs>
        <w:overflowPunct/>
        <w:autoSpaceDE/>
        <w:autoSpaceDN/>
        <w:adjustRightInd/>
        <w:spacing w:before="0"/>
        <w:textAlignment w:val="auto"/>
        <w:rPr>
          <w:b/>
          <w:bCs/>
          <w:sz w:val="26"/>
          <w:szCs w:val="26"/>
        </w:rPr>
      </w:pPr>
      <w:r w:rsidRPr="4A92F946">
        <w:rPr>
          <w:b/>
          <w:bCs/>
          <w:sz w:val="26"/>
          <w:szCs w:val="26"/>
        </w:rPr>
        <w:lastRenderedPageBreak/>
        <w:t>1.</w:t>
      </w:r>
      <w:r>
        <w:tab/>
      </w:r>
      <w:r w:rsidRPr="4A92F946">
        <w:rPr>
          <w:b/>
          <w:bCs/>
          <w:sz w:val="26"/>
          <w:szCs w:val="26"/>
        </w:rPr>
        <w:t>Background</w:t>
      </w:r>
    </w:p>
    <w:p w14:paraId="494BCCF0" w14:textId="122371A6" w:rsidR="00EE589E" w:rsidRPr="00EE58F2" w:rsidRDefault="00EE589E" w:rsidP="00307F31">
      <w:pPr>
        <w:tabs>
          <w:tab w:val="clear" w:pos="567"/>
          <w:tab w:val="clear" w:pos="1134"/>
          <w:tab w:val="clear" w:pos="1701"/>
          <w:tab w:val="clear" w:pos="2268"/>
          <w:tab w:val="clear" w:pos="2835"/>
        </w:tabs>
        <w:overflowPunct/>
        <w:autoSpaceDE/>
        <w:autoSpaceDN/>
        <w:adjustRightInd/>
        <w:spacing w:after="120"/>
        <w:jc w:val="both"/>
        <w:textAlignment w:val="auto"/>
      </w:pPr>
      <w:r w:rsidRPr="009B5B86">
        <w:rPr>
          <w:b/>
          <w:bCs/>
        </w:rPr>
        <w:t>1.1</w:t>
      </w:r>
      <w:r>
        <w:tab/>
        <w:t>The Plenipotentiary Conference (Bucharest, 2022) (PP-22) instructed the Secretary-General in Decision 5 (Rev. Bucharest, 2022) to develop an ITU-wide resource mobilization strategy to address the need for additional funding to meet organizational priorities and present it to ITU Council for review and guidance on its implementation.</w:t>
      </w:r>
    </w:p>
    <w:p w14:paraId="7C01F6D7" w14:textId="430C2885" w:rsidR="00EE589E" w:rsidRDefault="00EE589E" w:rsidP="00307F31">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009B5B86">
        <w:rPr>
          <w:b/>
          <w:bCs/>
          <w:lang w:val="en-US"/>
        </w:rPr>
        <w:t>1.2</w:t>
      </w:r>
      <w:r>
        <w:tab/>
      </w:r>
      <w:r w:rsidRPr="4A92F946">
        <w:rPr>
          <w:lang w:val="en-US"/>
        </w:rPr>
        <w:t xml:space="preserve">In addition, the ITU strategic plan for 2024-2027, as approved by PP-22, notes: </w:t>
      </w:r>
    </w:p>
    <w:p w14:paraId="72678645" w14:textId="77777777" w:rsidR="00EE589E" w:rsidRPr="00EE58F2" w:rsidRDefault="00EE589E" w:rsidP="00307F31">
      <w:pPr>
        <w:tabs>
          <w:tab w:val="clear" w:pos="567"/>
          <w:tab w:val="clear" w:pos="1134"/>
          <w:tab w:val="clear" w:pos="1701"/>
          <w:tab w:val="clear" w:pos="2268"/>
          <w:tab w:val="clear" w:pos="2835"/>
        </w:tabs>
        <w:overflowPunct/>
        <w:autoSpaceDE/>
        <w:autoSpaceDN/>
        <w:adjustRightInd/>
        <w:spacing w:after="120"/>
        <w:ind w:left="270"/>
        <w:jc w:val="both"/>
        <w:textAlignment w:val="auto"/>
      </w:pPr>
      <w:r>
        <w:t>A</w:t>
      </w:r>
      <w:r w:rsidRPr="001648B1">
        <w:t>ccelerated resource</w:t>
      </w:r>
      <w:r>
        <w:t xml:space="preserve"> </w:t>
      </w:r>
      <w:r w:rsidRPr="001648B1">
        <w:t>mobilization efforts and increased financing are critical to achieving the goals of the Union and enhancing ITU support for the membership. ITU, therefore, recognizes the need to identify the most effective ways to mobilize extrabudgetary resources, build its resource</w:t>
      </w:r>
      <w:r>
        <w:t xml:space="preserve"> </w:t>
      </w:r>
      <w:r w:rsidRPr="001648B1">
        <w:t xml:space="preserve">mobilization capacity and enhance its current fundraising strategy while leveraging partner inputs to complement these efforts. ITU will develop long-term financial commitment frameworks </w:t>
      </w:r>
      <w:proofErr w:type="gramStart"/>
      <w:r w:rsidRPr="001648B1">
        <w:t>in order to</w:t>
      </w:r>
      <w:proofErr w:type="gramEnd"/>
      <w:r w:rsidRPr="001648B1">
        <w:t xml:space="preserve"> effectively plan, programme and deliver on projects and enhance predictability of resource flows</w:t>
      </w:r>
      <w:r w:rsidRPr="00EE58F2">
        <w:rPr>
          <w:i/>
          <w:iCs/>
        </w:rPr>
        <w:t>.</w:t>
      </w:r>
    </w:p>
    <w:p w14:paraId="08970220" w14:textId="74CBA1D4" w:rsidR="00EE589E" w:rsidRDefault="00EE589E" w:rsidP="7C25AC88">
      <w:pPr>
        <w:tabs>
          <w:tab w:val="clear" w:pos="567"/>
          <w:tab w:val="clear" w:pos="1134"/>
          <w:tab w:val="clear" w:pos="1701"/>
          <w:tab w:val="clear" w:pos="2268"/>
          <w:tab w:val="clear" w:pos="2835"/>
        </w:tabs>
        <w:overflowPunct/>
        <w:autoSpaceDE/>
        <w:autoSpaceDN/>
        <w:adjustRightInd/>
        <w:spacing w:after="120"/>
        <w:jc w:val="both"/>
        <w:textAlignment w:val="auto"/>
        <w:rPr>
          <w:i/>
          <w:iCs/>
        </w:rPr>
      </w:pPr>
      <w:r w:rsidRPr="009B5B86">
        <w:rPr>
          <w:b/>
          <w:bCs/>
        </w:rPr>
        <w:t>1.3</w:t>
      </w:r>
      <w:r>
        <w:tab/>
        <w:t xml:space="preserve">At its 2017 session, the Council agreed to principles for resource mobilization, available </w:t>
      </w:r>
      <w:hyperlink r:id="rId23" w:anchor=":~:text=Defining%20the%20scope%3A%20%E2%80%9CResource%20Mobilization,revenues%20and%20extra%2Dbudgetary%20contributions.">
        <w:r w:rsidRPr="7C25AC88">
          <w:rPr>
            <w:rStyle w:val="Hyperlink"/>
          </w:rPr>
          <w:t>here</w:t>
        </w:r>
      </w:hyperlink>
      <w:r>
        <w:t xml:space="preserve">. In these principles, the Council agreed: </w:t>
      </w:r>
    </w:p>
    <w:p w14:paraId="24393F3F" w14:textId="77777777" w:rsidR="00EE589E" w:rsidRPr="00AC3C53" w:rsidRDefault="00EE589E" w:rsidP="00307F31">
      <w:pPr>
        <w:tabs>
          <w:tab w:val="clear" w:pos="567"/>
          <w:tab w:val="clear" w:pos="1134"/>
          <w:tab w:val="clear" w:pos="1701"/>
          <w:tab w:val="clear" w:pos="2268"/>
          <w:tab w:val="clear" w:pos="2835"/>
        </w:tabs>
        <w:overflowPunct/>
        <w:autoSpaceDE/>
        <w:autoSpaceDN/>
        <w:adjustRightInd/>
        <w:spacing w:after="120"/>
        <w:ind w:left="270"/>
        <w:jc w:val="both"/>
        <w:textAlignment w:val="auto"/>
      </w:pPr>
      <w:r w:rsidRPr="001648B1">
        <w:t>As ITU’s primary source of revenues, the top priority for Resource Mobilization is assessed contributions from ITU’s Member States. These contributions are provided to support an agreed Strategic Plan and its implementation through Operational Plans, using the ITU Regular Budget. Therefore, Member States are encouraged to prioritize their assessed contributions as their main financial support to ITU, either by maintaining or when possible, increasing these contributions before considering providing resources for activities outside of the ITU Regular Budget.</w:t>
      </w:r>
    </w:p>
    <w:p w14:paraId="433C2183" w14:textId="77777777" w:rsidR="00EE589E" w:rsidRPr="00EE58F2" w:rsidRDefault="00EE589E" w:rsidP="00307F31">
      <w:pPr>
        <w:tabs>
          <w:tab w:val="clear" w:pos="567"/>
          <w:tab w:val="clear" w:pos="1134"/>
          <w:tab w:val="clear" w:pos="1701"/>
          <w:tab w:val="clear" w:pos="2268"/>
          <w:tab w:val="clear" w:pos="2835"/>
        </w:tabs>
        <w:overflowPunct/>
        <w:autoSpaceDE/>
        <w:autoSpaceDN/>
        <w:adjustRightInd/>
        <w:spacing w:after="120"/>
        <w:jc w:val="both"/>
        <w:textAlignment w:val="auto"/>
      </w:pPr>
      <w:r w:rsidRPr="00EE58F2">
        <w:t>I</w:t>
      </w:r>
      <w:r>
        <w:t>t also agreed that</w:t>
      </w:r>
      <w:r w:rsidRPr="00EE58F2">
        <w:t xml:space="preserve"> the secretariat will encourage members and other stakeholders</w:t>
      </w:r>
      <w:r>
        <w:t>,</w:t>
      </w:r>
      <w:r w:rsidRPr="00EE58F2">
        <w:t xml:space="preserve"> to the extent possible, to provide support for extra-budgetary, voluntary contributions </w:t>
      </w:r>
      <w:r w:rsidRPr="00EE58F2">
        <w:rPr>
          <w:lang w:val="en-US"/>
        </w:rPr>
        <w:t xml:space="preserve">to meet </w:t>
      </w:r>
      <w:r w:rsidRPr="00EE58F2">
        <w:rPr>
          <w:lang w:val="en-US"/>
        </w:rPr>
        <w:t>organizational priorities.</w:t>
      </w:r>
    </w:p>
    <w:p w14:paraId="74DE7F52" w14:textId="15911C5C" w:rsidR="00EE589E" w:rsidRPr="00EE58F2" w:rsidRDefault="00EE589E" w:rsidP="00307F31">
      <w:pPr>
        <w:tabs>
          <w:tab w:val="clear" w:pos="567"/>
          <w:tab w:val="clear" w:pos="1134"/>
          <w:tab w:val="clear" w:pos="1701"/>
          <w:tab w:val="clear" w:pos="2268"/>
          <w:tab w:val="clear" w:pos="2835"/>
        </w:tabs>
        <w:overflowPunct/>
        <w:autoSpaceDE/>
        <w:autoSpaceDN/>
        <w:adjustRightInd/>
        <w:spacing w:after="120"/>
        <w:jc w:val="both"/>
        <w:textAlignment w:val="auto"/>
      </w:pPr>
      <w:r w:rsidRPr="06E40E5D">
        <w:rPr>
          <w:b/>
          <w:bCs/>
        </w:rPr>
        <w:t>1.4</w:t>
      </w:r>
      <w:r>
        <w:tab/>
        <w:t xml:space="preserve">As a follow-up to Decision 5 (Rev. Bucharest, 2022), the secretariat </w:t>
      </w:r>
      <w:r w:rsidR="009E78CC">
        <w:t xml:space="preserve">discussed </w:t>
      </w:r>
      <w:r>
        <w:t xml:space="preserve">this </w:t>
      </w:r>
      <w:r w:rsidR="37F40ED8">
        <w:t>matter</w:t>
      </w:r>
      <w:r>
        <w:t xml:space="preserve"> during the internal ITU Visioning Exercise from November 2022 to February 2023 and the ITU Senior Management Retreat in February 2023. Following these discussions, the secretariat engaged Boston Consulting Group (BCG) on a pro-bono basis to support ITU in the development of an ITU-wide funding and resource mobilization strategy.</w:t>
      </w:r>
    </w:p>
    <w:p w14:paraId="16C759BD" w14:textId="7AF9A8E5" w:rsidR="00EE589E" w:rsidRDefault="00EE589E" w:rsidP="00307F31">
      <w:pPr>
        <w:tabs>
          <w:tab w:val="clear" w:pos="567"/>
          <w:tab w:val="clear" w:pos="1134"/>
          <w:tab w:val="clear" w:pos="1701"/>
          <w:tab w:val="clear" w:pos="2268"/>
          <w:tab w:val="clear" w:pos="2835"/>
        </w:tabs>
        <w:spacing w:after="120"/>
        <w:jc w:val="both"/>
      </w:pPr>
      <w:r w:rsidRPr="06E40E5D">
        <w:rPr>
          <w:b/>
          <w:bCs/>
        </w:rPr>
        <w:t>1.5</w:t>
      </w:r>
      <w:r>
        <w:tab/>
        <w:t xml:space="preserve">As requested by </w:t>
      </w:r>
      <w:r w:rsidR="13ABE21E">
        <w:t xml:space="preserve">the </w:t>
      </w:r>
      <w:r>
        <w:t>Council at its 2023 session, the CWG-FHR also considered further elaboration of the strategy at its fall 2023 and January 2024 sessions, building upon inputs from the above-noted secretariat exercises. CWG</w:t>
      </w:r>
      <w:r w:rsidR="00DC2545">
        <w:t>-</w:t>
      </w:r>
      <w:r>
        <w:t xml:space="preserve">FHR reviewed background information and options put forward by the secretariat and contributions from Member States. To help further engage Member States in the development of the strategy, an informal brainstorming session was held during the CWG-FHR meeting in January 2024. The outcomes of this session are available in </w:t>
      </w:r>
      <w:hyperlink r:id="rId24">
        <w:r w:rsidRPr="06E40E5D">
          <w:rPr>
            <w:rStyle w:val="Hyperlink"/>
          </w:rPr>
          <w:t>CWG-FHR</w:t>
        </w:r>
        <w:r w:rsidR="00DC2545" w:rsidRPr="06E40E5D">
          <w:rPr>
            <w:rStyle w:val="Hyperlink"/>
          </w:rPr>
          <w:t>-</w:t>
        </w:r>
        <w:r w:rsidRPr="06E40E5D">
          <w:rPr>
            <w:rStyle w:val="Hyperlink"/>
          </w:rPr>
          <w:t>17</w:t>
        </w:r>
        <w:r w:rsidR="00DC2545" w:rsidRPr="06E40E5D">
          <w:rPr>
            <w:rStyle w:val="Hyperlink"/>
          </w:rPr>
          <w:t>/</w:t>
        </w:r>
        <w:r w:rsidRPr="06E40E5D">
          <w:rPr>
            <w:rStyle w:val="Hyperlink"/>
          </w:rPr>
          <w:t>INF/9</w:t>
        </w:r>
      </w:hyperlink>
      <w:r>
        <w:t>. To continue this discussion, a correspondence group on ITU’s resource mobilization strategy was set up in March 2024.</w:t>
      </w:r>
    </w:p>
    <w:p w14:paraId="78CA5F54" w14:textId="2BC4639F" w:rsidR="00EE589E" w:rsidRDefault="00EE589E" w:rsidP="00307F31">
      <w:pPr>
        <w:tabs>
          <w:tab w:val="clear" w:pos="567"/>
          <w:tab w:val="clear" w:pos="1134"/>
          <w:tab w:val="clear" w:pos="1701"/>
          <w:tab w:val="clear" w:pos="2268"/>
          <w:tab w:val="clear" w:pos="2835"/>
        </w:tabs>
        <w:spacing w:after="120"/>
        <w:jc w:val="both"/>
      </w:pPr>
      <w:r w:rsidRPr="009B5B86">
        <w:rPr>
          <w:b/>
          <w:bCs/>
        </w:rPr>
        <w:t>1.6</w:t>
      </w:r>
      <w:r w:rsidR="44C1DFAF" w:rsidRPr="3A5DF2BD">
        <w:rPr>
          <w:b/>
          <w:bCs/>
        </w:rPr>
        <w:t xml:space="preserve"> </w:t>
      </w:r>
      <w:r>
        <w:tab/>
        <w:t xml:space="preserve">At this stage, </w:t>
      </w:r>
      <w:r w:rsidR="06E33860">
        <w:t>th</w:t>
      </w:r>
      <w:r w:rsidR="6C7402B1">
        <w:t>e</w:t>
      </w:r>
      <w:r>
        <w:t xml:space="preserve"> strategy is largely directional in nature. It outlines areas for further exploration and experimentation, areas to be improved and capacities to be developed as part of ITU’s transformation plan. As the strategy evolves, additional details </w:t>
      </w:r>
      <w:r>
        <w:t xml:space="preserve">will be added, including specific objectives and KPIs to monitor implementation and measure impact. </w:t>
      </w:r>
    </w:p>
    <w:p w14:paraId="06B81826" w14:textId="42B8D8E7" w:rsidR="00EE589E" w:rsidRPr="00EE58F2" w:rsidRDefault="00EE589E" w:rsidP="00DC2545">
      <w:pPr>
        <w:keepNext/>
        <w:keepLines/>
        <w:tabs>
          <w:tab w:val="clear" w:pos="567"/>
          <w:tab w:val="clear" w:pos="1134"/>
          <w:tab w:val="clear" w:pos="1701"/>
          <w:tab w:val="clear" w:pos="2268"/>
          <w:tab w:val="clear" w:pos="2835"/>
        </w:tabs>
        <w:overflowPunct/>
        <w:autoSpaceDE/>
        <w:autoSpaceDN/>
        <w:adjustRightInd/>
        <w:spacing w:before="160" w:after="120"/>
        <w:jc w:val="both"/>
        <w:textAlignment w:val="auto"/>
        <w:rPr>
          <w:b/>
          <w:bCs/>
          <w:sz w:val="26"/>
          <w:szCs w:val="26"/>
        </w:rPr>
      </w:pPr>
      <w:r w:rsidRPr="7C25AC88">
        <w:rPr>
          <w:b/>
          <w:bCs/>
          <w:sz w:val="26"/>
          <w:szCs w:val="26"/>
          <w:lang w:val="en-US"/>
        </w:rPr>
        <w:lastRenderedPageBreak/>
        <w:t>2.</w:t>
      </w:r>
      <w:r>
        <w:tab/>
      </w:r>
      <w:r w:rsidRPr="7C25AC88">
        <w:rPr>
          <w:b/>
          <w:bCs/>
          <w:sz w:val="26"/>
          <w:szCs w:val="26"/>
          <w:lang w:val="en-US"/>
        </w:rPr>
        <w:t>Key findings from Research and Consultations</w:t>
      </w:r>
    </w:p>
    <w:p w14:paraId="5F831C61" w14:textId="5A9D22BC" w:rsidR="00EE589E" w:rsidRPr="00EE58F2" w:rsidRDefault="00EE589E" w:rsidP="006110D5">
      <w:pPr>
        <w:keepNext/>
        <w:keepLines/>
        <w:tabs>
          <w:tab w:val="clear" w:pos="567"/>
          <w:tab w:val="clear" w:pos="1134"/>
          <w:tab w:val="clear" w:pos="1701"/>
          <w:tab w:val="clear" w:pos="2268"/>
          <w:tab w:val="clear" w:pos="2835"/>
        </w:tabs>
        <w:overflowPunct/>
        <w:autoSpaceDE/>
        <w:autoSpaceDN/>
        <w:adjustRightInd/>
        <w:spacing w:before="240" w:after="120"/>
        <w:jc w:val="both"/>
        <w:textAlignment w:val="auto"/>
      </w:pPr>
      <w:r w:rsidRPr="4A92F946">
        <w:rPr>
          <w:b/>
          <w:bCs/>
          <w:lang w:val="en-US"/>
        </w:rPr>
        <w:t>2.1</w:t>
      </w:r>
      <w:r w:rsidR="61161BFF" w:rsidRPr="3A5DF2BD">
        <w:rPr>
          <w:b/>
          <w:bCs/>
          <w:lang w:val="en-US"/>
        </w:rPr>
        <w:t xml:space="preserve"> </w:t>
      </w:r>
      <w:r>
        <w:tab/>
      </w:r>
      <w:r w:rsidRPr="4A92F946">
        <w:rPr>
          <w:b/>
          <w:bCs/>
          <w:lang w:val="en-US"/>
        </w:rPr>
        <w:t>ITU funding analysis: current situation and trends</w:t>
      </w:r>
    </w:p>
    <w:p w14:paraId="43E4A661" w14:textId="77777777" w:rsidR="00EE589E" w:rsidRPr="00EE58F2" w:rsidRDefault="00EE589E" w:rsidP="00EE589E">
      <w:pPr>
        <w:tabs>
          <w:tab w:val="clear" w:pos="567"/>
          <w:tab w:val="clear" w:pos="1134"/>
          <w:tab w:val="clear" w:pos="1701"/>
          <w:tab w:val="clear" w:pos="2268"/>
          <w:tab w:val="clear" w:pos="2835"/>
        </w:tabs>
        <w:overflowPunct/>
        <w:autoSpaceDE/>
        <w:autoSpaceDN/>
        <w:adjustRightInd/>
        <w:spacing w:after="120"/>
        <w:ind w:left="284"/>
        <w:jc w:val="both"/>
        <w:textAlignment w:val="auto"/>
        <w:rPr>
          <w:lang w:val="en-US"/>
        </w:rPr>
      </w:pPr>
      <w:r w:rsidRPr="0FCCD35B">
        <w:rPr>
          <w:b/>
          <w:bCs/>
          <w:lang w:val="en-US"/>
        </w:rPr>
        <w:t>a.</w:t>
      </w:r>
      <w:r>
        <w:tab/>
      </w:r>
      <w:r w:rsidRPr="0FCCD35B">
        <w:rPr>
          <w:b/>
          <w:bCs/>
          <w:lang w:val="en-US"/>
        </w:rPr>
        <w:t>Regular budget revenues</w:t>
      </w:r>
    </w:p>
    <w:p w14:paraId="35CFBBB8" w14:textId="2A12C061" w:rsidR="00EE589E" w:rsidRPr="00EE58F2" w:rsidRDefault="00EE589E" w:rsidP="06E40E5D">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06E40E5D">
        <w:rPr>
          <w:lang w:val="en-US"/>
        </w:rPr>
        <w:t xml:space="preserve">Revenues from Member State units have been stable </w:t>
      </w:r>
      <w:r w:rsidR="0CF79E75" w:rsidRPr="06E40E5D">
        <w:rPr>
          <w:lang w:val="en-US"/>
        </w:rPr>
        <w:t>in recent</w:t>
      </w:r>
      <w:r w:rsidR="06E33860" w:rsidRPr="06E40E5D">
        <w:rPr>
          <w:lang w:val="en-US"/>
        </w:rPr>
        <w:t xml:space="preserve"> years.</w:t>
      </w:r>
      <w:r w:rsidRPr="06E40E5D">
        <w:rPr>
          <w:lang w:val="en-US"/>
        </w:rPr>
        <w:t xml:space="preserve"> </w:t>
      </w:r>
      <w:r w:rsidR="77DE2BC3" w:rsidRPr="06E40E5D">
        <w:rPr>
          <w:lang w:val="en-US"/>
        </w:rPr>
        <w:t>The size of the contributory unit (</w:t>
      </w:r>
      <w:r w:rsidR="00C20D04">
        <w:rPr>
          <w:lang w:val="en-US"/>
        </w:rPr>
        <w:t>CHF </w:t>
      </w:r>
      <w:r w:rsidR="77DE2BC3" w:rsidRPr="06E40E5D">
        <w:rPr>
          <w:lang w:val="en-US"/>
        </w:rPr>
        <w:t>318</w:t>
      </w:r>
      <w:r w:rsidR="00C20D04">
        <w:rPr>
          <w:lang w:val="en-US"/>
        </w:rPr>
        <w:t> </w:t>
      </w:r>
      <w:r w:rsidR="77DE2BC3" w:rsidRPr="06E40E5D">
        <w:rPr>
          <w:lang w:val="en-US"/>
        </w:rPr>
        <w:t xml:space="preserve">000) has not changed since 2006. </w:t>
      </w:r>
      <w:r w:rsidRPr="06E40E5D">
        <w:rPr>
          <w:lang w:val="en-US"/>
        </w:rPr>
        <w:t xml:space="preserve">In 2023, Member States’ assessed contributions represented 71 per cent of ITU’s regular budget revenues. See Table 1 below. </w:t>
      </w:r>
    </w:p>
    <w:p w14:paraId="7D614B92" w14:textId="06453F85" w:rsidR="00EE589E" w:rsidRPr="00EE58F2" w:rsidRDefault="00EE589E" w:rsidP="00307F31">
      <w:pPr>
        <w:tabs>
          <w:tab w:val="clear" w:pos="567"/>
          <w:tab w:val="clear" w:pos="1134"/>
          <w:tab w:val="clear" w:pos="1701"/>
          <w:tab w:val="clear" w:pos="2268"/>
          <w:tab w:val="clear" w:pos="2835"/>
        </w:tabs>
        <w:overflowPunct/>
        <w:autoSpaceDE/>
        <w:autoSpaceDN/>
        <w:adjustRightInd/>
        <w:spacing w:after="120"/>
        <w:jc w:val="both"/>
        <w:textAlignment w:val="auto"/>
      </w:pPr>
      <w:r>
        <w:t xml:space="preserve">Revenues from Sector Members’ contributions, including Associates and Academia, represent approximately 11 per cent of ITU’s regular budget revenues. While Sector membership has grown to its highest-ever level, surpassing </w:t>
      </w:r>
      <w:r>
        <w:t xml:space="preserve">1 000 member entities in February 2024, revenues from Sector membership fees have remained largely flat, hovering </w:t>
      </w:r>
      <w:r w:rsidR="53B451B3">
        <w:t>around</w:t>
      </w:r>
      <w:r>
        <w:t xml:space="preserve"> CHF</w:t>
      </w:r>
      <w:r w:rsidR="00DC2545">
        <w:t> </w:t>
      </w:r>
      <w:r>
        <w:t>16</w:t>
      </w:r>
      <w:r w:rsidR="03AC56D9">
        <w:t>.5</w:t>
      </w:r>
      <w:r w:rsidR="00DC2545">
        <w:t> </w:t>
      </w:r>
      <w:r>
        <w:t>million</w:t>
      </w:r>
      <w:r w:rsidR="06E33860">
        <w:t>.</w:t>
      </w:r>
      <w:r>
        <w:t xml:space="preserve"> Most growth has come from lower-fee-paying categories of membership, including Associates, Academia and, most recently, </w:t>
      </w:r>
      <w:proofErr w:type="gramStart"/>
      <w:r>
        <w:t>small</w:t>
      </w:r>
      <w:proofErr w:type="gramEnd"/>
      <w:r>
        <w:t xml:space="preserve"> and medium enterprises</w:t>
      </w:r>
      <w:r w:rsidR="776151AC">
        <w:t>. Some qualifying international and regional organizations have also benefited from fe</w:t>
      </w:r>
      <w:r w:rsidR="06E33860">
        <w:t>e exemptions.</w:t>
      </w:r>
    </w:p>
    <w:p w14:paraId="189D160E" w14:textId="39C1B3EF" w:rsidR="00EE589E" w:rsidRDefault="00EE589E" w:rsidP="00307F31">
      <w:pPr>
        <w:tabs>
          <w:tab w:val="clear" w:pos="567"/>
          <w:tab w:val="clear" w:pos="1134"/>
          <w:tab w:val="clear" w:pos="1701"/>
          <w:tab w:val="clear" w:pos="2268"/>
          <w:tab w:val="clear" w:pos="2835"/>
        </w:tabs>
        <w:overflowPunct/>
        <w:autoSpaceDE/>
        <w:autoSpaceDN/>
        <w:adjustRightInd/>
        <w:spacing w:after="120"/>
        <w:jc w:val="both"/>
        <w:textAlignment w:val="auto"/>
      </w:pPr>
      <w:r w:rsidRPr="00DC2545">
        <w:rPr>
          <w:spacing w:val="4"/>
        </w:rPr>
        <w:t>Cost recovery is applied to the processing of satellite network filings, generating</w:t>
      </w:r>
      <w:r>
        <w:t xml:space="preserve"> CHF</w:t>
      </w:r>
      <w:r w:rsidR="00DC2545">
        <w:t> </w:t>
      </w:r>
      <w:r>
        <w:t>10.6</w:t>
      </w:r>
      <w:r w:rsidR="00DC2545">
        <w:t> </w:t>
      </w:r>
      <w:r>
        <w:t>million in 2023. Revenues from the sales of publications totalled CHF</w:t>
      </w:r>
      <w:r w:rsidR="00DC2545">
        <w:t> </w:t>
      </w:r>
      <w:r>
        <w:t>16.7. An additional CHF</w:t>
      </w:r>
      <w:r w:rsidR="00DC2545">
        <w:t> </w:t>
      </w:r>
      <w:r>
        <w:t>1.3</w:t>
      </w:r>
      <w:r w:rsidR="00DC2545">
        <w:t> </w:t>
      </w:r>
      <w:r>
        <w:t xml:space="preserve">million was generated from the allocation of numbering resources and </w:t>
      </w:r>
      <w:r w:rsidR="00C20D04">
        <w:t>the Telecommunication Development Bureau (</w:t>
      </w:r>
      <w:r>
        <w:t>BDT</w:t>
      </w:r>
      <w:r w:rsidR="00C20D04">
        <w:t>)</w:t>
      </w:r>
      <w:r>
        <w:t xml:space="preserve"> project support. Cost recovery revenues can vary from one year to the next which can be a challenge for budget planning. Publication revenues for example, go up or down according to the cycle of maritime publication releases. Satellite filing cost recovery revenues can vary reflecting changes in the industry.</w:t>
      </w:r>
    </w:p>
    <w:p w14:paraId="5D63CDDB" w14:textId="33788DD8" w:rsidR="00EE589E" w:rsidRPr="001D1974" w:rsidRDefault="00EE589E" w:rsidP="0089668E">
      <w:pPr>
        <w:overflowPunct/>
        <w:autoSpaceDE/>
        <w:autoSpaceDN/>
        <w:adjustRightInd/>
        <w:spacing w:after="120"/>
        <w:jc w:val="both"/>
        <w:textAlignment w:val="auto"/>
        <w:rPr>
          <w:rFonts w:eastAsia="Calibri" w:cs="Calibri"/>
        </w:rPr>
      </w:pPr>
      <w:r>
        <w:t xml:space="preserve">In the brainstorming sessions, Member States noted that to avoid undue pressure on the ITU regular budget, </w:t>
      </w:r>
      <w:r w:rsidR="00DC2545">
        <w:t xml:space="preserve">No. </w:t>
      </w:r>
      <w:r>
        <w:t>488</w:t>
      </w:r>
      <w:r w:rsidR="00DC2545">
        <w:t xml:space="preserve"> of the Convention</w:t>
      </w:r>
      <w:r>
        <w:t xml:space="preserve"> and PP Decision 5</w:t>
      </w:r>
      <w:r w:rsidR="00DC2545">
        <w:t xml:space="preserve"> (</w:t>
      </w:r>
      <w:r>
        <w:t>Annex 2</w:t>
      </w:r>
      <w:r w:rsidR="00DC2545">
        <w:t>)</w:t>
      </w:r>
      <w:r>
        <w:t xml:space="preserve"> should be more strictly followed. Doing so would help reduce costs, thus reducing the need to raise additional revenues. CV488 states that “Before adopting proposals or taking decisions with financial implications, the conferences of the Union shall take account of all the Union’s budgetary provisions with a view to ensuring that they will not result in expenses beyond the credits which the Council is empowered to authorize.” PP Decision 5 </w:t>
      </w:r>
      <w:r w:rsidR="00DC2545">
        <w:t>(</w:t>
      </w:r>
      <w:r>
        <w:t>Annex 2</w:t>
      </w:r>
      <w:r w:rsidR="00DC2545">
        <w:t>)</w:t>
      </w:r>
      <w:r>
        <w:t xml:space="preserve"> provides a list of m</w:t>
      </w:r>
      <w:r w:rsidRPr="0FCCD35B">
        <w:rPr>
          <w:rFonts w:eastAsia="Calibri" w:cs="Calibri"/>
        </w:rPr>
        <w:t>easures for improving ITU's efficiency and reducing its expenses.</w:t>
      </w:r>
    </w:p>
    <w:p w14:paraId="652E7955" w14:textId="4D1A2B48" w:rsidR="00EE589E" w:rsidRPr="00EE58F2" w:rsidRDefault="00EE589E" w:rsidP="00C20D04">
      <w:pPr>
        <w:tabs>
          <w:tab w:val="clear" w:pos="567"/>
          <w:tab w:val="clear" w:pos="1134"/>
          <w:tab w:val="clear" w:pos="1701"/>
          <w:tab w:val="clear" w:pos="2268"/>
          <w:tab w:val="clear" w:pos="2835"/>
        </w:tabs>
        <w:overflowPunct/>
        <w:autoSpaceDE/>
        <w:autoSpaceDN/>
        <w:adjustRightInd/>
        <w:spacing w:before="360" w:after="120"/>
        <w:textAlignment w:val="auto"/>
        <w:rPr>
          <w:b/>
          <w:bCs/>
          <w:lang w:val="en-US"/>
        </w:rPr>
      </w:pPr>
      <w:r w:rsidRPr="00EE58F2">
        <w:rPr>
          <w:b/>
          <w:bCs/>
          <w:lang w:val="en-US"/>
        </w:rPr>
        <w:t xml:space="preserve">Table 1. </w:t>
      </w:r>
      <w:r w:rsidR="06E33860" w:rsidRPr="3A5DF2BD">
        <w:rPr>
          <w:b/>
          <w:bCs/>
          <w:lang w:val="en-US"/>
        </w:rPr>
        <w:t>Regular budget</w:t>
      </w:r>
      <w:r w:rsidR="649C6FFD" w:rsidRPr="3A5DF2BD">
        <w:rPr>
          <w:b/>
          <w:bCs/>
          <w:lang w:val="en-US"/>
        </w:rPr>
        <w:t xml:space="preserve"> revenue</w:t>
      </w:r>
      <w:r w:rsidR="06E33860" w:rsidRPr="3A5DF2BD">
        <w:rPr>
          <w:b/>
          <w:bCs/>
          <w:lang w:val="en-US"/>
        </w:rPr>
        <w:t xml:space="preserve"> </w:t>
      </w:r>
    </w:p>
    <w:tbl>
      <w:tblPr>
        <w:tblW w:w="0" w:type="auto"/>
        <w:tblLayout w:type="fixed"/>
        <w:tblLook w:val="04A0" w:firstRow="1" w:lastRow="0" w:firstColumn="1" w:lastColumn="0" w:noHBand="0" w:noVBand="1"/>
      </w:tblPr>
      <w:tblGrid>
        <w:gridCol w:w="2798"/>
        <w:gridCol w:w="972"/>
        <w:gridCol w:w="972"/>
        <w:gridCol w:w="972"/>
        <w:gridCol w:w="972"/>
        <w:gridCol w:w="919"/>
        <w:gridCol w:w="1090"/>
      </w:tblGrid>
      <w:tr w:rsidR="3A5DF2BD" w14:paraId="493C46EE" w14:textId="77777777" w:rsidTr="3A5DF2BD">
        <w:trPr>
          <w:trHeight w:val="270"/>
        </w:trPr>
        <w:tc>
          <w:tcPr>
            <w:tcW w:w="279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6CAF535" w14:textId="78362314" w:rsidR="3A5DF2BD" w:rsidRDefault="3A5DF2BD" w:rsidP="3A5DF2BD">
            <w:pPr>
              <w:spacing w:before="0" w:line="252" w:lineRule="auto"/>
              <w:rPr>
                <w:rFonts w:eastAsia="Calibri" w:cs="Calibri"/>
                <w:b/>
                <w:bCs/>
                <w:sz w:val="22"/>
                <w:szCs w:val="22"/>
              </w:rPr>
            </w:pPr>
            <w:r w:rsidRPr="3A5DF2BD">
              <w:rPr>
                <w:rFonts w:eastAsia="Calibri" w:cs="Calibri"/>
                <w:b/>
                <w:bCs/>
                <w:sz w:val="22"/>
                <w:szCs w:val="22"/>
              </w:rPr>
              <w:t>Amounts in CHF million</w:t>
            </w:r>
          </w:p>
        </w:tc>
        <w:tc>
          <w:tcPr>
            <w:tcW w:w="972" w:type="dxa"/>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bottom"/>
          </w:tcPr>
          <w:p w14:paraId="005A8FBB" w14:textId="2FB6C408" w:rsidR="3A5DF2BD" w:rsidRDefault="3A5DF2BD" w:rsidP="3A5DF2BD">
            <w:pPr>
              <w:spacing w:before="0" w:line="252" w:lineRule="auto"/>
              <w:jc w:val="center"/>
              <w:rPr>
                <w:rFonts w:eastAsia="Calibri" w:cs="Calibri"/>
                <w:b/>
                <w:bCs/>
                <w:color w:val="000000" w:themeColor="text1"/>
                <w:sz w:val="22"/>
                <w:szCs w:val="22"/>
              </w:rPr>
            </w:pPr>
            <w:r w:rsidRPr="3A5DF2BD">
              <w:rPr>
                <w:rFonts w:eastAsia="Calibri" w:cs="Calibri"/>
                <w:b/>
                <w:bCs/>
                <w:color w:val="000000" w:themeColor="text1"/>
                <w:sz w:val="22"/>
                <w:szCs w:val="22"/>
              </w:rPr>
              <w:t>2018</w:t>
            </w:r>
          </w:p>
        </w:tc>
        <w:tc>
          <w:tcPr>
            <w:tcW w:w="972" w:type="dxa"/>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bottom"/>
          </w:tcPr>
          <w:p w14:paraId="2DC2732D" w14:textId="71687175" w:rsidR="3A5DF2BD" w:rsidRDefault="3A5DF2BD" w:rsidP="3A5DF2BD">
            <w:pPr>
              <w:spacing w:before="0" w:line="252" w:lineRule="auto"/>
              <w:jc w:val="center"/>
              <w:rPr>
                <w:rFonts w:eastAsia="Calibri" w:cs="Calibri"/>
                <w:b/>
                <w:bCs/>
                <w:color w:val="000000" w:themeColor="text1"/>
                <w:sz w:val="22"/>
                <w:szCs w:val="22"/>
              </w:rPr>
            </w:pPr>
            <w:r w:rsidRPr="3A5DF2BD">
              <w:rPr>
                <w:rFonts w:eastAsia="Calibri" w:cs="Calibri"/>
                <w:b/>
                <w:bCs/>
                <w:color w:val="000000" w:themeColor="text1"/>
                <w:sz w:val="22"/>
                <w:szCs w:val="22"/>
              </w:rPr>
              <w:t>2019</w:t>
            </w:r>
          </w:p>
        </w:tc>
        <w:tc>
          <w:tcPr>
            <w:tcW w:w="972" w:type="dxa"/>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bottom"/>
          </w:tcPr>
          <w:p w14:paraId="495EBAE2" w14:textId="73960493" w:rsidR="3A5DF2BD" w:rsidRDefault="3A5DF2BD" w:rsidP="3A5DF2BD">
            <w:pPr>
              <w:spacing w:before="0" w:line="252" w:lineRule="auto"/>
              <w:jc w:val="center"/>
              <w:rPr>
                <w:rFonts w:eastAsia="Calibri" w:cs="Calibri"/>
                <w:b/>
                <w:bCs/>
                <w:color w:val="000000" w:themeColor="text1"/>
                <w:sz w:val="22"/>
                <w:szCs w:val="22"/>
              </w:rPr>
            </w:pPr>
            <w:r w:rsidRPr="3A5DF2BD">
              <w:rPr>
                <w:rFonts w:eastAsia="Calibri" w:cs="Calibri"/>
                <w:b/>
                <w:bCs/>
                <w:color w:val="000000" w:themeColor="text1"/>
                <w:sz w:val="22"/>
                <w:szCs w:val="22"/>
              </w:rPr>
              <w:t>2020</w:t>
            </w:r>
          </w:p>
        </w:tc>
        <w:tc>
          <w:tcPr>
            <w:tcW w:w="972" w:type="dxa"/>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bottom"/>
          </w:tcPr>
          <w:p w14:paraId="31BC99F8" w14:textId="0CDAB738" w:rsidR="3A5DF2BD" w:rsidRDefault="3A5DF2BD" w:rsidP="3A5DF2BD">
            <w:pPr>
              <w:spacing w:before="0" w:line="252" w:lineRule="auto"/>
              <w:jc w:val="center"/>
              <w:rPr>
                <w:rFonts w:eastAsia="Calibri" w:cs="Calibri"/>
                <w:b/>
                <w:bCs/>
                <w:color w:val="000000" w:themeColor="text1"/>
                <w:sz w:val="22"/>
                <w:szCs w:val="22"/>
              </w:rPr>
            </w:pPr>
            <w:r w:rsidRPr="3A5DF2BD">
              <w:rPr>
                <w:rFonts w:eastAsia="Calibri" w:cs="Calibri"/>
                <w:b/>
                <w:bCs/>
                <w:color w:val="000000" w:themeColor="text1"/>
                <w:sz w:val="22"/>
                <w:szCs w:val="22"/>
              </w:rPr>
              <w:t>2021</w:t>
            </w:r>
          </w:p>
        </w:tc>
        <w:tc>
          <w:tcPr>
            <w:tcW w:w="919" w:type="dxa"/>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bottom"/>
          </w:tcPr>
          <w:p w14:paraId="56CC7B99" w14:textId="78B535DA" w:rsidR="3A5DF2BD" w:rsidRDefault="3A5DF2BD" w:rsidP="3A5DF2BD">
            <w:pPr>
              <w:spacing w:before="0" w:line="252" w:lineRule="auto"/>
              <w:jc w:val="center"/>
              <w:rPr>
                <w:rFonts w:eastAsia="Calibri" w:cs="Calibri"/>
                <w:b/>
                <w:bCs/>
                <w:color w:val="000000" w:themeColor="text1"/>
                <w:sz w:val="22"/>
                <w:szCs w:val="22"/>
              </w:rPr>
            </w:pPr>
            <w:r w:rsidRPr="3A5DF2BD">
              <w:rPr>
                <w:rFonts w:eastAsia="Calibri" w:cs="Calibri"/>
                <w:b/>
                <w:bCs/>
                <w:color w:val="000000" w:themeColor="text1"/>
                <w:sz w:val="22"/>
                <w:szCs w:val="22"/>
              </w:rPr>
              <w:t>2022</w:t>
            </w:r>
          </w:p>
        </w:tc>
        <w:tc>
          <w:tcPr>
            <w:tcW w:w="1090" w:type="dxa"/>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tcPr>
          <w:p w14:paraId="380F5A7E" w14:textId="3101BE3F" w:rsidR="3A5DF2BD" w:rsidRDefault="3A5DF2BD" w:rsidP="3A5DF2BD">
            <w:pPr>
              <w:spacing w:before="0" w:line="252" w:lineRule="auto"/>
              <w:jc w:val="center"/>
              <w:rPr>
                <w:rFonts w:eastAsia="Calibri" w:cs="Calibri"/>
                <w:b/>
                <w:bCs/>
                <w:color w:val="000000" w:themeColor="text1"/>
                <w:sz w:val="22"/>
                <w:szCs w:val="22"/>
              </w:rPr>
            </w:pPr>
            <w:r w:rsidRPr="3A5DF2BD">
              <w:rPr>
                <w:rFonts w:eastAsia="Calibri" w:cs="Calibri"/>
                <w:b/>
                <w:bCs/>
                <w:color w:val="000000" w:themeColor="text1"/>
                <w:sz w:val="22"/>
                <w:szCs w:val="22"/>
              </w:rPr>
              <w:t>2023</w:t>
            </w:r>
          </w:p>
        </w:tc>
      </w:tr>
      <w:tr w:rsidR="3A5DF2BD" w14:paraId="25659637" w14:textId="77777777" w:rsidTr="3A5DF2BD">
        <w:trPr>
          <w:trHeight w:val="270"/>
        </w:trPr>
        <w:tc>
          <w:tcPr>
            <w:tcW w:w="279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DE08C57" w14:textId="580DF260" w:rsidR="3A5DF2BD" w:rsidRDefault="3A5DF2BD" w:rsidP="3A5DF2BD">
            <w:pPr>
              <w:spacing w:before="0" w:line="252" w:lineRule="auto"/>
              <w:rPr>
                <w:rFonts w:eastAsia="Calibri" w:cs="Calibri"/>
                <w:sz w:val="22"/>
                <w:szCs w:val="22"/>
              </w:rPr>
            </w:pPr>
            <w:r w:rsidRPr="3A5DF2BD">
              <w:rPr>
                <w:rFonts w:eastAsia="Calibri" w:cs="Calibri"/>
                <w:sz w:val="22"/>
                <w:szCs w:val="22"/>
              </w:rPr>
              <w:t>Member States</w:t>
            </w:r>
          </w:p>
        </w:tc>
        <w:tc>
          <w:tcPr>
            <w:tcW w:w="97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1095B6A" w14:textId="6FEA1921" w:rsidR="3A5DF2BD" w:rsidRDefault="3A5DF2BD" w:rsidP="3A5DF2BD">
            <w:pPr>
              <w:spacing w:before="0" w:line="252" w:lineRule="auto"/>
              <w:jc w:val="right"/>
              <w:rPr>
                <w:rFonts w:eastAsia="Calibri" w:cs="Calibri"/>
                <w:sz w:val="22"/>
                <w:szCs w:val="22"/>
              </w:rPr>
            </w:pPr>
            <w:r w:rsidRPr="3A5DF2BD">
              <w:rPr>
                <w:rFonts w:eastAsia="Calibri" w:cs="Calibri"/>
                <w:sz w:val="22"/>
                <w:szCs w:val="22"/>
              </w:rPr>
              <w:t>108.6</w:t>
            </w:r>
          </w:p>
        </w:tc>
        <w:tc>
          <w:tcPr>
            <w:tcW w:w="97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C602A3D" w14:textId="5FE8EE4B" w:rsidR="3A5DF2BD" w:rsidRDefault="3A5DF2BD" w:rsidP="3A5DF2BD">
            <w:pPr>
              <w:spacing w:before="0" w:line="252" w:lineRule="auto"/>
              <w:jc w:val="right"/>
              <w:rPr>
                <w:rFonts w:eastAsia="Calibri" w:cs="Calibri"/>
                <w:sz w:val="22"/>
                <w:szCs w:val="22"/>
              </w:rPr>
            </w:pPr>
            <w:r w:rsidRPr="3A5DF2BD">
              <w:rPr>
                <w:rFonts w:eastAsia="Calibri" w:cs="Calibri"/>
                <w:sz w:val="22"/>
                <w:szCs w:val="22"/>
              </w:rPr>
              <w:t>109.9</w:t>
            </w:r>
          </w:p>
        </w:tc>
        <w:tc>
          <w:tcPr>
            <w:tcW w:w="97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ABDBF0D" w14:textId="06424332" w:rsidR="3A5DF2BD" w:rsidRDefault="3A5DF2BD" w:rsidP="3A5DF2BD">
            <w:pPr>
              <w:spacing w:before="0" w:line="252" w:lineRule="auto"/>
              <w:jc w:val="right"/>
              <w:rPr>
                <w:rFonts w:eastAsia="Calibri" w:cs="Calibri"/>
                <w:sz w:val="22"/>
                <w:szCs w:val="22"/>
              </w:rPr>
            </w:pPr>
            <w:r w:rsidRPr="3A5DF2BD">
              <w:rPr>
                <w:rFonts w:eastAsia="Calibri" w:cs="Calibri"/>
                <w:sz w:val="22"/>
                <w:szCs w:val="22"/>
              </w:rPr>
              <w:t>109.3</w:t>
            </w:r>
          </w:p>
        </w:tc>
        <w:tc>
          <w:tcPr>
            <w:tcW w:w="97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EA16AFC" w14:textId="1259464C" w:rsidR="3A5DF2BD" w:rsidRDefault="3A5DF2BD" w:rsidP="3A5DF2BD">
            <w:pPr>
              <w:spacing w:before="0" w:line="252" w:lineRule="auto"/>
              <w:jc w:val="right"/>
              <w:rPr>
                <w:rFonts w:eastAsia="Calibri" w:cs="Calibri"/>
                <w:sz w:val="22"/>
                <w:szCs w:val="22"/>
              </w:rPr>
            </w:pPr>
            <w:r w:rsidRPr="3A5DF2BD">
              <w:rPr>
                <w:rFonts w:eastAsia="Calibri" w:cs="Calibri"/>
                <w:sz w:val="22"/>
                <w:szCs w:val="22"/>
              </w:rPr>
              <w:t>109.3</w:t>
            </w:r>
          </w:p>
        </w:tc>
        <w:tc>
          <w:tcPr>
            <w:tcW w:w="91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B2A7A6E" w14:textId="117F3CE0" w:rsidR="3A5DF2BD" w:rsidRDefault="3A5DF2BD" w:rsidP="3A5DF2BD">
            <w:pPr>
              <w:spacing w:before="0" w:line="252" w:lineRule="auto"/>
              <w:jc w:val="right"/>
              <w:rPr>
                <w:rFonts w:eastAsia="Calibri" w:cs="Calibri"/>
                <w:sz w:val="22"/>
                <w:szCs w:val="22"/>
              </w:rPr>
            </w:pPr>
            <w:r w:rsidRPr="3A5DF2BD">
              <w:rPr>
                <w:rFonts w:eastAsia="Calibri" w:cs="Calibri"/>
                <w:sz w:val="22"/>
                <w:szCs w:val="22"/>
              </w:rPr>
              <w:t>109.2</w:t>
            </w:r>
          </w:p>
        </w:tc>
        <w:tc>
          <w:tcPr>
            <w:tcW w:w="1090" w:type="dxa"/>
            <w:tcBorders>
              <w:top w:val="single" w:sz="8" w:space="0" w:color="auto"/>
              <w:left w:val="single" w:sz="8" w:space="0" w:color="auto"/>
              <w:bottom w:val="single" w:sz="8" w:space="0" w:color="auto"/>
              <w:right w:val="single" w:sz="8" w:space="0" w:color="auto"/>
            </w:tcBorders>
            <w:tcMar>
              <w:left w:w="108" w:type="dxa"/>
              <w:right w:w="108" w:type="dxa"/>
            </w:tcMar>
          </w:tcPr>
          <w:p w14:paraId="0F0767CC" w14:textId="64E7F508" w:rsidR="3A5DF2BD" w:rsidRDefault="3A5DF2BD" w:rsidP="3A5DF2BD">
            <w:pPr>
              <w:spacing w:before="0" w:line="252" w:lineRule="auto"/>
              <w:jc w:val="right"/>
              <w:rPr>
                <w:rFonts w:eastAsia="Calibri" w:cs="Calibri"/>
                <w:sz w:val="22"/>
                <w:szCs w:val="22"/>
              </w:rPr>
            </w:pPr>
            <w:r w:rsidRPr="3A5DF2BD">
              <w:rPr>
                <w:rFonts w:eastAsia="Calibri" w:cs="Calibri"/>
                <w:sz w:val="22"/>
                <w:szCs w:val="22"/>
              </w:rPr>
              <w:t>109.2</w:t>
            </w:r>
          </w:p>
        </w:tc>
      </w:tr>
      <w:tr w:rsidR="3A5DF2BD" w14:paraId="4FDA9847" w14:textId="77777777" w:rsidTr="3A5DF2BD">
        <w:trPr>
          <w:trHeight w:val="270"/>
        </w:trPr>
        <w:tc>
          <w:tcPr>
            <w:tcW w:w="279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01423F0" w14:textId="04CA340E" w:rsidR="3A5DF2BD" w:rsidRDefault="3A5DF2BD" w:rsidP="3A5DF2BD">
            <w:pPr>
              <w:spacing w:before="0" w:line="252" w:lineRule="auto"/>
              <w:rPr>
                <w:rFonts w:eastAsia="Calibri" w:cs="Calibri"/>
                <w:sz w:val="22"/>
                <w:szCs w:val="22"/>
              </w:rPr>
            </w:pPr>
            <w:r w:rsidRPr="3A5DF2BD">
              <w:rPr>
                <w:rFonts w:eastAsia="Calibri" w:cs="Calibri"/>
                <w:sz w:val="22"/>
                <w:szCs w:val="22"/>
              </w:rPr>
              <w:t>Sector members, Associates and Academia</w:t>
            </w:r>
          </w:p>
        </w:tc>
        <w:tc>
          <w:tcPr>
            <w:tcW w:w="97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003ED39" w14:textId="565B328D" w:rsidR="3A5DF2BD" w:rsidRDefault="3A5DF2BD" w:rsidP="3A5DF2BD">
            <w:pPr>
              <w:spacing w:before="0" w:line="252" w:lineRule="auto"/>
              <w:jc w:val="right"/>
              <w:rPr>
                <w:rFonts w:eastAsia="Calibri" w:cs="Calibri"/>
                <w:sz w:val="22"/>
                <w:szCs w:val="22"/>
              </w:rPr>
            </w:pPr>
            <w:r w:rsidRPr="3A5DF2BD">
              <w:rPr>
                <w:rFonts w:eastAsia="Calibri" w:cs="Calibri"/>
                <w:sz w:val="22"/>
                <w:szCs w:val="22"/>
              </w:rPr>
              <w:t>16.3</w:t>
            </w:r>
          </w:p>
        </w:tc>
        <w:tc>
          <w:tcPr>
            <w:tcW w:w="97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A411E70" w14:textId="2C36048A" w:rsidR="3A5DF2BD" w:rsidRDefault="3A5DF2BD" w:rsidP="3A5DF2BD">
            <w:pPr>
              <w:spacing w:before="0" w:line="252" w:lineRule="auto"/>
              <w:jc w:val="right"/>
              <w:rPr>
                <w:rFonts w:eastAsia="Calibri" w:cs="Calibri"/>
                <w:sz w:val="22"/>
                <w:szCs w:val="22"/>
              </w:rPr>
            </w:pPr>
            <w:r w:rsidRPr="3A5DF2BD">
              <w:rPr>
                <w:rFonts w:eastAsia="Calibri" w:cs="Calibri"/>
                <w:sz w:val="22"/>
                <w:szCs w:val="22"/>
              </w:rPr>
              <w:t>16.6</w:t>
            </w:r>
          </w:p>
        </w:tc>
        <w:tc>
          <w:tcPr>
            <w:tcW w:w="97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D9896FE" w14:textId="32792D5E" w:rsidR="3A5DF2BD" w:rsidRDefault="3A5DF2BD" w:rsidP="3A5DF2BD">
            <w:pPr>
              <w:spacing w:before="0" w:line="252" w:lineRule="auto"/>
              <w:jc w:val="right"/>
              <w:rPr>
                <w:rFonts w:eastAsia="Calibri" w:cs="Calibri"/>
                <w:sz w:val="22"/>
                <w:szCs w:val="22"/>
              </w:rPr>
            </w:pPr>
            <w:r w:rsidRPr="3A5DF2BD">
              <w:rPr>
                <w:rFonts w:eastAsia="Calibri" w:cs="Calibri"/>
                <w:sz w:val="22"/>
                <w:szCs w:val="22"/>
              </w:rPr>
              <w:t>16.4</w:t>
            </w:r>
          </w:p>
        </w:tc>
        <w:tc>
          <w:tcPr>
            <w:tcW w:w="97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6286343" w14:textId="10E7475B" w:rsidR="3A5DF2BD" w:rsidRDefault="3A5DF2BD" w:rsidP="3A5DF2BD">
            <w:pPr>
              <w:spacing w:before="0" w:line="252" w:lineRule="auto"/>
              <w:jc w:val="right"/>
              <w:rPr>
                <w:rFonts w:eastAsia="Calibri" w:cs="Calibri"/>
                <w:sz w:val="22"/>
                <w:szCs w:val="22"/>
              </w:rPr>
            </w:pPr>
            <w:r w:rsidRPr="3A5DF2BD">
              <w:rPr>
                <w:rFonts w:eastAsia="Calibri" w:cs="Calibri"/>
                <w:sz w:val="22"/>
                <w:szCs w:val="22"/>
              </w:rPr>
              <w:t>16.3</w:t>
            </w:r>
          </w:p>
        </w:tc>
        <w:tc>
          <w:tcPr>
            <w:tcW w:w="91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20071B7" w14:textId="19C8873B" w:rsidR="3A5DF2BD" w:rsidRDefault="3A5DF2BD" w:rsidP="3A5DF2BD">
            <w:pPr>
              <w:spacing w:before="0" w:line="252" w:lineRule="auto"/>
              <w:jc w:val="right"/>
              <w:rPr>
                <w:rFonts w:eastAsia="Calibri" w:cs="Calibri"/>
                <w:sz w:val="22"/>
                <w:szCs w:val="22"/>
              </w:rPr>
            </w:pPr>
            <w:r w:rsidRPr="3A5DF2BD">
              <w:rPr>
                <w:rFonts w:eastAsia="Calibri" w:cs="Calibri"/>
                <w:sz w:val="22"/>
                <w:szCs w:val="22"/>
              </w:rPr>
              <w:t>16.4</w:t>
            </w:r>
          </w:p>
        </w:tc>
        <w:tc>
          <w:tcPr>
            <w:tcW w:w="1090" w:type="dxa"/>
            <w:tcBorders>
              <w:top w:val="single" w:sz="8" w:space="0" w:color="auto"/>
              <w:left w:val="single" w:sz="8" w:space="0" w:color="auto"/>
              <w:bottom w:val="single" w:sz="8" w:space="0" w:color="auto"/>
              <w:right w:val="single" w:sz="8" w:space="0" w:color="auto"/>
            </w:tcBorders>
            <w:tcMar>
              <w:left w:w="108" w:type="dxa"/>
              <w:right w:w="108" w:type="dxa"/>
            </w:tcMar>
          </w:tcPr>
          <w:p w14:paraId="510CD404" w14:textId="5060F60D" w:rsidR="3A5DF2BD" w:rsidRDefault="3A5DF2BD" w:rsidP="3A5DF2BD">
            <w:pPr>
              <w:spacing w:before="0" w:line="252" w:lineRule="auto"/>
              <w:jc w:val="right"/>
              <w:rPr>
                <w:rFonts w:eastAsia="Calibri" w:cs="Calibri"/>
                <w:sz w:val="22"/>
                <w:szCs w:val="22"/>
              </w:rPr>
            </w:pPr>
            <w:r w:rsidRPr="3A5DF2BD">
              <w:rPr>
                <w:rFonts w:eastAsia="Calibri" w:cs="Calibri"/>
                <w:sz w:val="22"/>
                <w:szCs w:val="22"/>
              </w:rPr>
              <w:t xml:space="preserve"> </w:t>
            </w:r>
          </w:p>
          <w:p w14:paraId="22F5BD23" w14:textId="56AE1FA4" w:rsidR="3A5DF2BD" w:rsidRDefault="3A5DF2BD" w:rsidP="3A5DF2BD">
            <w:pPr>
              <w:spacing w:before="0" w:line="252" w:lineRule="auto"/>
              <w:jc w:val="right"/>
              <w:rPr>
                <w:rFonts w:eastAsia="Calibri" w:cs="Calibri"/>
                <w:sz w:val="22"/>
                <w:szCs w:val="22"/>
              </w:rPr>
            </w:pPr>
            <w:r w:rsidRPr="3A5DF2BD">
              <w:rPr>
                <w:rFonts w:eastAsia="Calibri" w:cs="Calibri"/>
                <w:sz w:val="22"/>
                <w:szCs w:val="22"/>
              </w:rPr>
              <w:t>16.5</w:t>
            </w:r>
          </w:p>
        </w:tc>
      </w:tr>
      <w:tr w:rsidR="3A5DF2BD" w14:paraId="1DB428EE" w14:textId="77777777" w:rsidTr="3A5DF2BD">
        <w:trPr>
          <w:trHeight w:val="270"/>
        </w:trPr>
        <w:tc>
          <w:tcPr>
            <w:tcW w:w="279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82537E6" w14:textId="3D69F369" w:rsidR="3A5DF2BD" w:rsidRDefault="3A5DF2BD" w:rsidP="3A5DF2BD">
            <w:pPr>
              <w:spacing w:before="0" w:line="252" w:lineRule="auto"/>
              <w:rPr>
                <w:rFonts w:eastAsia="Calibri" w:cs="Calibri"/>
                <w:sz w:val="22"/>
                <w:szCs w:val="22"/>
              </w:rPr>
            </w:pPr>
            <w:r w:rsidRPr="3A5DF2BD">
              <w:rPr>
                <w:rFonts w:eastAsia="Calibri" w:cs="Calibri"/>
                <w:sz w:val="22"/>
                <w:szCs w:val="22"/>
              </w:rPr>
              <w:t>Publications</w:t>
            </w:r>
          </w:p>
        </w:tc>
        <w:tc>
          <w:tcPr>
            <w:tcW w:w="97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38A9782" w14:textId="58602C0A" w:rsidR="3A5DF2BD" w:rsidRDefault="3A5DF2BD" w:rsidP="3A5DF2BD">
            <w:pPr>
              <w:spacing w:before="0" w:line="252" w:lineRule="auto"/>
              <w:jc w:val="right"/>
              <w:rPr>
                <w:rFonts w:eastAsia="Calibri" w:cs="Calibri"/>
                <w:sz w:val="22"/>
                <w:szCs w:val="22"/>
              </w:rPr>
            </w:pPr>
            <w:r w:rsidRPr="3A5DF2BD">
              <w:rPr>
                <w:rFonts w:eastAsia="Calibri" w:cs="Calibri"/>
                <w:sz w:val="22"/>
                <w:szCs w:val="22"/>
              </w:rPr>
              <w:t>13.9</w:t>
            </w:r>
          </w:p>
        </w:tc>
        <w:tc>
          <w:tcPr>
            <w:tcW w:w="97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4F9A9F4" w14:textId="5641AFF9" w:rsidR="3A5DF2BD" w:rsidRDefault="3A5DF2BD" w:rsidP="3A5DF2BD">
            <w:pPr>
              <w:spacing w:before="0" w:line="252" w:lineRule="auto"/>
              <w:jc w:val="right"/>
              <w:rPr>
                <w:rFonts w:eastAsia="Calibri" w:cs="Calibri"/>
                <w:sz w:val="22"/>
                <w:szCs w:val="22"/>
              </w:rPr>
            </w:pPr>
            <w:r w:rsidRPr="3A5DF2BD">
              <w:rPr>
                <w:rFonts w:eastAsia="Calibri" w:cs="Calibri"/>
                <w:sz w:val="22"/>
                <w:szCs w:val="22"/>
              </w:rPr>
              <w:t>15.6</w:t>
            </w:r>
          </w:p>
        </w:tc>
        <w:tc>
          <w:tcPr>
            <w:tcW w:w="97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703C4D2" w14:textId="6F4C5FB5" w:rsidR="3A5DF2BD" w:rsidRDefault="3A5DF2BD" w:rsidP="3A5DF2BD">
            <w:pPr>
              <w:spacing w:before="0" w:line="252" w:lineRule="auto"/>
              <w:jc w:val="right"/>
              <w:rPr>
                <w:rFonts w:eastAsia="Calibri" w:cs="Calibri"/>
                <w:sz w:val="22"/>
                <w:szCs w:val="22"/>
              </w:rPr>
            </w:pPr>
            <w:r w:rsidRPr="3A5DF2BD">
              <w:rPr>
                <w:rFonts w:eastAsia="Calibri" w:cs="Calibri"/>
                <w:sz w:val="22"/>
                <w:szCs w:val="22"/>
              </w:rPr>
              <w:t>17.1</w:t>
            </w:r>
          </w:p>
        </w:tc>
        <w:tc>
          <w:tcPr>
            <w:tcW w:w="97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CDBECB1" w14:textId="3B0B117B" w:rsidR="3A5DF2BD" w:rsidRDefault="3A5DF2BD" w:rsidP="3A5DF2BD">
            <w:pPr>
              <w:spacing w:before="0" w:line="252" w:lineRule="auto"/>
              <w:jc w:val="right"/>
              <w:rPr>
                <w:rFonts w:eastAsia="Calibri" w:cs="Calibri"/>
                <w:sz w:val="22"/>
                <w:szCs w:val="22"/>
              </w:rPr>
            </w:pPr>
            <w:r w:rsidRPr="3A5DF2BD">
              <w:rPr>
                <w:rFonts w:eastAsia="Calibri" w:cs="Calibri"/>
                <w:sz w:val="22"/>
                <w:szCs w:val="22"/>
              </w:rPr>
              <w:t>19.4</w:t>
            </w:r>
          </w:p>
        </w:tc>
        <w:tc>
          <w:tcPr>
            <w:tcW w:w="91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E41B797" w14:textId="1DBC316E" w:rsidR="3A5DF2BD" w:rsidRDefault="3A5DF2BD" w:rsidP="3A5DF2BD">
            <w:pPr>
              <w:spacing w:before="0" w:line="252" w:lineRule="auto"/>
              <w:jc w:val="right"/>
              <w:rPr>
                <w:rFonts w:eastAsia="Calibri" w:cs="Calibri"/>
                <w:sz w:val="22"/>
                <w:szCs w:val="22"/>
              </w:rPr>
            </w:pPr>
            <w:r w:rsidRPr="3A5DF2BD">
              <w:rPr>
                <w:rFonts w:eastAsia="Calibri" w:cs="Calibri"/>
                <w:sz w:val="22"/>
                <w:szCs w:val="22"/>
              </w:rPr>
              <w:t>14.6</w:t>
            </w:r>
          </w:p>
        </w:tc>
        <w:tc>
          <w:tcPr>
            <w:tcW w:w="1090" w:type="dxa"/>
            <w:tcBorders>
              <w:top w:val="single" w:sz="8" w:space="0" w:color="auto"/>
              <w:left w:val="single" w:sz="8" w:space="0" w:color="auto"/>
              <w:bottom w:val="single" w:sz="8" w:space="0" w:color="auto"/>
              <w:right w:val="single" w:sz="8" w:space="0" w:color="auto"/>
            </w:tcBorders>
            <w:tcMar>
              <w:left w:w="108" w:type="dxa"/>
              <w:right w:w="108" w:type="dxa"/>
            </w:tcMar>
          </w:tcPr>
          <w:p w14:paraId="2F2CC442" w14:textId="05AAF4DC" w:rsidR="3A5DF2BD" w:rsidRDefault="3A5DF2BD" w:rsidP="3A5DF2BD">
            <w:pPr>
              <w:spacing w:before="0" w:line="252" w:lineRule="auto"/>
              <w:jc w:val="right"/>
              <w:rPr>
                <w:rFonts w:eastAsia="Calibri" w:cs="Calibri"/>
                <w:sz w:val="22"/>
                <w:szCs w:val="22"/>
              </w:rPr>
            </w:pPr>
            <w:r w:rsidRPr="3A5DF2BD">
              <w:rPr>
                <w:rFonts w:eastAsia="Calibri" w:cs="Calibri"/>
                <w:sz w:val="22"/>
                <w:szCs w:val="22"/>
              </w:rPr>
              <w:t>16.7</w:t>
            </w:r>
          </w:p>
        </w:tc>
      </w:tr>
      <w:tr w:rsidR="3A5DF2BD" w14:paraId="0336F7A3" w14:textId="77777777" w:rsidTr="3A5DF2BD">
        <w:trPr>
          <w:trHeight w:val="270"/>
        </w:trPr>
        <w:tc>
          <w:tcPr>
            <w:tcW w:w="279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F68031A" w14:textId="4D5C010A" w:rsidR="3A5DF2BD" w:rsidRDefault="3A5DF2BD" w:rsidP="3A5DF2BD">
            <w:pPr>
              <w:spacing w:before="0" w:line="252" w:lineRule="auto"/>
              <w:rPr>
                <w:rFonts w:eastAsia="Calibri" w:cs="Calibri"/>
                <w:sz w:val="22"/>
                <w:szCs w:val="22"/>
              </w:rPr>
            </w:pPr>
            <w:r w:rsidRPr="3A5DF2BD">
              <w:rPr>
                <w:rFonts w:eastAsia="Calibri" w:cs="Calibri"/>
                <w:sz w:val="22"/>
                <w:szCs w:val="22"/>
              </w:rPr>
              <w:t>Satellite filings</w:t>
            </w:r>
          </w:p>
        </w:tc>
        <w:tc>
          <w:tcPr>
            <w:tcW w:w="97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73B4F52" w14:textId="50D1FB6F" w:rsidR="3A5DF2BD" w:rsidRDefault="3A5DF2BD" w:rsidP="3A5DF2BD">
            <w:pPr>
              <w:spacing w:before="0" w:line="252" w:lineRule="auto"/>
              <w:jc w:val="right"/>
              <w:rPr>
                <w:rFonts w:eastAsia="Calibri" w:cs="Calibri"/>
                <w:sz w:val="22"/>
                <w:szCs w:val="22"/>
              </w:rPr>
            </w:pPr>
            <w:r w:rsidRPr="3A5DF2BD">
              <w:rPr>
                <w:rFonts w:eastAsia="Calibri" w:cs="Calibri"/>
                <w:sz w:val="22"/>
                <w:szCs w:val="22"/>
              </w:rPr>
              <w:t>19.1</w:t>
            </w:r>
          </w:p>
        </w:tc>
        <w:tc>
          <w:tcPr>
            <w:tcW w:w="97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F42E492" w14:textId="7799DC1A" w:rsidR="3A5DF2BD" w:rsidRDefault="3A5DF2BD" w:rsidP="3A5DF2BD">
            <w:pPr>
              <w:spacing w:before="0" w:line="252" w:lineRule="auto"/>
              <w:jc w:val="right"/>
              <w:rPr>
                <w:rFonts w:eastAsia="Calibri" w:cs="Calibri"/>
                <w:sz w:val="22"/>
                <w:szCs w:val="22"/>
              </w:rPr>
            </w:pPr>
            <w:r w:rsidRPr="3A5DF2BD">
              <w:rPr>
                <w:rFonts w:eastAsia="Calibri" w:cs="Calibri"/>
                <w:sz w:val="22"/>
                <w:szCs w:val="22"/>
              </w:rPr>
              <w:t>12.1</w:t>
            </w:r>
          </w:p>
        </w:tc>
        <w:tc>
          <w:tcPr>
            <w:tcW w:w="97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011C664" w14:textId="512E61F8" w:rsidR="3A5DF2BD" w:rsidRDefault="3A5DF2BD" w:rsidP="3A5DF2BD">
            <w:pPr>
              <w:spacing w:before="0" w:line="252" w:lineRule="auto"/>
              <w:jc w:val="right"/>
              <w:rPr>
                <w:rFonts w:eastAsia="Calibri" w:cs="Calibri"/>
                <w:sz w:val="22"/>
                <w:szCs w:val="22"/>
              </w:rPr>
            </w:pPr>
            <w:r w:rsidRPr="3A5DF2BD">
              <w:rPr>
                <w:rFonts w:eastAsia="Calibri" w:cs="Calibri"/>
                <w:sz w:val="22"/>
                <w:szCs w:val="22"/>
              </w:rPr>
              <w:t>13.6</w:t>
            </w:r>
          </w:p>
        </w:tc>
        <w:tc>
          <w:tcPr>
            <w:tcW w:w="97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ADE2297" w14:textId="6F797476" w:rsidR="3A5DF2BD" w:rsidRDefault="3A5DF2BD" w:rsidP="3A5DF2BD">
            <w:pPr>
              <w:spacing w:before="0" w:line="252" w:lineRule="auto"/>
              <w:jc w:val="right"/>
              <w:rPr>
                <w:rFonts w:eastAsia="Calibri" w:cs="Calibri"/>
                <w:sz w:val="22"/>
                <w:szCs w:val="22"/>
              </w:rPr>
            </w:pPr>
            <w:r w:rsidRPr="3A5DF2BD">
              <w:rPr>
                <w:rFonts w:eastAsia="Calibri" w:cs="Calibri"/>
                <w:sz w:val="22"/>
                <w:szCs w:val="22"/>
              </w:rPr>
              <w:t>11.2</w:t>
            </w:r>
          </w:p>
        </w:tc>
        <w:tc>
          <w:tcPr>
            <w:tcW w:w="91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5B75281" w14:textId="3CDA0D0F" w:rsidR="3A5DF2BD" w:rsidRDefault="3A5DF2BD" w:rsidP="3A5DF2BD">
            <w:pPr>
              <w:spacing w:before="0" w:line="252" w:lineRule="auto"/>
              <w:jc w:val="right"/>
              <w:rPr>
                <w:rFonts w:eastAsia="Calibri" w:cs="Calibri"/>
                <w:sz w:val="22"/>
                <w:szCs w:val="22"/>
              </w:rPr>
            </w:pPr>
            <w:r w:rsidRPr="3A5DF2BD">
              <w:rPr>
                <w:rFonts w:eastAsia="Calibri" w:cs="Calibri"/>
                <w:sz w:val="22"/>
                <w:szCs w:val="22"/>
              </w:rPr>
              <w:t>10.3</w:t>
            </w:r>
          </w:p>
        </w:tc>
        <w:tc>
          <w:tcPr>
            <w:tcW w:w="1090" w:type="dxa"/>
            <w:tcBorders>
              <w:top w:val="single" w:sz="8" w:space="0" w:color="auto"/>
              <w:left w:val="single" w:sz="8" w:space="0" w:color="auto"/>
              <w:bottom w:val="single" w:sz="8" w:space="0" w:color="auto"/>
              <w:right w:val="single" w:sz="8" w:space="0" w:color="auto"/>
            </w:tcBorders>
            <w:tcMar>
              <w:left w:w="108" w:type="dxa"/>
              <w:right w:w="108" w:type="dxa"/>
            </w:tcMar>
          </w:tcPr>
          <w:p w14:paraId="5184C25F" w14:textId="1FF63FDB" w:rsidR="3A5DF2BD" w:rsidRDefault="3A5DF2BD" w:rsidP="3A5DF2BD">
            <w:pPr>
              <w:spacing w:before="0" w:line="252" w:lineRule="auto"/>
              <w:jc w:val="right"/>
              <w:rPr>
                <w:rFonts w:eastAsia="Calibri" w:cs="Calibri"/>
                <w:sz w:val="22"/>
                <w:szCs w:val="22"/>
              </w:rPr>
            </w:pPr>
            <w:r w:rsidRPr="3A5DF2BD">
              <w:rPr>
                <w:rFonts w:eastAsia="Calibri" w:cs="Calibri"/>
                <w:sz w:val="22"/>
                <w:szCs w:val="22"/>
              </w:rPr>
              <w:t>10.6</w:t>
            </w:r>
          </w:p>
        </w:tc>
      </w:tr>
      <w:tr w:rsidR="3A5DF2BD" w14:paraId="360BD051" w14:textId="77777777" w:rsidTr="3A5DF2BD">
        <w:trPr>
          <w:trHeight w:val="540"/>
        </w:trPr>
        <w:tc>
          <w:tcPr>
            <w:tcW w:w="279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59C9825" w14:textId="67D7135F" w:rsidR="3A5DF2BD" w:rsidRDefault="3A5DF2BD" w:rsidP="3A5DF2BD">
            <w:pPr>
              <w:spacing w:before="0" w:line="252" w:lineRule="auto"/>
              <w:rPr>
                <w:rFonts w:eastAsia="Calibri" w:cs="Calibri"/>
                <w:sz w:val="22"/>
                <w:szCs w:val="22"/>
              </w:rPr>
            </w:pPr>
            <w:r w:rsidRPr="3A5DF2BD">
              <w:rPr>
                <w:rFonts w:eastAsia="Calibri" w:cs="Calibri"/>
                <w:sz w:val="22"/>
                <w:szCs w:val="22"/>
              </w:rPr>
              <w:t>Others (numbering, project support, ITU Telecom)</w:t>
            </w:r>
          </w:p>
        </w:tc>
        <w:tc>
          <w:tcPr>
            <w:tcW w:w="97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336ED52" w14:textId="7DD109C8" w:rsidR="3A5DF2BD" w:rsidRDefault="3A5DF2BD" w:rsidP="3A5DF2BD">
            <w:pPr>
              <w:spacing w:before="0" w:line="252" w:lineRule="auto"/>
              <w:jc w:val="right"/>
              <w:rPr>
                <w:rFonts w:eastAsia="Calibri" w:cs="Calibri"/>
                <w:sz w:val="22"/>
                <w:szCs w:val="22"/>
              </w:rPr>
            </w:pPr>
            <w:r w:rsidRPr="3A5DF2BD">
              <w:rPr>
                <w:rFonts w:eastAsia="Calibri" w:cs="Calibri"/>
                <w:sz w:val="22"/>
                <w:szCs w:val="22"/>
              </w:rPr>
              <w:t>3.4</w:t>
            </w:r>
          </w:p>
        </w:tc>
        <w:tc>
          <w:tcPr>
            <w:tcW w:w="97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B34DE9B" w14:textId="73E991D9" w:rsidR="3A5DF2BD" w:rsidRDefault="3A5DF2BD" w:rsidP="3A5DF2BD">
            <w:pPr>
              <w:spacing w:before="0" w:line="252" w:lineRule="auto"/>
              <w:jc w:val="right"/>
              <w:rPr>
                <w:rFonts w:eastAsia="Calibri" w:cs="Calibri"/>
                <w:sz w:val="22"/>
                <w:szCs w:val="22"/>
              </w:rPr>
            </w:pPr>
            <w:r w:rsidRPr="3A5DF2BD">
              <w:rPr>
                <w:rFonts w:eastAsia="Calibri" w:cs="Calibri"/>
                <w:sz w:val="22"/>
                <w:szCs w:val="22"/>
              </w:rPr>
              <w:t>2.6</w:t>
            </w:r>
          </w:p>
        </w:tc>
        <w:tc>
          <w:tcPr>
            <w:tcW w:w="97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83E074C" w14:textId="18EE36A9" w:rsidR="3A5DF2BD" w:rsidRDefault="3A5DF2BD" w:rsidP="3A5DF2BD">
            <w:pPr>
              <w:spacing w:before="0" w:line="252" w:lineRule="auto"/>
              <w:jc w:val="right"/>
              <w:rPr>
                <w:rFonts w:eastAsia="Calibri" w:cs="Calibri"/>
                <w:sz w:val="22"/>
                <w:szCs w:val="22"/>
              </w:rPr>
            </w:pPr>
            <w:r w:rsidRPr="3A5DF2BD">
              <w:rPr>
                <w:rFonts w:eastAsia="Calibri" w:cs="Calibri"/>
                <w:sz w:val="22"/>
                <w:szCs w:val="22"/>
              </w:rPr>
              <w:t>1</w:t>
            </w:r>
          </w:p>
        </w:tc>
        <w:tc>
          <w:tcPr>
            <w:tcW w:w="97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1A1803D" w14:textId="1CDB4859" w:rsidR="3A5DF2BD" w:rsidRDefault="3A5DF2BD" w:rsidP="3A5DF2BD">
            <w:pPr>
              <w:spacing w:before="0" w:line="252" w:lineRule="auto"/>
              <w:jc w:val="right"/>
              <w:rPr>
                <w:rFonts w:eastAsia="Calibri" w:cs="Calibri"/>
                <w:sz w:val="22"/>
                <w:szCs w:val="22"/>
              </w:rPr>
            </w:pPr>
            <w:r w:rsidRPr="3A5DF2BD">
              <w:rPr>
                <w:rFonts w:eastAsia="Calibri" w:cs="Calibri"/>
                <w:sz w:val="22"/>
                <w:szCs w:val="22"/>
              </w:rPr>
              <w:t>0.9</w:t>
            </w:r>
          </w:p>
        </w:tc>
        <w:tc>
          <w:tcPr>
            <w:tcW w:w="91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2732CAC" w14:textId="2D51398F" w:rsidR="3A5DF2BD" w:rsidRDefault="3A5DF2BD" w:rsidP="3A5DF2BD">
            <w:pPr>
              <w:spacing w:before="0" w:line="252" w:lineRule="auto"/>
              <w:jc w:val="right"/>
              <w:rPr>
                <w:rFonts w:eastAsia="Calibri" w:cs="Calibri"/>
                <w:sz w:val="22"/>
                <w:szCs w:val="22"/>
              </w:rPr>
            </w:pPr>
            <w:r w:rsidRPr="3A5DF2BD">
              <w:rPr>
                <w:rFonts w:eastAsia="Calibri" w:cs="Calibri"/>
                <w:sz w:val="22"/>
                <w:szCs w:val="22"/>
              </w:rPr>
              <w:t>1.25</w:t>
            </w:r>
          </w:p>
        </w:tc>
        <w:tc>
          <w:tcPr>
            <w:tcW w:w="1090" w:type="dxa"/>
            <w:tcBorders>
              <w:top w:val="single" w:sz="8" w:space="0" w:color="auto"/>
              <w:left w:val="single" w:sz="8" w:space="0" w:color="auto"/>
              <w:bottom w:val="single" w:sz="8" w:space="0" w:color="auto"/>
              <w:right w:val="single" w:sz="8" w:space="0" w:color="auto"/>
            </w:tcBorders>
            <w:tcMar>
              <w:left w:w="108" w:type="dxa"/>
              <w:right w:w="108" w:type="dxa"/>
            </w:tcMar>
          </w:tcPr>
          <w:p w14:paraId="6DACB4BF" w14:textId="283E4A1E" w:rsidR="3A5DF2BD" w:rsidRDefault="3A5DF2BD" w:rsidP="3A5DF2BD">
            <w:pPr>
              <w:spacing w:before="0" w:line="252" w:lineRule="auto"/>
              <w:jc w:val="right"/>
              <w:rPr>
                <w:rFonts w:eastAsia="Calibri" w:cs="Calibri"/>
                <w:sz w:val="22"/>
                <w:szCs w:val="22"/>
              </w:rPr>
            </w:pPr>
            <w:r w:rsidRPr="3A5DF2BD">
              <w:rPr>
                <w:rFonts w:eastAsia="Calibri" w:cs="Calibri"/>
                <w:sz w:val="22"/>
                <w:szCs w:val="22"/>
              </w:rPr>
              <w:t xml:space="preserve"> </w:t>
            </w:r>
          </w:p>
          <w:p w14:paraId="2A5112BD" w14:textId="69543311" w:rsidR="3A5DF2BD" w:rsidRDefault="3A5DF2BD" w:rsidP="3A5DF2BD">
            <w:pPr>
              <w:spacing w:before="0" w:line="252" w:lineRule="auto"/>
              <w:jc w:val="right"/>
              <w:rPr>
                <w:rFonts w:eastAsia="Calibri" w:cs="Calibri"/>
                <w:sz w:val="22"/>
                <w:szCs w:val="22"/>
              </w:rPr>
            </w:pPr>
            <w:r w:rsidRPr="3A5DF2BD">
              <w:rPr>
                <w:rFonts w:eastAsia="Calibri" w:cs="Calibri"/>
                <w:sz w:val="22"/>
                <w:szCs w:val="22"/>
              </w:rPr>
              <w:t>1.3</w:t>
            </w:r>
          </w:p>
        </w:tc>
      </w:tr>
    </w:tbl>
    <w:p w14:paraId="5224F2E9" w14:textId="661E9783" w:rsidR="00EE589E" w:rsidRPr="00EE58F2" w:rsidRDefault="00EE589E" w:rsidP="00307F31">
      <w:pPr>
        <w:keepNext/>
        <w:keepLines/>
        <w:tabs>
          <w:tab w:val="clear" w:pos="567"/>
          <w:tab w:val="clear" w:pos="1134"/>
          <w:tab w:val="clear" w:pos="1701"/>
          <w:tab w:val="clear" w:pos="2268"/>
          <w:tab w:val="clear" w:pos="2835"/>
        </w:tabs>
        <w:overflowPunct/>
        <w:autoSpaceDE/>
        <w:autoSpaceDN/>
        <w:adjustRightInd/>
        <w:spacing w:before="360" w:after="120"/>
        <w:ind w:left="284"/>
        <w:jc w:val="both"/>
        <w:textAlignment w:val="auto"/>
        <w:rPr>
          <w:b/>
          <w:bCs/>
          <w:lang w:val="en-US"/>
        </w:rPr>
      </w:pPr>
      <w:r w:rsidRPr="5B7D7CE6">
        <w:rPr>
          <w:b/>
          <w:bCs/>
          <w:lang w:val="en-US"/>
        </w:rPr>
        <w:t>b.</w:t>
      </w:r>
      <w:r>
        <w:tab/>
      </w:r>
      <w:r w:rsidRPr="5B7D7CE6">
        <w:rPr>
          <w:b/>
          <w:bCs/>
          <w:lang w:val="en-US"/>
        </w:rPr>
        <w:t xml:space="preserve">Overview of extra-budgetary </w:t>
      </w:r>
      <w:r w:rsidR="6F3E51CF" w:rsidRPr="3A5DF2BD">
        <w:rPr>
          <w:b/>
          <w:bCs/>
          <w:lang w:val="en-US"/>
        </w:rPr>
        <w:t>revenue</w:t>
      </w:r>
    </w:p>
    <w:p w14:paraId="46990076" w14:textId="389DCE0E" w:rsidR="72C0D21F" w:rsidRDefault="72C0D21F" w:rsidP="3A5DF2BD">
      <w:pPr>
        <w:tabs>
          <w:tab w:val="clear" w:pos="567"/>
          <w:tab w:val="clear" w:pos="1134"/>
          <w:tab w:val="clear" w:pos="1701"/>
          <w:tab w:val="clear" w:pos="2268"/>
          <w:tab w:val="clear" w:pos="2835"/>
        </w:tabs>
        <w:spacing w:after="120"/>
        <w:jc w:val="both"/>
        <w:rPr>
          <w:rFonts w:eastAsia="Calibri" w:cs="Calibri"/>
          <w:szCs w:val="24"/>
          <w:lang w:val="en-US"/>
        </w:rPr>
      </w:pPr>
      <w:r w:rsidRPr="3A5DF2BD">
        <w:rPr>
          <w:rFonts w:eastAsia="Calibri" w:cs="Calibri"/>
          <w:szCs w:val="24"/>
          <w:lang w:val="en-US"/>
        </w:rPr>
        <w:t>In 2023, a total of CHF 20.3 million was recognized as extrabudgetary revenue</w:t>
      </w:r>
      <w:r w:rsidR="6B9F66AB" w:rsidRPr="3A5DF2BD">
        <w:rPr>
          <w:rFonts w:eastAsia="Calibri" w:cs="Calibri"/>
          <w:szCs w:val="24"/>
          <w:lang w:val="en-US"/>
        </w:rPr>
        <w:t>,</w:t>
      </w:r>
      <w:r w:rsidRPr="3A5DF2BD">
        <w:rPr>
          <w:rFonts w:eastAsia="Calibri" w:cs="Calibri"/>
          <w:szCs w:val="24"/>
          <w:lang w:val="en-US"/>
        </w:rPr>
        <w:t xml:space="preserve"> </w:t>
      </w:r>
      <w:r w:rsidR="0AB3BD90" w:rsidRPr="3A5DF2BD">
        <w:rPr>
          <w:rFonts w:eastAsia="Calibri" w:cs="Calibri"/>
          <w:szCs w:val="24"/>
          <w:lang w:val="en-US"/>
        </w:rPr>
        <w:t>including</w:t>
      </w:r>
      <w:r w:rsidRPr="3A5DF2BD">
        <w:rPr>
          <w:rFonts w:eastAsia="Calibri" w:cs="Calibri"/>
          <w:szCs w:val="24"/>
          <w:lang w:val="en-US"/>
        </w:rPr>
        <w:t xml:space="preserve"> CHF 15.1 million </w:t>
      </w:r>
      <w:r w:rsidR="744B543A" w:rsidRPr="3A5DF2BD">
        <w:rPr>
          <w:rFonts w:eastAsia="Calibri" w:cs="Calibri"/>
          <w:szCs w:val="24"/>
          <w:lang w:val="en-US"/>
        </w:rPr>
        <w:t>in</w:t>
      </w:r>
      <w:r w:rsidRPr="3A5DF2BD">
        <w:rPr>
          <w:rFonts w:eastAsia="Calibri" w:cs="Calibri"/>
          <w:szCs w:val="24"/>
          <w:lang w:val="en-US"/>
        </w:rPr>
        <w:t xml:space="preserve"> </w:t>
      </w:r>
      <w:r w:rsidR="7CD3C857" w:rsidRPr="3A5DF2BD">
        <w:rPr>
          <w:rFonts w:eastAsia="Calibri" w:cs="Calibri"/>
          <w:szCs w:val="24"/>
          <w:lang w:val="en-US"/>
        </w:rPr>
        <w:t>t</w:t>
      </w:r>
      <w:r w:rsidRPr="3A5DF2BD">
        <w:rPr>
          <w:rFonts w:eastAsia="Calibri" w:cs="Calibri"/>
          <w:szCs w:val="24"/>
          <w:lang w:val="en-US"/>
        </w:rPr>
        <w:t xml:space="preserve">rust fund contributions, CHF 3.6 million </w:t>
      </w:r>
      <w:r w:rsidR="2DC34F99" w:rsidRPr="3A5DF2BD">
        <w:rPr>
          <w:rFonts w:eastAsia="Calibri" w:cs="Calibri"/>
          <w:szCs w:val="24"/>
          <w:lang w:val="en-US"/>
        </w:rPr>
        <w:t>in v</w:t>
      </w:r>
      <w:r w:rsidRPr="3A5DF2BD">
        <w:rPr>
          <w:rFonts w:eastAsia="Calibri" w:cs="Calibri"/>
          <w:szCs w:val="24"/>
          <w:lang w:val="en-US"/>
        </w:rPr>
        <w:t xml:space="preserve">oluntary contributions, and CHF </w:t>
      </w:r>
      <w:r w:rsidRPr="3A5DF2BD">
        <w:rPr>
          <w:rFonts w:eastAsia="Calibri" w:cs="Calibri"/>
          <w:szCs w:val="24"/>
          <w:lang w:val="en-US"/>
        </w:rPr>
        <w:lastRenderedPageBreak/>
        <w:t xml:space="preserve">1.6 million </w:t>
      </w:r>
      <w:r w:rsidR="397FA6FE" w:rsidRPr="3A5DF2BD">
        <w:rPr>
          <w:rFonts w:eastAsia="Calibri" w:cs="Calibri"/>
          <w:szCs w:val="24"/>
          <w:lang w:val="en-US"/>
        </w:rPr>
        <w:t>in s</w:t>
      </w:r>
      <w:r w:rsidRPr="3A5DF2BD">
        <w:rPr>
          <w:rFonts w:eastAsia="Calibri" w:cs="Calibri"/>
          <w:szCs w:val="24"/>
          <w:lang w:val="en-US"/>
        </w:rPr>
        <w:t xml:space="preserve">ponsorships. In 2023, extrabudgetary revenue was distributed across ITU, with BDT at 68 per cent, TSB </w:t>
      </w:r>
      <w:r w:rsidR="1DFB988F" w:rsidRPr="3A5DF2BD">
        <w:rPr>
          <w:rFonts w:eastAsia="Calibri" w:cs="Calibri"/>
          <w:szCs w:val="24"/>
          <w:lang w:val="en-US"/>
        </w:rPr>
        <w:t xml:space="preserve">with </w:t>
      </w:r>
      <w:r w:rsidRPr="3A5DF2BD">
        <w:rPr>
          <w:rFonts w:eastAsia="Calibri" w:cs="Calibri"/>
          <w:szCs w:val="24"/>
          <w:lang w:val="en-US"/>
        </w:rPr>
        <w:t xml:space="preserve">17 per cent, BR </w:t>
      </w:r>
      <w:r w:rsidR="7ADAD06D" w:rsidRPr="3A5DF2BD">
        <w:rPr>
          <w:rFonts w:eastAsia="Calibri" w:cs="Calibri"/>
          <w:szCs w:val="24"/>
          <w:lang w:val="en-US"/>
        </w:rPr>
        <w:t xml:space="preserve">with </w:t>
      </w:r>
      <w:r w:rsidRPr="3A5DF2BD">
        <w:rPr>
          <w:rFonts w:eastAsia="Calibri" w:cs="Calibri"/>
          <w:szCs w:val="24"/>
          <w:lang w:val="en-US"/>
        </w:rPr>
        <w:t xml:space="preserve">4 per cent and the General Secretariat </w:t>
      </w:r>
      <w:r w:rsidR="5938AA4C" w:rsidRPr="3A5DF2BD">
        <w:rPr>
          <w:rFonts w:eastAsia="Calibri" w:cs="Calibri"/>
          <w:szCs w:val="24"/>
          <w:lang w:val="en-US"/>
        </w:rPr>
        <w:t>w</w:t>
      </w:r>
      <w:r w:rsidR="30920623" w:rsidRPr="3A5DF2BD">
        <w:rPr>
          <w:rFonts w:eastAsia="Calibri" w:cs="Calibri"/>
          <w:szCs w:val="24"/>
          <w:lang w:val="en-US"/>
        </w:rPr>
        <w:t>i</w:t>
      </w:r>
      <w:r w:rsidR="5938AA4C" w:rsidRPr="3A5DF2BD">
        <w:rPr>
          <w:rFonts w:eastAsia="Calibri" w:cs="Calibri"/>
          <w:szCs w:val="24"/>
          <w:lang w:val="en-US"/>
        </w:rPr>
        <w:t xml:space="preserve">th </w:t>
      </w:r>
      <w:r w:rsidRPr="3A5DF2BD">
        <w:rPr>
          <w:rFonts w:eastAsia="Calibri" w:cs="Calibri"/>
          <w:szCs w:val="24"/>
          <w:lang w:val="en-US"/>
        </w:rPr>
        <w:t xml:space="preserve">11 per cent. </w:t>
      </w:r>
    </w:p>
    <w:p w14:paraId="350A96B4" w14:textId="62237FE8" w:rsidR="72C0D21F" w:rsidRDefault="72C0D21F" w:rsidP="06E40E5D">
      <w:pPr>
        <w:tabs>
          <w:tab w:val="left" w:pos="720"/>
        </w:tabs>
        <w:spacing w:after="120"/>
        <w:jc w:val="both"/>
        <w:rPr>
          <w:rFonts w:eastAsia="Calibri" w:cs="Calibri"/>
          <w:lang w:val="en-US"/>
        </w:rPr>
      </w:pPr>
      <w:r w:rsidRPr="06E40E5D">
        <w:rPr>
          <w:rFonts w:eastAsia="Calibri" w:cs="Calibri"/>
          <w:lang w:val="en-US"/>
        </w:rPr>
        <w:t xml:space="preserve">Extrabudgetary revenues described above are presented in the 2023 Financial Operating Report of the Union. For information on extrabudgetary contributions received in cash during 2023 please refer to Document </w:t>
      </w:r>
      <w:hyperlink r:id="rId25">
        <w:r w:rsidRPr="06E40E5D">
          <w:rPr>
            <w:rStyle w:val="Hyperlink"/>
            <w:rFonts w:eastAsia="Calibri" w:cs="Calibri"/>
            <w:lang w:val="en-US"/>
          </w:rPr>
          <w:t>C24/INF/12</w:t>
        </w:r>
      </w:hyperlink>
      <w:r w:rsidRPr="06E40E5D">
        <w:rPr>
          <w:rFonts w:eastAsia="Calibri" w:cs="Calibri"/>
          <w:lang w:val="en-US"/>
        </w:rPr>
        <w:t>.</w:t>
      </w:r>
    </w:p>
    <w:p w14:paraId="03B59297" w14:textId="0DDF799C" w:rsidR="00EE589E" w:rsidRPr="00EE58F2" w:rsidRDefault="06E33860" w:rsidP="3A5DF2BD">
      <w:pPr>
        <w:keepNext/>
        <w:keepLines/>
        <w:tabs>
          <w:tab w:val="clear" w:pos="567"/>
          <w:tab w:val="clear" w:pos="1134"/>
          <w:tab w:val="clear" w:pos="1701"/>
          <w:tab w:val="clear" w:pos="2268"/>
          <w:tab w:val="clear" w:pos="2835"/>
        </w:tabs>
        <w:overflowPunct/>
        <w:autoSpaceDE/>
        <w:autoSpaceDN/>
        <w:adjustRightInd/>
        <w:spacing w:before="240" w:after="120"/>
        <w:jc w:val="both"/>
        <w:textAlignment w:val="auto"/>
        <w:rPr>
          <w:lang w:val="en-US"/>
        </w:rPr>
      </w:pPr>
      <w:r w:rsidRPr="3A5DF2BD">
        <w:rPr>
          <w:b/>
          <w:bCs/>
          <w:lang w:val="en-US"/>
        </w:rPr>
        <w:t>2.</w:t>
      </w:r>
      <w:r w:rsidR="00EE589E" w:rsidRPr="4A92F946">
        <w:rPr>
          <w:b/>
          <w:bCs/>
          <w:lang w:val="en-US"/>
        </w:rPr>
        <w:t>2</w:t>
      </w:r>
      <w:r w:rsidR="00EE589E">
        <w:tab/>
      </w:r>
      <w:r w:rsidR="00EE589E" w:rsidRPr="4A92F946">
        <w:rPr>
          <w:b/>
          <w:bCs/>
          <w:lang w:val="en-US"/>
        </w:rPr>
        <w:t>Funding models across the United Nations system</w:t>
      </w:r>
    </w:p>
    <w:p w14:paraId="67C54C32" w14:textId="7E6A4FA9" w:rsidR="00EE589E" w:rsidRPr="00EE58F2" w:rsidRDefault="00EE589E" w:rsidP="00EE589E">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Pr>
          <w:lang w:val="en-US"/>
        </w:rPr>
        <w:t>V</w:t>
      </w:r>
      <w:r w:rsidRPr="00EE58F2">
        <w:rPr>
          <w:lang w:val="en-US"/>
        </w:rPr>
        <w:t xml:space="preserve">ery different funding models exist </w:t>
      </w:r>
      <w:r>
        <w:rPr>
          <w:lang w:val="en-US"/>
        </w:rPr>
        <w:t>a</w:t>
      </w:r>
      <w:r w:rsidRPr="00EE58F2">
        <w:rPr>
          <w:lang w:val="en-US"/>
        </w:rPr>
        <w:t>cross the U</w:t>
      </w:r>
      <w:r>
        <w:rPr>
          <w:lang w:val="en-US"/>
        </w:rPr>
        <w:t>nited Nations</w:t>
      </w:r>
      <w:r w:rsidRPr="00EE58F2">
        <w:rPr>
          <w:lang w:val="en-US"/>
        </w:rPr>
        <w:t xml:space="preserve"> system, </w:t>
      </w:r>
      <w:r>
        <w:rPr>
          <w:lang w:val="en-US"/>
        </w:rPr>
        <w:t>depending on</w:t>
      </w:r>
      <w:r w:rsidRPr="00EE58F2">
        <w:rPr>
          <w:lang w:val="en-US"/>
        </w:rPr>
        <w:t xml:space="preserve"> the different mandates and core activities of each organization. Some organizations</w:t>
      </w:r>
      <w:r>
        <w:rPr>
          <w:lang w:val="en-US"/>
        </w:rPr>
        <w:t>,</w:t>
      </w:r>
      <w:r w:rsidRPr="00EE58F2">
        <w:rPr>
          <w:lang w:val="en-US"/>
        </w:rPr>
        <w:t xml:space="preserve"> such as UNICEF, UNHCR</w:t>
      </w:r>
      <w:r w:rsidR="007768B3">
        <w:rPr>
          <w:lang w:val="en-US"/>
        </w:rPr>
        <w:t>,</w:t>
      </w:r>
      <w:r w:rsidRPr="00EE58F2">
        <w:rPr>
          <w:lang w:val="en-US"/>
        </w:rPr>
        <w:t xml:space="preserve"> and WFP</w:t>
      </w:r>
      <w:r>
        <w:rPr>
          <w:lang w:val="en-US"/>
        </w:rPr>
        <w:t>,</w:t>
      </w:r>
      <w:r w:rsidRPr="00EE58F2">
        <w:rPr>
          <w:lang w:val="en-US"/>
        </w:rPr>
        <w:t xml:space="preserve"> rely primarily on voluntary contributions which are</w:t>
      </w:r>
      <w:r>
        <w:rPr>
          <w:lang w:val="en-US"/>
        </w:rPr>
        <w:t xml:space="preserve"> often</w:t>
      </w:r>
      <w:r w:rsidRPr="00EE58F2">
        <w:rPr>
          <w:lang w:val="en-US"/>
        </w:rPr>
        <w:t xml:space="preserve"> earmarked for specific projects and initiatives. Emergency</w:t>
      </w:r>
      <w:r>
        <w:rPr>
          <w:lang w:val="en-US"/>
        </w:rPr>
        <w:t>-</w:t>
      </w:r>
      <w:r w:rsidRPr="00EE58F2">
        <w:rPr>
          <w:lang w:val="en-US"/>
        </w:rPr>
        <w:t>related fundraising tends to account for a significant percentage of funds raised. These organizations have developed significant professional fundraising operations, seeking contributions from governments, the private sector, foundations, high</w:t>
      </w:r>
      <w:r>
        <w:rPr>
          <w:lang w:val="en-US"/>
        </w:rPr>
        <w:t>-</w:t>
      </w:r>
      <w:r w:rsidRPr="00EE58F2">
        <w:rPr>
          <w:lang w:val="en-US"/>
        </w:rPr>
        <w:t>net</w:t>
      </w:r>
      <w:r>
        <w:rPr>
          <w:lang w:val="en-US"/>
        </w:rPr>
        <w:t>-</w:t>
      </w:r>
      <w:r w:rsidRPr="00EE58F2">
        <w:rPr>
          <w:lang w:val="en-US"/>
        </w:rPr>
        <w:t>worth individuals</w:t>
      </w:r>
      <w:r w:rsidR="007768B3">
        <w:rPr>
          <w:lang w:val="en-US"/>
        </w:rPr>
        <w:t>,</w:t>
      </w:r>
      <w:r w:rsidRPr="00EE58F2">
        <w:rPr>
          <w:lang w:val="en-US"/>
        </w:rPr>
        <w:t xml:space="preserve"> and the </w:t>
      </w:r>
      <w:proofErr w:type="gramStart"/>
      <w:r w:rsidRPr="00EE58F2">
        <w:rPr>
          <w:lang w:val="en-US"/>
        </w:rPr>
        <w:t>general public</w:t>
      </w:r>
      <w:proofErr w:type="gramEnd"/>
      <w:r w:rsidRPr="00EE58F2">
        <w:rPr>
          <w:lang w:val="en-US"/>
        </w:rPr>
        <w:t>.</w:t>
      </w:r>
    </w:p>
    <w:p w14:paraId="21C22310" w14:textId="44DB9CA8" w:rsidR="00EE589E" w:rsidRPr="006110D5" w:rsidRDefault="00EE589E" w:rsidP="00C20D04">
      <w:pPr>
        <w:tabs>
          <w:tab w:val="clear" w:pos="567"/>
          <w:tab w:val="clear" w:pos="1134"/>
          <w:tab w:val="clear" w:pos="1701"/>
          <w:tab w:val="clear" w:pos="2268"/>
          <w:tab w:val="clear" w:pos="2835"/>
        </w:tabs>
        <w:overflowPunct/>
        <w:autoSpaceDE/>
        <w:autoSpaceDN/>
        <w:adjustRightInd/>
        <w:spacing w:after="120"/>
        <w:jc w:val="both"/>
        <w:textAlignment w:val="auto"/>
        <w:rPr>
          <w:rFonts w:eastAsia="Calibri" w:cs="Calibri"/>
          <w:szCs w:val="24"/>
          <w:lang w:val="en-US"/>
        </w:rPr>
      </w:pPr>
      <w:r w:rsidRPr="00EE58F2">
        <w:rPr>
          <w:lang w:val="en-US"/>
        </w:rPr>
        <w:t xml:space="preserve">On the other hand, organizations </w:t>
      </w:r>
      <w:r>
        <w:rPr>
          <w:lang w:val="en-US"/>
        </w:rPr>
        <w:t>such as</w:t>
      </w:r>
      <w:r w:rsidRPr="00EE58F2">
        <w:rPr>
          <w:lang w:val="en-US"/>
        </w:rPr>
        <w:t xml:space="preserve"> ITU, </w:t>
      </w:r>
      <w:r w:rsidR="00C20D04">
        <w:rPr>
          <w:lang w:val="en-US"/>
        </w:rPr>
        <w:t>the Universal Postal Union (</w:t>
      </w:r>
      <w:r w:rsidRPr="00EE58F2">
        <w:rPr>
          <w:lang w:val="en-US"/>
        </w:rPr>
        <w:t>UPU</w:t>
      </w:r>
      <w:r w:rsidR="00C20D04">
        <w:rPr>
          <w:lang w:val="en-US"/>
        </w:rPr>
        <w:t>)</w:t>
      </w:r>
      <w:r w:rsidRPr="00EE58F2">
        <w:rPr>
          <w:lang w:val="en-US"/>
        </w:rPr>
        <w:t xml:space="preserve">, </w:t>
      </w:r>
      <w:r w:rsidR="00C20D04">
        <w:rPr>
          <w:lang w:val="en-US"/>
        </w:rPr>
        <w:t xml:space="preserve">the </w:t>
      </w:r>
      <w:r w:rsidR="00C20D04" w:rsidRPr="00C20D04">
        <w:rPr>
          <w:lang w:val="en-US"/>
        </w:rPr>
        <w:t>International Atomic Energy Agency (IAEA)</w:t>
      </w:r>
      <w:r w:rsidRPr="00EE58F2">
        <w:rPr>
          <w:lang w:val="en-US"/>
        </w:rPr>
        <w:t xml:space="preserve">, </w:t>
      </w:r>
      <w:r w:rsidR="00C20D04">
        <w:rPr>
          <w:lang w:val="en-US"/>
        </w:rPr>
        <w:t xml:space="preserve">the </w:t>
      </w:r>
      <w:r w:rsidR="00C20D04" w:rsidRPr="00C20D04">
        <w:rPr>
          <w:lang w:val="en-US"/>
        </w:rPr>
        <w:t xml:space="preserve">International </w:t>
      </w:r>
      <w:proofErr w:type="spellStart"/>
      <w:r w:rsidR="00C20D04" w:rsidRPr="00C20D04">
        <w:rPr>
          <w:lang w:val="en-US"/>
        </w:rPr>
        <w:t>Labour</w:t>
      </w:r>
      <w:proofErr w:type="spellEnd"/>
      <w:r w:rsidR="00C20D04" w:rsidRPr="00C20D04">
        <w:rPr>
          <w:lang w:val="en-US"/>
        </w:rPr>
        <w:t xml:space="preserve"> Organization (ILO)</w:t>
      </w:r>
      <w:r w:rsidRPr="00EE58F2">
        <w:rPr>
          <w:lang w:val="en-US"/>
        </w:rPr>
        <w:t xml:space="preserve">, </w:t>
      </w:r>
      <w:r w:rsidR="00C20D04">
        <w:rPr>
          <w:lang w:val="en-US"/>
        </w:rPr>
        <w:t>t</w:t>
      </w:r>
      <w:r w:rsidR="00C20D04" w:rsidRPr="00C20D04">
        <w:rPr>
          <w:lang w:val="en-US"/>
        </w:rPr>
        <w:t>he International Maritime Organization (IMO</w:t>
      </w:r>
      <w:r w:rsidR="00C20D04">
        <w:rPr>
          <w:lang w:val="en-US"/>
        </w:rPr>
        <w:t>)</w:t>
      </w:r>
      <w:r w:rsidRPr="00EE58F2">
        <w:rPr>
          <w:lang w:val="en-US"/>
        </w:rPr>
        <w:t xml:space="preserve">, </w:t>
      </w:r>
      <w:r w:rsidR="00C20D04" w:rsidRPr="00C20D04">
        <w:rPr>
          <w:lang w:val="en-US"/>
        </w:rPr>
        <w:t>t</w:t>
      </w:r>
      <w:r w:rsidR="00C20D04" w:rsidRPr="00C20D04">
        <w:rPr>
          <w:lang w:val="en-US"/>
        </w:rPr>
        <w:t>he United Nations Educational, Scientific and Cultural Organization (UNESCO)</w:t>
      </w:r>
      <w:r>
        <w:rPr>
          <w:lang w:val="en-US"/>
        </w:rPr>
        <w:t xml:space="preserve"> and</w:t>
      </w:r>
      <w:r w:rsidRPr="00EE58F2">
        <w:rPr>
          <w:lang w:val="en-US"/>
        </w:rPr>
        <w:t xml:space="preserve"> </w:t>
      </w:r>
      <w:r w:rsidR="00C20D04">
        <w:rPr>
          <w:lang w:val="en-US"/>
        </w:rPr>
        <w:t>the World Meteorological Organization (</w:t>
      </w:r>
      <w:r w:rsidRPr="00EE58F2">
        <w:rPr>
          <w:lang w:val="en-US"/>
        </w:rPr>
        <w:t>WMO</w:t>
      </w:r>
      <w:r w:rsidR="00C20D04">
        <w:rPr>
          <w:lang w:val="en-US"/>
        </w:rPr>
        <w:t>)</w:t>
      </w:r>
      <w:r w:rsidRPr="00EE58F2">
        <w:rPr>
          <w:lang w:val="en-US"/>
        </w:rPr>
        <w:t xml:space="preserve"> generally rely primarily on assessed contributions to fund their operations and implement agreed </w:t>
      </w:r>
      <w:proofErr w:type="spellStart"/>
      <w:r w:rsidRPr="00EE58F2">
        <w:rPr>
          <w:lang w:val="en-US"/>
        </w:rPr>
        <w:t>programmes</w:t>
      </w:r>
      <w:proofErr w:type="spellEnd"/>
      <w:r w:rsidRPr="00EE58F2">
        <w:rPr>
          <w:lang w:val="en-US"/>
        </w:rPr>
        <w:t xml:space="preserve"> of work, in some cases supplemented by voluntary contributions for </w:t>
      </w:r>
      <w:r w:rsidRPr="00EE58F2">
        <w:rPr>
          <w:lang w:val="en-US"/>
        </w:rPr>
        <w:t xml:space="preserve">projects and special initiatives. </w:t>
      </w:r>
      <w:r w:rsidR="00C20D04">
        <w:rPr>
          <w:lang w:val="en-US"/>
        </w:rPr>
        <w:t xml:space="preserve">The </w:t>
      </w:r>
      <w:r w:rsidR="00C20D04" w:rsidRPr="00C20D04">
        <w:rPr>
          <w:lang w:val="en-US"/>
        </w:rPr>
        <w:t>World Intellectual Property Organization</w:t>
      </w:r>
      <w:r w:rsidR="00C20D04" w:rsidRPr="00C20D04">
        <w:rPr>
          <w:lang w:val="en-US"/>
        </w:rPr>
        <w:t xml:space="preserve"> </w:t>
      </w:r>
      <w:r w:rsidR="00C20D04">
        <w:rPr>
          <w:lang w:val="en-US"/>
        </w:rPr>
        <w:t>(</w:t>
      </w:r>
      <w:r w:rsidRPr="00EE58F2">
        <w:rPr>
          <w:lang w:val="en-US"/>
        </w:rPr>
        <w:t>WIPO</w:t>
      </w:r>
      <w:r w:rsidR="00C20D04">
        <w:rPr>
          <w:lang w:val="en-US"/>
        </w:rPr>
        <w:t>)</w:t>
      </w:r>
      <w:r w:rsidRPr="00EE58F2">
        <w:rPr>
          <w:lang w:val="en-US"/>
        </w:rPr>
        <w:t xml:space="preserve"> stands out as having developed a business model that generates </w:t>
      </w:r>
      <w:proofErr w:type="gramStart"/>
      <w:r w:rsidRPr="00EE58F2">
        <w:rPr>
          <w:lang w:val="en-US"/>
        </w:rPr>
        <w:t>the vast majority of</w:t>
      </w:r>
      <w:proofErr w:type="gramEnd"/>
      <w:r w:rsidRPr="00EE58F2">
        <w:rPr>
          <w:lang w:val="en-US"/>
        </w:rPr>
        <w:t xml:space="preserve"> its revenues from its patent-related services.</w:t>
      </w:r>
    </w:p>
    <w:p w14:paraId="5E7D7432" w14:textId="10716564" w:rsidR="00C20D04" w:rsidRDefault="00EE589E" w:rsidP="00C20D04">
      <w:pPr>
        <w:tabs>
          <w:tab w:val="clear" w:pos="567"/>
          <w:tab w:val="clear" w:pos="1134"/>
          <w:tab w:val="clear" w:pos="1701"/>
          <w:tab w:val="clear" w:pos="2268"/>
          <w:tab w:val="clear" w:pos="2835"/>
        </w:tabs>
        <w:overflowPunct/>
        <w:autoSpaceDE/>
        <w:autoSpaceDN/>
        <w:adjustRightInd/>
        <w:spacing w:after="120"/>
        <w:jc w:val="both"/>
        <w:textAlignment w:val="auto"/>
        <w:rPr>
          <w:spacing w:val="-2"/>
          <w:lang w:val="en-US"/>
        </w:rPr>
      </w:pPr>
      <w:r w:rsidRPr="006110D5">
        <w:rPr>
          <w:spacing w:val="-2"/>
          <w:lang w:val="en-US"/>
        </w:rPr>
        <w:t xml:space="preserve">Several United Nations agencies have had a recent budget increase, including </w:t>
      </w:r>
      <w:r w:rsidR="00C20D04">
        <w:rPr>
          <w:spacing w:val="-2"/>
          <w:lang w:val="en-US"/>
        </w:rPr>
        <w:t>the International Organization for Migration (</w:t>
      </w:r>
      <w:r w:rsidRPr="006110D5">
        <w:rPr>
          <w:spacing w:val="-2"/>
          <w:lang w:val="en-US"/>
        </w:rPr>
        <w:t>IOM</w:t>
      </w:r>
      <w:r w:rsidR="00C20D04">
        <w:rPr>
          <w:spacing w:val="-2"/>
          <w:lang w:val="en-US"/>
        </w:rPr>
        <w:t>)</w:t>
      </w:r>
      <w:r w:rsidRPr="006110D5">
        <w:rPr>
          <w:spacing w:val="-2"/>
          <w:lang w:val="en-US"/>
        </w:rPr>
        <w:t xml:space="preserve">, </w:t>
      </w:r>
      <w:r w:rsidR="00C20D04">
        <w:rPr>
          <w:spacing w:val="-2"/>
          <w:lang w:val="en-US"/>
        </w:rPr>
        <w:t>the World Health Organization (</w:t>
      </w:r>
      <w:r w:rsidRPr="006110D5">
        <w:rPr>
          <w:spacing w:val="-2"/>
          <w:lang w:val="en-US"/>
        </w:rPr>
        <w:t>WHO</w:t>
      </w:r>
      <w:r w:rsidR="00C20D04">
        <w:rPr>
          <w:spacing w:val="-2"/>
          <w:lang w:val="en-US"/>
        </w:rPr>
        <w:t>)</w:t>
      </w:r>
      <w:r w:rsidRPr="006110D5">
        <w:rPr>
          <w:spacing w:val="-2"/>
          <w:lang w:val="en-US"/>
        </w:rPr>
        <w:t xml:space="preserve">, </w:t>
      </w:r>
      <w:r w:rsidR="4E80A3EE" w:rsidRPr="006110D5">
        <w:rPr>
          <w:spacing w:val="-2"/>
          <w:lang w:val="en-US"/>
        </w:rPr>
        <w:t xml:space="preserve">UPU, and </w:t>
      </w:r>
      <w:r w:rsidRPr="006110D5">
        <w:rPr>
          <w:spacing w:val="-2"/>
          <w:lang w:val="en-US"/>
        </w:rPr>
        <w:t>WMO.</w:t>
      </w:r>
    </w:p>
    <w:p w14:paraId="2CA5AA31" w14:textId="61CC8953" w:rsidR="00EE589E" w:rsidRPr="00EE58F2" w:rsidRDefault="00EE589E" w:rsidP="00C20D04">
      <w:pPr>
        <w:tabs>
          <w:tab w:val="clear" w:pos="567"/>
          <w:tab w:val="clear" w:pos="1134"/>
          <w:tab w:val="clear" w:pos="1701"/>
          <w:tab w:val="clear" w:pos="2268"/>
          <w:tab w:val="clear" w:pos="2835"/>
        </w:tabs>
        <w:overflowPunct/>
        <w:autoSpaceDE/>
        <w:autoSpaceDN/>
        <w:adjustRightInd/>
        <w:spacing w:before="240" w:after="120"/>
        <w:jc w:val="both"/>
        <w:textAlignment w:val="auto"/>
        <w:rPr>
          <w:b/>
          <w:bCs/>
          <w:lang w:val="en-US"/>
        </w:rPr>
      </w:pPr>
      <w:r w:rsidRPr="4A92F946">
        <w:rPr>
          <w:b/>
          <w:bCs/>
          <w:lang w:val="en-US"/>
        </w:rPr>
        <w:t>2.3</w:t>
      </w:r>
      <w:r>
        <w:tab/>
      </w:r>
      <w:r w:rsidRPr="4A92F946">
        <w:rPr>
          <w:b/>
          <w:bCs/>
          <w:lang w:val="en-US"/>
        </w:rPr>
        <w:t>Perception assessment of ITU from key stakeholders</w:t>
      </w:r>
    </w:p>
    <w:p w14:paraId="6A7EEDCB" w14:textId="60A0810F" w:rsidR="00EE589E" w:rsidRPr="00EE58F2" w:rsidRDefault="00EE589E" w:rsidP="00EE589E">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06E40E5D">
        <w:rPr>
          <w:lang w:val="en-US"/>
        </w:rPr>
        <w:t xml:space="preserve">ITU and BCG collected feedback from stakeholders internally and externally, including from Member States, the private sector, </w:t>
      </w:r>
      <w:r w:rsidR="293EF911" w:rsidRPr="06E40E5D">
        <w:rPr>
          <w:lang w:val="en-US"/>
        </w:rPr>
        <w:t>civil society</w:t>
      </w:r>
      <w:r w:rsidR="76335D2F" w:rsidRPr="06E40E5D">
        <w:rPr>
          <w:lang w:val="en-US"/>
        </w:rPr>
        <w:t>,</w:t>
      </w:r>
      <w:r w:rsidRPr="06E40E5D">
        <w:rPr>
          <w:lang w:val="en-US"/>
        </w:rPr>
        <w:t xml:space="preserve"> and peer United Nations agencies, </w:t>
      </w:r>
      <w:r w:rsidR="4E7A19CA" w:rsidRPr="06E40E5D">
        <w:rPr>
          <w:lang w:val="en-US"/>
        </w:rPr>
        <w:t xml:space="preserve">- in total </w:t>
      </w:r>
      <w:r w:rsidRPr="06E40E5D">
        <w:rPr>
          <w:lang w:val="en-US"/>
        </w:rPr>
        <w:t>over 70 interviews, and over 100 documents and reports</w:t>
      </w:r>
      <w:r w:rsidR="0C0757B9" w:rsidRPr="06E40E5D">
        <w:rPr>
          <w:lang w:val="en-US"/>
        </w:rPr>
        <w:t xml:space="preserve"> analyzed</w:t>
      </w:r>
      <w:r w:rsidRPr="06E40E5D">
        <w:rPr>
          <w:lang w:val="en-US"/>
        </w:rPr>
        <w:t>. Several key learnings that came from this exercise, which also echo the outcomes of the Visioning Exercise and Senior Management Retreat, highlight key opportunity areas for increasing ITU’s value and impact:</w:t>
      </w:r>
    </w:p>
    <w:p w14:paraId="22757657" w14:textId="77777777" w:rsidR="00EE589E" w:rsidRPr="00EE58F2" w:rsidRDefault="00EE589E" w:rsidP="00EE589E">
      <w:pPr>
        <w:numPr>
          <w:ilvl w:val="0"/>
          <w:numId w:val="2"/>
        </w:numPr>
        <w:tabs>
          <w:tab w:val="clear" w:pos="567"/>
          <w:tab w:val="clear" w:pos="1134"/>
          <w:tab w:val="clear" w:pos="1701"/>
          <w:tab w:val="clear" w:pos="2268"/>
          <w:tab w:val="clear" w:pos="2835"/>
        </w:tabs>
        <w:overflowPunct/>
        <w:autoSpaceDE/>
        <w:autoSpaceDN/>
        <w:adjustRightInd/>
        <w:spacing w:before="60" w:after="60"/>
        <w:ind w:hanging="436"/>
        <w:jc w:val="both"/>
        <w:textAlignment w:val="auto"/>
        <w:rPr>
          <w:lang w:val="en-US"/>
        </w:rPr>
      </w:pPr>
      <w:r w:rsidRPr="00EE58F2">
        <w:rPr>
          <w:lang w:val="en-US"/>
        </w:rPr>
        <w:t xml:space="preserve">Position </w:t>
      </w:r>
      <w:r>
        <w:rPr>
          <w:lang w:val="en-US"/>
        </w:rPr>
        <w:t xml:space="preserve">ITU </w:t>
      </w:r>
      <w:r w:rsidRPr="00EE58F2">
        <w:rPr>
          <w:lang w:val="en-US"/>
        </w:rPr>
        <w:t xml:space="preserve">as an organization </w:t>
      </w:r>
      <w:r>
        <w:rPr>
          <w:lang w:val="en-US"/>
        </w:rPr>
        <w:t>that is</w:t>
      </w:r>
      <w:r w:rsidRPr="00EE58F2">
        <w:rPr>
          <w:lang w:val="en-US"/>
        </w:rPr>
        <w:t xml:space="preserve"> fit-for-purpose, demonstrating </w:t>
      </w:r>
      <w:proofErr w:type="gramStart"/>
      <w:r w:rsidRPr="00EE58F2">
        <w:rPr>
          <w:lang w:val="en-US"/>
        </w:rPr>
        <w:t>impact;</w:t>
      </w:r>
      <w:proofErr w:type="gramEnd"/>
      <w:r w:rsidRPr="00EE58F2">
        <w:rPr>
          <w:lang w:val="en-US"/>
        </w:rPr>
        <w:t xml:space="preserve"> </w:t>
      </w:r>
    </w:p>
    <w:p w14:paraId="0F49A92C" w14:textId="4A45E4AB" w:rsidR="00EE589E" w:rsidRPr="00EE58F2" w:rsidRDefault="00EE589E" w:rsidP="00EE589E">
      <w:pPr>
        <w:numPr>
          <w:ilvl w:val="0"/>
          <w:numId w:val="2"/>
        </w:numPr>
        <w:tabs>
          <w:tab w:val="clear" w:pos="567"/>
          <w:tab w:val="clear" w:pos="1134"/>
          <w:tab w:val="clear" w:pos="1701"/>
          <w:tab w:val="clear" w:pos="2268"/>
          <w:tab w:val="clear" w:pos="2835"/>
        </w:tabs>
        <w:overflowPunct/>
        <w:autoSpaceDE/>
        <w:autoSpaceDN/>
        <w:adjustRightInd/>
        <w:spacing w:before="60" w:after="60"/>
        <w:ind w:hanging="436"/>
        <w:jc w:val="both"/>
        <w:textAlignment w:val="auto"/>
        <w:rPr>
          <w:lang w:val="en-US"/>
        </w:rPr>
      </w:pPr>
      <w:r w:rsidRPr="00EE58F2">
        <w:rPr>
          <w:lang w:val="en-US"/>
        </w:rPr>
        <w:t>Increase private</w:t>
      </w:r>
      <w:r w:rsidR="0071342C">
        <w:rPr>
          <w:lang w:val="en-US"/>
        </w:rPr>
        <w:t xml:space="preserve"> </w:t>
      </w:r>
      <w:r w:rsidRPr="00EE58F2">
        <w:rPr>
          <w:lang w:val="en-US"/>
        </w:rPr>
        <w:t xml:space="preserve">sector </w:t>
      </w:r>
      <w:proofErr w:type="gramStart"/>
      <w:r w:rsidRPr="00EE58F2">
        <w:rPr>
          <w:lang w:val="en-US"/>
        </w:rPr>
        <w:t>engagement;</w:t>
      </w:r>
      <w:proofErr w:type="gramEnd"/>
    </w:p>
    <w:p w14:paraId="17EBADFE" w14:textId="77777777" w:rsidR="00EE589E" w:rsidRPr="00EE58F2" w:rsidRDefault="00EE589E" w:rsidP="00EE589E">
      <w:pPr>
        <w:numPr>
          <w:ilvl w:val="0"/>
          <w:numId w:val="2"/>
        </w:numPr>
        <w:tabs>
          <w:tab w:val="clear" w:pos="567"/>
          <w:tab w:val="clear" w:pos="1134"/>
          <w:tab w:val="clear" w:pos="1701"/>
          <w:tab w:val="clear" w:pos="2268"/>
          <w:tab w:val="clear" w:pos="2835"/>
        </w:tabs>
        <w:overflowPunct/>
        <w:autoSpaceDE/>
        <w:autoSpaceDN/>
        <w:adjustRightInd/>
        <w:spacing w:before="60" w:after="60"/>
        <w:ind w:hanging="436"/>
        <w:jc w:val="both"/>
        <w:textAlignment w:val="auto"/>
        <w:rPr>
          <w:lang w:val="en-US"/>
        </w:rPr>
      </w:pPr>
      <w:r w:rsidRPr="00EE58F2">
        <w:rPr>
          <w:lang w:val="en-US"/>
        </w:rPr>
        <w:t xml:space="preserve">Update legacy structures </w:t>
      </w:r>
      <w:r>
        <w:rPr>
          <w:lang w:val="en-US"/>
        </w:rPr>
        <w:t>and</w:t>
      </w:r>
      <w:r w:rsidRPr="00EE58F2">
        <w:rPr>
          <w:lang w:val="en-US"/>
        </w:rPr>
        <w:t xml:space="preserve"> simplify </w:t>
      </w:r>
      <w:proofErr w:type="gramStart"/>
      <w:r w:rsidRPr="00EE58F2">
        <w:rPr>
          <w:lang w:val="en-US"/>
        </w:rPr>
        <w:t>processes;</w:t>
      </w:r>
      <w:proofErr w:type="gramEnd"/>
    </w:p>
    <w:p w14:paraId="477E94CF" w14:textId="77777777" w:rsidR="00EE589E" w:rsidRPr="00EE58F2" w:rsidRDefault="00EE589E" w:rsidP="00EE589E">
      <w:pPr>
        <w:numPr>
          <w:ilvl w:val="0"/>
          <w:numId w:val="2"/>
        </w:numPr>
        <w:tabs>
          <w:tab w:val="clear" w:pos="567"/>
          <w:tab w:val="clear" w:pos="1134"/>
          <w:tab w:val="clear" w:pos="1701"/>
          <w:tab w:val="clear" w:pos="2268"/>
          <w:tab w:val="clear" w:pos="2835"/>
        </w:tabs>
        <w:overflowPunct/>
        <w:autoSpaceDE/>
        <w:autoSpaceDN/>
        <w:adjustRightInd/>
        <w:spacing w:before="60" w:after="60"/>
        <w:ind w:hanging="436"/>
        <w:jc w:val="both"/>
        <w:textAlignment w:val="auto"/>
        <w:rPr>
          <w:lang w:val="en-US"/>
        </w:rPr>
      </w:pPr>
      <w:r w:rsidRPr="00EE58F2">
        <w:rPr>
          <w:lang w:val="en-US"/>
        </w:rPr>
        <w:t xml:space="preserve">Structure data better and share </w:t>
      </w:r>
      <w:proofErr w:type="gramStart"/>
      <w:r w:rsidRPr="00EE58F2">
        <w:rPr>
          <w:lang w:val="en-US"/>
        </w:rPr>
        <w:t>knowledge;</w:t>
      </w:r>
      <w:proofErr w:type="gramEnd"/>
    </w:p>
    <w:p w14:paraId="5E1F9121" w14:textId="77777777" w:rsidR="00EE589E" w:rsidRDefault="00EE589E" w:rsidP="006110D5">
      <w:pPr>
        <w:numPr>
          <w:ilvl w:val="0"/>
          <w:numId w:val="2"/>
        </w:numPr>
        <w:tabs>
          <w:tab w:val="clear" w:pos="567"/>
          <w:tab w:val="clear" w:pos="1134"/>
          <w:tab w:val="clear" w:pos="1701"/>
          <w:tab w:val="clear" w:pos="2268"/>
          <w:tab w:val="clear" w:pos="2835"/>
        </w:tabs>
        <w:overflowPunct/>
        <w:autoSpaceDE/>
        <w:autoSpaceDN/>
        <w:adjustRightInd/>
        <w:spacing w:before="60"/>
        <w:ind w:hanging="436"/>
        <w:jc w:val="both"/>
        <w:textAlignment w:val="auto"/>
        <w:rPr>
          <w:lang w:val="en-US"/>
        </w:rPr>
      </w:pPr>
      <w:r w:rsidRPr="00EE58F2">
        <w:rPr>
          <w:lang w:val="en-US"/>
        </w:rPr>
        <w:t>Enhance coordinated outreach with stakeholders</w:t>
      </w:r>
      <w:r>
        <w:rPr>
          <w:lang w:val="en-US"/>
        </w:rPr>
        <w:t>.</w:t>
      </w:r>
    </w:p>
    <w:p w14:paraId="7AC315DB" w14:textId="02852169" w:rsidR="00EE589E" w:rsidRPr="00EE58F2" w:rsidRDefault="00EE589E" w:rsidP="00EE589E">
      <w:pPr>
        <w:tabs>
          <w:tab w:val="clear" w:pos="567"/>
          <w:tab w:val="clear" w:pos="1134"/>
          <w:tab w:val="clear" w:pos="1701"/>
          <w:tab w:val="clear" w:pos="2268"/>
          <w:tab w:val="clear" w:pos="2835"/>
        </w:tabs>
        <w:overflowPunct/>
        <w:autoSpaceDE/>
        <w:autoSpaceDN/>
        <w:adjustRightInd/>
        <w:spacing w:before="240" w:after="120"/>
        <w:jc w:val="both"/>
        <w:textAlignment w:val="auto"/>
        <w:rPr>
          <w:b/>
          <w:bCs/>
          <w:lang w:val="en-US"/>
        </w:rPr>
      </w:pPr>
      <w:r w:rsidRPr="4A92F946">
        <w:rPr>
          <w:b/>
          <w:bCs/>
          <w:lang w:val="en-US"/>
        </w:rPr>
        <w:t>2.4</w:t>
      </w:r>
      <w:r>
        <w:tab/>
      </w:r>
      <w:r w:rsidRPr="4A92F946">
        <w:rPr>
          <w:b/>
          <w:bCs/>
          <w:lang w:val="en-US"/>
        </w:rPr>
        <w:t>Risk management</w:t>
      </w:r>
    </w:p>
    <w:p w14:paraId="292A5A7C" w14:textId="3D692130" w:rsidR="00EE589E" w:rsidRDefault="00EE589E" w:rsidP="00EE589E">
      <w:pPr>
        <w:tabs>
          <w:tab w:val="clear" w:pos="567"/>
          <w:tab w:val="clear" w:pos="1134"/>
          <w:tab w:val="clear" w:pos="1701"/>
          <w:tab w:val="clear" w:pos="2268"/>
          <w:tab w:val="clear" w:pos="2835"/>
        </w:tabs>
        <w:overflowPunct/>
        <w:autoSpaceDE/>
        <w:autoSpaceDN/>
        <w:adjustRightInd/>
        <w:spacing w:after="120"/>
        <w:jc w:val="both"/>
        <w:textAlignment w:val="auto"/>
      </w:pPr>
      <w:r w:rsidRPr="06E40E5D">
        <w:rPr>
          <w:lang w:val="en-US"/>
        </w:rPr>
        <w:t xml:space="preserve">As ITU </w:t>
      </w:r>
      <w:r w:rsidR="6DE161C3" w:rsidRPr="06E40E5D">
        <w:rPr>
          <w:lang w:val="en-US"/>
        </w:rPr>
        <w:t>reinforces its</w:t>
      </w:r>
      <w:r w:rsidRPr="06E40E5D">
        <w:rPr>
          <w:lang w:val="en-US"/>
        </w:rPr>
        <w:t xml:space="preserve"> efforts to raise extra-budgetary funding, and increasingly from entities outside of its membership, it is essential that steps be taken to minimize risks and protect the reputation and neutrality of the Union. To this end, ITU has implemented policies and procedures to strengthen its risk management in relation to partnerships and fundraising, </w:t>
      </w:r>
      <w:r>
        <w:lastRenderedPageBreak/>
        <w:t xml:space="preserve">including </w:t>
      </w:r>
      <w:r w:rsidR="7B5A1891">
        <w:t xml:space="preserve">through </w:t>
      </w:r>
      <w:r>
        <w:t>Service Order 20/03, ITU guidelines for event-related sponsorship, introduced in 2020 and, more recently, Service Order 22/12, ITU guidelines on due diligence for non-member private-sector entities, introduced in late 2022, which require ITU staff to screen any non-ITU Member entity before finalizing any formal agreement. This due diligence procedure responds to recommendations from the external and internal auditors and is based on best practices within the United Nations system that have been adapted to ITU’s situation.</w:t>
      </w:r>
    </w:p>
    <w:p w14:paraId="58DE1E7D" w14:textId="3031E2FE" w:rsidR="00EE589E" w:rsidRPr="00EE58F2" w:rsidRDefault="00EE589E" w:rsidP="00EE589E">
      <w:pPr>
        <w:tabs>
          <w:tab w:val="clear" w:pos="567"/>
          <w:tab w:val="clear" w:pos="1134"/>
          <w:tab w:val="clear" w:pos="1701"/>
          <w:tab w:val="clear" w:pos="2268"/>
          <w:tab w:val="clear" w:pos="2835"/>
        </w:tabs>
        <w:overflowPunct/>
        <w:autoSpaceDE/>
        <w:autoSpaceDN/>
        <w:adjustRightInd/>
        <w:spacing w:after="120"/>
        <w:jc w:val="both"/>
        <w:textAlignment w:val="auto"/>
      </w:pPr>
      <w:r>
        <w:t xml:space="preserve">Looking ahead, if ITU is to scale up voluntary contributions, it will be important to do so in a way that does not give excessive visibility or influence </w:t>
      </w:r>
      <w:proofErr w:type="gramStart"/>
      <w:r>
        <w:t>to</w:t>
      </w:r>
      <w:proofErr w:type="gramEnd"/>
      <w:r>
        <w:t xml:space="preserve"> a few major donors. While some donors may want ITU to align with their practices, it is essential that ITU follows its own rules and procedures when implementing donor-funded initiatives</w:t>
      </w:r>
      <w:r w:rsidR="2B87E310">
        <w:t xml:space="preserve"> to ensure fairness and transparency and </w:t>
      </w:r>
      <w:r w:rsidR="53D326CD">
        <w:t xml:space="preserve">consistent </w:t>
      </w:r>
      <w:r w:rsidR="2B87E310">
        <w:t>implementation of instructions from governing</w:t>
      </w:r>
      <w:r w:rsidR="722E82D5">
        <w:t xml:space="preserve"> bodies</w:t>
      </w:r>
      <w:r>
        <w:t xml:space="preserve">. Likewise, ITU will need to ensure that varied donor reporting requirements do not impose excessive administrative burden, especially if this cost is not fully covered by the project funding. </w:t>
      </w:r>
    </w:p>
    <w:p w14:paraId="4A13B99A" w14:textId="12C1C161" w:rsidR="00EE589E" w:rsidRPr="00EE58F2" w:rsidRDefault="00EE589E" w:rsidP="00EE589E">
      <w:pPr>
        <w:tabs>
          <w:tab w:val="clear" w:pos="567"/>
          <w:tab w:val="clear" w:pos="1134"/>
          <w:tab w:val="clear" w:pos="1701"/>
          <w:tab w:val="clear" w:pos="2268"/>
          <w:tab w:val="clear" w:pos="2835"/>
        </w:tabs>
        <w:overflowPunct/>
        <w:autoSpaceDE/>
        <w:autoSpaceDN/>
        <w:adjustRightInd/>
        <w:spacing w:before="240" w:after="120"/>
        <w:jc w:val="both"/>
        <w:textAlignment w:val="auto"/>
        <w:rPr>
          <w:b/>
          <w:bCs/>
          <w:lang w:val="en-US"/>
        </w:rPr>
      </w:pPr>
      <w:r w:rsidRPr="06E40E5D">
        <w:rPr>
          <w:b/>
          <w:bCs/>
          <w:lang w:val="en-US"/>
        </w:rPr>
        <w:t>2.5</w:t>
      </w:r>
      <w:r>
        <w:tab/>
      </w:r>
      <w:r w:rsidR="61451BEF" w:rsidRPr="06E40E5D">
        <w:rPr>
          <w:b/>
          <w:bCs/>
          <w:lang w:val="en-US"/>
        </w:rPr>
        <w:t>W</w:t>
      </w:r>
      <w:r w:rsidRPr="06E40E5D">
        <w:rPr>
          <w:b/>
          <w:bCs/>
          <w:lang w:val="en-US"/>
        </w:rPr>
        <w:t xml:space="preserve">ay forward: Three main “areas of action”: </w:t>
      </w:r>
    </w:p>
    <w:p w14:paraId="71C4318B" w14:textId="1D881079" w:rsidR="00EE589E" w:rsidRDefault="00EE589E" w:rsidP="00EE589E">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Pr>
          <w:lang w:val="en-US"/>
        </w:rPr>
        <w:t>The recommended strategy going forward is built upon three main areas of action: strengthen membership; leverage events, products</w:t>
      </w:r>
      <w:r w:rsidR="008A1A75">
        <w:rPr>
          <w:lang w:val="en-US"/>
        </w:rPr>
        <w:t>,</w:t>
      </w:r>
      <w:r>
        <w:rPr>
          <w:lang w:val="en-US"/>
        </w:rPr>
        <w:t xml:space="preserve"> and services; and increase voluntary contributions. Each of these areas will be further developed and enhanced through </w:t>
      </w:r>
      <w:r>
        <w:rPr>
          <w:lang w:val="en-US"/>
        </w:rPr>
        <w:t xml:space="preserve">coordinated efforts across the </w:t>
      </w:r>
      <w:r w:rsidR="0071342C">
        <w:rPr>
          <w:lang w:val="en-US"/>
        </w:rPr>
        <w:t>General Secretariat</w:t>
      </w:r>
      <w:r>
        <w:rPr>
          <w:lang w:val="en-US"/>
        </w:rPr>
        <w:t xml:space="preserve">, the </w:t>
      </w:r>
      <w:proofErr w:type="spellStart"/>
      <w:proofErr w:type="gramStart"/>
      <w:r w:rsidR="0071342C">
        <w:rPr>
          <w:lang w:val="en-US"/>
        </w:rPr>
        <w:t>Bureaux</w:t>
      </w:r>
      <w:proofErr w:type="spellEnd"/>
      <w:proofErr w:type="gramEnd"/>
      <w:r w:rsidR="0071342C">
        <w:rPr>
          <w:lang w:val="en-US"/>
        </w:rPr>
        <w:t xml:space="preserve"> </w:t>
      </w:r>
      <w:r>
        <w:rPr>
          <w:lang w:val="en-US"/>
        </w:rPr>
        <w:t>and the field offices.</w:t>
      </w:r>
    </w:p>
    <w:p w14:paraId="33A8BE3A" w14:textId="60EE742D" w:rsidR="00EE589E" w:rsidRPr="0062378F" w:rsidRDefault="00EE589E" w:rsidP="006110D5">
      <w:pPr>
        <w:pStyle w:val="ListParagraph"/>
        <w:numPr>
          <w:ilvl w:val="0"/>
          <w:numId w:val="5"/>
        </w:numPr>
        <w:tabs>
          <w:tab w:val="clear" w:pos="567"/>
          <w:tab w:val="clear" w:pos="1134"/>
          <w:tab w:val="clear" w:pos="1701"/>
          <w:tab w:val="clear" w:pos="2268"/>
          <w:tab w:val="clear" w:pos="2835"/>
        </w:tabs>
        <w:overflowPunct/>
        <w:autoSpaceDE/>
        <w:autoSpaceDN/>
        <w:adjustRightInd/>
        <w:spacing w:before="240" w:after="120"/>
        <w:ind w:left="284" w:firstLine="0"/>
        <w:jc w:val="both"/>
        <w:textAlignment w:val="auto"/>
        <w:rPr>
          <w:b/>
          <w:lang w:val="en-AU"/>
        </w:rPr>
      </w:pPr>
      <w:r>
        <w:rPr>
          <w:b/>
          <w:bCs/>
          <w:u w:val="single"/>
          <w:lang w:val="en-AU"/>
        </w:rPr>
        <w:t xml:space="preserve">Strengthen </w:t>
      </w:r>
      <w:r w:rsidR="0071342C">
        <w:rPr>
          <w:b/>
          <w:bCs/>
          <w:u w:val="single"/>
          <w:lang w:val="en-AU"/>
        </w:rPr>
        <w:t>m</w:t>
      </w:r>
      <w:r>
        <w:rPr>
          <w:b/>
          <w:bCs/>
          <w:u w:val="single"/>
          <w:lang w:val="en-AU"/>
        </w:rPr>
        <w:t>embership (</w:t>
      </w:r>
      <w:r>
        <w:rPr>
          <w:b/>
          <w:bCs/>
          <w:u w:val="single"/>
          <w:lang w:val="en-US"/>
        </w:rPr>
        <w:t>~</w:t>
      </w:r>
      <w:r>
        <w:rPr>
          <w:b/>
          <w:bCs/>
          <w:u w:val="single"/>
          <w:lang w:val="en-AU"/>
        </w:rPr>
        <w:t>80% of ITU’s regular budget):</w:t>
      </w:r>
    </w:p>
    <w:p w14:paraId="091FB962" w14:textId="7E3D751E" w:rsidR="00EE589E" w:rsidRPr="000F3EF5" w:rsidRDefault="00EE589E" w:rsidP="06E40E5D">
      <w:pPr>
        <w:tabs>
          <w:tab w:val="clear" w:pos="567"/>
          <w:tab w:val="clear" w:pos="1134"/>
          <w:tab w:val="clear" w:pos="1701"/>
          <w:tab w:val="clear" w:pos="2268"/>
          <w:tab w:val="clear" w:pos="2835"/>
          <w:tab w:val="left" w:pos="720"/>
        </w:tabs>
        <w:overflowPunct/>
        <w:autoSpaceDE/>
        <w:autoSpaceDN/>
        <w:adjustRightInd/>
        <w:spacing w:after="120"/>
        <w:jc w:val="both"/>
        <w:textAlignment w:val="auto"/>
        <w:rPr>
          <w:rFonts w:asciiTheme="minorHAnsi" w:eastAsia="Calibri" w:hAnsiTheme="minorHAnsi" w:cstheme="minorBidi"/>
          <w:color w:val="000000" w:themeColor="text1"/>
          <w:lang w:val="en-US"/>
        </w:rPr>
      </w:pPr>
      <w:r w:rsidRPr="06E40E5D">
        <w:rPr>
          <w:rFonts w:asciiTheme="minorHAnsi" w:eastAsia="Calibri" w:hAnsiTheme="minorHAnsi" w:cstheme="minorBidi"/>
          <w:color w:val="000000" w:themeColor="text1"/>
          <w:lang w:val="en-US"/>
        </w:rPr>
        <w:t>During the CWG-FHR brainstorming session, Member States expressed an interest in making the case for</w:t>
      </w:r>
      <w:r w:rsidR="54F9EF42" w:rsidRPr="06E40E5D">
        <w:rPr>
          <w:rFonts w:asciiTheme="minorHAnsi" w:eastAsia="Calibri" w:hAnsiTheme="minorHAnsi" w:cstheme="minorBidi"/>
          <w:color w:val="000000" w:themeColor="text1"/>
          <w:lang w:val="en-US"/>
        </w:rPr>
        <w:t xml:space="preserve"> an increase in</w:t>
      </w:r>
      <w:r w:rsidRPr="06E40E5D">
        <w:rPr>
          <w:rFonts w:asciiTheme="minorHAnsi" w:eastAsia="Calibri" w:hAnsiTheme="minorHAnsi" w:cstheme="minorBidi"/>
          <w:color w:val="000000" w:themeColor="text1"/>
          <w:lang w:val="en-US"/>
        </w:rPr>
        <w:t xml:space="preserve"> ITU contributory units but sought the support of the secretariat in doing so. </w:t>
      </w:r>
      <w:r w:rsidR="1632824A" w:rsidRPr="06E40E5D">
        <w:rPr>
          <w:rFonts w:asciiTheme="minorHAnsi" w:eastAsia="Calibri" w:hAnsiTheme="minorHAnsi" w:cstheme="minorBidi"/>
          <w:color w:val="000000" w:themeColor="text1"/>
          <w:lang w:val="en-US"/>
        </w:rPr>
        <w:t>Members noted that</w:t>
      </w:r>
      <w:r w:rsidR="06E33860" w:rsidRPr="06E40E5D">
        <w:rPr>
          <w:rFonts w:asciiTheme="minorHAnsi" w:eastAsia="Calibri" w:hAnsiTheme="minorHAnsi" w:cstheme="minorBidi"/>
          <w:color w:val="000000" w:themeColor="text1"/>
          <w:lang w:val="en-US"/>
        </w:rPr>
        <w:t xml:space="preserve"> </w:t>
      </w:r>
      <w:r w:rsidRPr="06E40E5D">
        <w:rPr>
          <w:rFonts w:asciiTheme="minorHAnsi" w:eastAsia="Calibri" w:hAnsiTheme="minorHAnsi" w:cstheme="minorBidi"/>
          <w:color w:val="000000" w:themeColor="text1"/>
          <w:lang w:val="en-US"/>
        </w:rPr>
        <w:t xml:space="preserve">greater transparency </w:t>
      </w:r>
      <w:r w:rsidR="0CA465F3" w:rsidRPr="06E40E5D">
        <w:rPr>
          <w:rFonts w:asciiTheme="minorHAnsi" w:eastAsia="Calibri" w:hAnsiTheme="minorHAnsi" w:cstheme="minorBidi"/>
          <w:color w:val="000000" w:themeColor="text1"/>
          <w:lang w:val="en-US"/>
        </w:rPr>
        <w:t xml:space="preserve">is key </w:t>
      </w:r>
      <w:r w:rsidRPr="06E40E5D">
        <w:rPr>
          <w:rFonts w:asciiTheme="minorHAnsi" w:eastAsia="Calibri" w:hAnsiTheme="minorHAnsi" w:cstheme="minorBidi"/>
          <w:color w:val="000000" w:themeColor="text1"/>
          <w:lang w:val="en-US"/>
        </w:rPr>
        <w:t xml:space="preserve">to </w:t>
      </w:r>
      <w:r w:rsidR="06E33860" w:rsidRPr="06E40E5D">
        <w:rPr>
          <w:rFonts w:asciiTheme="minorHAnsi" w:eastAsia="Calibri" w:hAnsiTheme="minorHAnsi" w:cstheme="minorBidi"/>
          <w:color w:val="000000" w:themeColor="text1"/>
          <w:lang w:val="en-US"/>
        </w:rPr>
        <w:t>strengthen</w:t>
      </w:r>
      <w:r w:rsidR="05A36551" w:rsidRPr="06E40E5D">
        <w:rPr>
          <w:rFonts w:asciiTheme="minorHAnsi" w:eastAsia="Calibri" w:hAnsiTheme="minorHAnsi" w:cstheme="minorBidi"/>
          <w:color w:val="000000" w:themeColor="text1"/>
          <w:lang w:val="en-US"/>
        </w:rPr>
        <w:t>ing</w:t>
      </w:r>
      <w:r w:rsidR="06E33860" w:rsidRPr="06E40E5D">
        <w:rPr>
          <w:rFonts w:asciiTheme="minorHAnsi" w:eastAsia="Calibri" w:hAnsiTheme="minorHAnsi" w:cstheme="minorBidi"/>
          <w:color w:val="000000" w:themeColor="text1"/>
          <w:lang w:val="en-US"/>
        </w:rPr>
        <w:t xml:space="preserve"> trust, and </w:t>
      </w:r>
      <w:r w:rsidR="481EB446" w:rsidRPr="06E40E5D">
        <w:rPr>
          <w:rFonts w:asciiTheme="minorHAnsi" w:eastAsia="Calibri" w:hAnsiTheme="minorHAnsi" w:cstheme="minorBidi"/>
          <w:color w:val="000000" w:themeColor="text1"/>
          <w:lang w:val="en-US"/>
        </w:rPr>
        <w:t>they asked for</w:t>
      </w:r>
      <w:r w:rsidRPr="06E40E5D">
        <w:rPr>
          <w:rFonts w:asciiTheme="minorHAnsi" w:eastAsia="Calibri" w:hAnsiTheme="minorHAnsi" w:cstheme="minorBidi"/>
          <w:color w:val="000000" w:themeColor="text1"/>
          <w:lang w:val="en-US"/>
        </w:rPr>
        <w:t xml:space="preserve"> a clear demonstration that the resources of the Union are being efficiently used (good governance </w:t>
      </w:r>
      <w:r w:rsidR="2F69ADAC" w:rsidRPr="06E40E5D">
        <w:rPr>
          <w:rFonts w:asciiTheme="minorHAnsi" w:eastAsia="Calibri" w:hAnsiTheme="minorHAnsi" w:cstheme="minorBidi"/>
          <w:color w:val="000000" w:themeColor="text1"/>
          <w:lang w:val="en-US"/>
        </w:rPr>
        <w:t>and</w:t>
      </w:r>
      <w:r w:rsidRPr="06E40E5D">
        <w:rPr>
          <w:rFonts w:asciiTheme="minorHAnsi" w:eastAsia="Calibri" w:hAnsiTheme="minorHAnsi" w:cstheme="minorBidi"/>
          <w:color w:val="000000" w:themeColor="text1"/>
          <w:lang w:val="en-US"/>
        </w:rPr>
        <w:t xml:space="preserve"> strong financial </w:t>
      </w:r>
      <w:r w:rsidRPr="06E40E5D">
        <w:rPr>
          <w:rFonts w:asciiTheme="minorHAnsi" w:eastAsia="Calibri" w:hAnsiTheme="minorHAnsi" w:cstheme="minorBidi"/>
          <w:color w:val="000000" w:themeColor="text1"/>
          <w:lang w:val="en-US"/>
        </w:rPr>
        <w:t>management) and that we are modernizing the secretariat (i.e. transformation).</w:t>
      </w:r>
    </w:p>
    <w:p w14:paraId="2046538B" w14:textId="7AD83FA2" w:rsidR="00EE589E" w:rsidRDefault="00EE589E" w:rsidP="009B5B86">
      <w:pPr>
        <w:tabs>
          <w:tab w:val="clear" w:pos="567"/>
          <w:tab w:val="clear" w:pos="1134"/>
          <w:tab w:val="clear" w:pos="1701"/>
          <w:tab w:val="clear" w:pos="2268"/>
          <w:tab w:val="clear" w:pos="2835"/>
          <w:tab w:val="left" w:pos="720"/>
        </w:tabs>
        <w:overflowPunct/>
        <w:autoSpaceDE/>
        <w:autoSpaceDN/>
        <w:adjustRightInd/>
        <w:spacing w:after="120"/>
        <w:jc w:val="both"/>
        <w:textAlignment w:val="auto"/>
        <w:rPr>
          <w:rFonts w:asciiTheme="minorHAnsi" w:eastAsia="Calibri" w:hAnsiTheme="minorHAnsi" w:cstheme="minorBidi"/>
          <w:color w:val="000000" w:themeColor="text1"/>
          <w:lang w:val="en-US"/>
        </w:rPr>
      </w:pPr>
      <w:r w:rsidRPr="0FCCD35B">
        <w:rPr>
          <w:rFonts w:asciiTheme="minorHAnsi" w:eastAsia="Calibri" w:hAnsiTheme="minorHAnsi" w:cstheme="minorBidi"/>
          <w:color w:val="000000" w:themeColor="text1"/>
          <w:lang w:val="en-US"/>
        </w:rPr>
        <w:t>Member States also noted that securing unit contributions, especially increases, is a challenge as this also involves finance ministries and foreign affairs. It is important to raise awareness of ITU and its impact among these ministries at the national level. One delegate noted that “the ones paying are not the ones participating in ITU”</w:t>
      </w:r>
      <w:r w:rsidR="00DD6974">
        <w:rPr>
          <w:rFonts w:asciiTheme="minorHAnsi" w:eastAsia="Calibri" w:hAnsiTheme="minorHAnsi" w:cstheme="minorBidi"/>
          <w:color w:val="000000" w:themeColor="text1"/>
          <w:lang w:val="en-US"/>
        </w:rPr>
        <w:t>.</w:t>
      </w:r>
    </w:p>
    <w:p w14:paraId="247D235E" w14:textId="77777777" w:rsidR="00EE589E" w:rsidRDefault="00EE589E" w:rsidP="009B5B86">
      <w:pPr>
        <w:tabs>
          <w:tab w:val="clear" w:pos="567"/>
          <w:tab w:val="clear" w:pos="1134"/>
          <w:tab w:val="clear" w:pos="1701"/>
          <w:tab w:val="clear" w:pos="2268"/>
          <w:tab w:val="clear" w:pos="2835"/>
          <w:tab w:val="left" w:pos="720"/>
        </w:tabs>
        <w:overflowPunct/>
        <w:autoSpaceDE/>
        <w:autoSpaceDN/>
        <w:adjustRightInd/>
        <w:spacing w:after="120"/>
        <w:jc w:val="both"/>
        <w:textAlignment w:val="auto"/>
        <w:rPr>
          <w:rFonts w:asciiTheme="minorHAnsi" w:eastAsia="Calibri" w:hAnsiTheme="minorHAnsi" w:cstheme="minorBidi"/>
          <w:color w:val="000000" w:themeColor="text1"/>
          <w:lang w:val="en-US"/>
        </w:rPr>
      </w:pPr>
      <w:r w:rsidRPr="0FCCD35B">
        <w:rPr>
          <w:rFonts w:asciiTheme="minorHAnsi" w:eastAsia="Calibri" w:hAnsiTheme="minorHAnsi" w:cstheme="minorBidi"/>
          <w:color w:val="000000" w:themeColor="text1"/>
          <w:lang w:val="en-US"/>
        </w:rPr>
        <w:t xml:space="preserve">To help </w:t>
      </w:r>
      <w:r w:rsidRPr="0FCCD35B">
        <w:rPr>
          <w:rFonts w:asciiTheme="minorHAnsi" w:eastAsia="Calibri" w:hAnsiTheme="minorHAnsi" w:cstheme="minorBidi"/>
          <w:color w:val="000000" w:themeColor="text1"/>
          <w:u w:val="single"/>
          <w:lang w:val="en-US"/>
        </w:rPr>
        <w:t>encourage Member States to maintain or increase their unit contributions</w:t>
      </w:r>
      <w:r w:rsidRPr="0FCCD35B">
        <w:rPr>
          <w:rFonts w:asciiTheme="minorHAnsi" w:eastAsia="Calibri" w:hAnsiTheme="minorHAnsi" w:cstheme="minorBidi"/>
          <w:color w:val="000000" w:themeColor="text1"/>
          <w:lang w:val="en-US"/>
        </w:rPr>
        <w:t xml:space="preserve">, the following actions are recommended: </w:t>
      </w:r>
    </w:p>
    <w:p w14:paraId="14B90132" w14:textId="77777777" w:rsidR="00EE589E" w:rsidRPr="004C1087" w:rsidRDefault="00EE589E" w:rsidP="009B5B86">
      <w:pPr>
        <w:numPr>
          <w:ilvl w:val="0"/>
          <w:numId w:val="3"/>
        </w:numPr>
        <w:tabs>
          <w:tab w:val="clear" w:pos="567"/>
          <w:tab w:val="clear" w:pos="1134"/>
          <w:tab w:val="clear" w:pos="1701"/>
          <w:tab w:val="clear" w:pos="2268"/>
          <w:tab w:val="clear" w:pos="2835"/>
        </w:tabs>
        <w:overflowPunct/>
        <w:autoSpaceDE/>
        <w:autoSpaceDN/>
        <w:adjustRightInd/>
        <w:spacing w:after="120"/>
        <w:ind w:left="709" w:hanging="425"/>
        <w:jc w:val="both"/>
        <w:textAlignment w:val="auto"/>
        <w:rPr>
          <w:rFonts w:asciiTheme="minorHAnsi" w:eastAsiaTheme="minorEastAsia" w:hAnsiTheme="minorHAnsi" w:cstheme="minorBidi"/>
          <w:lang w:val="en-US"/>
        </w:rPr>
      </w:pPr>
      <w:r w:rsidRPr="0FCCD35B">
        <w:rPr>
          <w:rFonts w:asciiTheme="minorHAnsi" w:eastAsia="Calibri" w:hAnsiTheme="minorHAnsi" w:cstheme="minorBidi"/>
          <w:color w:val="000000" w:themeColor="text1"/>
          <w:lang w:val="en-US"/>
        </w:rPr>
        <w:t xml:space="preserve">Secretariat to develop a more attractive presentation of its budget and unmet needs, clearly identifying funding gap(s), </w:t>
      </w:r>
      <w:proofErr w:type="gramStart"/>
      <w:r w:rsidRPr="0FCCD35B">
        <w:rPr>
          <w:rFonts w:asciiTheme="minorHAnsi" w:eastAsia="Calibri" w:hAnsiTheme="minorHAnsi" w:cstheme="minorBidi"/>
          <w:color w:val="000000" w:themeColor="text1"/>
          <w:lang w:val="en-US"/>
        </w:rPr>
        <w:t>taking into account</w:t>
      </w:r>
      <w:proofErr w:type="gramEnd"/>
      <w:r w:rsidRPr="0FCCD35B">
        <w:rPr>
          <w:rFonts w:asciiTheme="minorHAnsi" w:eastAsia="Calibri" w:hAnsiTheme="minorHAnsi" w:cstheme="minorBidi"/>
          <w:color w:val="000000" w:themeColor="text1"/>
          <w:lang w:val="en-US"/>
        </w:rPr>
        <w:t xml:space="preserve"> best practices in the UN system. This will include:</w:t>
      </w:r>
    </w:p>
    <w:p w14:paraId="186F9589" w14:textId="0058A00F" w:rsidR="00EE589E" w:rsidRPr="004C1087" w:rsidRDefault="00EE589E" w:rsidP="009B5B86">
      <w:pPr>
        <w:numPr>
          <w:ilvl w:val="1"/>
          <w:numId w:val="3"/>
        </w:numPr>
        <w:tabs>
          <w:tab w:val="clear" w:pos="567"/>
          <w:tab w:val="clear" w:pos="1134"/>
          <w:tab w:val="clear" w:pos="1701"/>
          <w:tab w:val="clear" w:pos="2268"/>
          <w:tab w:val="clear" w:pos="2835"/>
        </w:tabs>
        <w:overflowPunct/>
        <w:autoSpaceDE/>
        <w:autoSpaceDN/>
        <w:adjustRightInd/>
        <w:spacing w:after="120"/>
        <w:ind w:left="1276" w:hanging="567"/>
        <w:jc w:val="both"/>
        <w:textAlignment w:val="auto"/>
        <w:rPr>
          <w:rFonts w:asciiTheme="minorHAnsi" w:eastAsiaTheme="minorEastAsia" w:hAnsiTheme="minorHAnsi" w:cstheme="minorBidi"/>
          <w:lang w:val="en-US"/>
        </w:rPr>
      </w:pPr>
      <w:r w:rsidRPr="5B7D7CE6">
        <w:rPr>
          <w:rFonts w:asciiTheme="minorHAnsi" w:eastAsia="Calibri" w:hAnsiTheme="minorHAnsi" w:cstheme="minorBidi"/>
          <w:color w:val="000000" w:themeColor="text1"/>
          <w:lang w:val="en-US"/>
        </w:rPr>
        <w:t>An attractive, user-friendly web section linking the strategic plan and themes to the budget and expected outcomes/impact</w:t>
      </w:r>
      <w:r w:rsidRPr="4789068E">
        <w:rPr>
          <w:rFonts w:asciiTheme="minorHAnsi" w:eastAsia="Calibri" w:hAnsiTheme="minorHAnsi" w:cstheme="minorBidi"/>
          <w:color w:val="000000" w:themeColor="text1"/>
          <w:lang w:val="en-US"/>
        </w:rPr>
        <w:t>; and,</w:t>
      </w:r>
    </w:p>
    <w:p w14:paraId="0BC86F5B" w14:textId="77777777" w:rsidR="00EE589E" w:rsidRDefault="00EE589E" w:rsidP="00DD6974">
      <w:pPr>
        <w:numPr>
          <w:ilvl w:val="1"/>
          <w:numId w:val="3"/>
        </w:numPr>
        <w:tabs>
          <w:tab w:val="clear" w:pos="567"/>
          <w:tab w:val="clear" w:pos="1134"/>
          <w:tab w:val="clear" w:pos="1701"/>
          <w:tab w:val="clear" w:pos="2268"/>
          <w:tab w:val="clear" w:pos="2835"/>
        </w:tabs>
        <w:overflowPunct/>
        <w:autoSpaceDE/>
        <w:autoSpaceDN/>
        <w:adjustRightInd/>
        <w:spacing w:after="120"/>
        <w:ind w:left="1276" w:hanging="567"/>
        <w:jc w:val="both"/>
        <w:textAlignment w:val="auto"/>
        <w:rPr>
          <w:rFonts w:asciiTheme="minorHAnsi" w:eastAsiaTheme="minorEastAsia" w:hAnsiTheme="minorHAnsi" w:cstheme="minorBidi"/>
          <w:lang w:val="en-US"/>
        </w:rPr>
      </w:pPr>
      <w:r w:rsidRPr="5B7D7CE6">
        <w:rPr>
          <w:rFonts w:asciiTheme="minorHAnsi" w:eastAsia="Calibri" w:hAnsiTheme="minorHAnsi" w:cstheme="minorBidi"/>
          <w:color w:val="000000" w:themeColor="text1"/>
          <w:lang w:val="en-US"/>
        </w:rPr>
        <w:t>New</w:t>
      </w:r>
      <w:r w:rsidRPr="5B7D7CE6" w:rsidDel="004C1087">
        <w:rPr>
          <w:rFonts w:asciiTheme="minorHAnsi" w:eastAsia="Calibri" w:hAnsiTheme="minorHAnsi" w:cstheme="minorBidi"/>
          <w:color w:val="000000" w:themeColor="text1"/>
          <w:lang w:val="en-US"/>
        </w:rPr>
        <w:t xml:space="preserve"> </w:t>
      </w:r>
      <w:r w:rsidRPr="5B7D7CE6">
        <w:rPr>
          <w:rFonts w:asciiTheme="minorHAnsi" w:eastAsia="Calibri" w:hAnsiTheme="minorHAnsi" w:cstheme="minorBidi"/>
          <w:color w:val="000000" w:themeColor="text1"/>
          <w:lang w:val="en-US"/>
        </w:rPr>
        <w:t>executive level briefing and promotional materials that delegates can use when making the case for ITU support within their national Administrations.</w:t>
      </w:r>
      <w:r w:rsidRPr="5B7D7CE6">
        <w:rPr>
          <w:rFonts w:asciiTheme="minorHAnsi" w:eastAsiaTheme="minorEastAsia" w:hAnsiTheme="minorHAnsi" w:cstheme="minorBidi"/>
          <w:lang w:val="en-US"/>
        </w:rPr>
        <w:t xml:space="preserve"> </w:t>
      </w:r>
    </w:p>
    <w:p w14:paraId="6863F775" w14:textId="77777777" w:rsidR="00EE589E" w:rsidRPr="008856C3" w:rsidRDefault="00EE589E" w:rsidP="00DD6974">
      <w:pPr>
        <w:spacing w:after="120"/>
        <w:jc w:val="both"/>
        <w:rPr>
          <w:rFonts w:asciiTheme="minorHAnsi" w:eastAsiaTheme="minorEastAsia" w:hAnsiTheme="minorHAnsi" w:cstheme="minorBidi"/>
          <w:lang w:val="en-US"/>
        </w:rPr>
      </w:pPr>
      <w:r w:rsidRPr="0FCCD35B">
        <w:rPr>
          <w:rFonts w:asciiTheme="minorHAnsi" w:eastAsiaTheme="minorEastAsia" w:hAnsiTheme="minorHAnsi" w:cstheme="minorBidi"/>
          <w:lang w:val="en-US"/>
        </w:rPr>
        <w:t xml:space="preserve">To </w:t>
      </w:r>
      <w:r w:rsidRPr="0FCCD35B">
        <w:rPr>
          <w:rFonts w:asciiTheme="minorHAnsi" w:eastAsiaTheme="minorEastAsia" w:hAnsiTheme="minorHAnsi" w:cstheme="minorBidi"/>
          <w:u w:val="single"/>
          <w:lang w:val="en-US"/>
        </w:rPr>
        <w:t>strengthen Sector Member engagement and revenues</w:t>
      </w:r>
      <w:r w:rsidRPr="0FCCD35B">
        <w:rPr>
          <w:rFonts w:asciiTheme="minorHAnsi" w:eastAsiaTheme="minorEastAsia" w:hAnsiTheme="minorHAnsi" w:cstheme="minorBidi"/>
          <w:lang w:val="en-US"/>
        </w:rPr>
        <w:t>, including industry and academia, the following actions are recommended:</w:t>
      </w:r>
    </w:p>
    <w:p w14:paraId="5E192489" w14:textId="08E0353D" w:rsidR="00EE589E" w:rsidRPr="006E54C0" w:rsidRDefault="00EE589E" w:rsidP="00DD6974">
      <w:pPr>
        <w:pStyle w:val="ListParagraph"/>
        <w:numPr>
          <w:ilvl w:val="0"/>
          <w:numId w:val="3"/>
        </w:numPr>
        <w:tabs>
          <w:tab w:val="clear" w:pos="567"/>
          <w:tab w:val="clear" w:pos="1134"/>
          <w:tab w:val="clear" w:pos="1701"/>
          <w:tab w:val="clear" w:pos="2268"/>
          <w:tab w:val="clear" w:pos="2835"/>
        </w:tabs>
        <w:spacing w:after="120"/>
        <w:ind w:left="709" w:hanging="425"/>
        <w:contextualSpacing w:val="0"/>
        <w:jc w:val="both"/>
        <w:rPr>
          <w:lang w:val="en-AU"/>
        </w:rPr>
      </w:pPr>
      <w:r w:rsidRPr="0FCCD35B">
        <w:rPr>
          <w:lang w:val="en-AU"/>
        </w:rPr>
        <w:t xml:space="preserve">Review Sector </w:t>
      </w:r>
      <w:r w:rsidR="0071342C" w:rsidRPr="0FCCD35B">
        <w:rPr>
          <w:lang w:val="en-AU"/>
        </w:rPr>
        <w:t xml:space="preserve">membership </w:t>
      </w:r>
      <w:r w:rsidRPr="0FCCD35B">
        <w:rPr>
          <w:lang w:val="en-AU"/>
        </w:rPr>
        <w:t xml:space="preserve">benefits and fees in consultation with the Sector Advisory Groups to ensure that benefits are in alignment with expectations, and that Sector </w:t>
      </w:r>
      <w:r w:rsidR="0071342C" w:rsidRPr="0FCCD35B">
        <w:rPr>
          <w:lang w:val="en-AU"/>
        </w:rPr>
        <w:lastRenderedPageBreak/>
        <w:t xml:space="preserve">membership </w:t>
      </w:r>
      <w:r w:rsidRPr="0FCCD35B">
        <w:rPr>
          <w:lang w:val="en-AU"/>
        </w:rPr>
        <w:t xml:space="preserve">continues to cover costs. Assess any risks related to potential changes in fees. Among others, consider benefits that would encourage existing Sector Members to have memberships across multiple Sectors and Associates to upgrade to full Sector </w:t>
      </w:r>
      <w:proofErr w:type="gramStart"/>
      <w:r w:rsidRPr="0FCCD35B">
        <w:rPr>
          <w:lang w:val="en-AU"/>
        </w:rPr>
        <w:t>membership;</w:t>
      </w:r>
      <w:proofErr w:type="gramEnd"/>
    </w:p>
    <w:p w14:paraId="059B7E3B" w14:textId="77777777" w:rsidR="00EE589E" w:rsidRDefault="00EE589E" w:rsidP="00DD6974">
      <w:pPr>
        <w:pStyle w:val="ListParagraph"/>
        <w:numPr>
          <w:ilvl w:val="0"/>
          <w:numId w:val="3"/>
        </w:numPr>
        <w:tabs>
          <w:tab w:val="clear" w:pos="567"/>
        </w:tabs>
        <w:spacing w:after="120"/>
        <w:ind w:left="709" w:hanging="425"/>
        <w:contextualSpacing w:val="0"/>
        <w:jc w:val="both"/>
        <w:rPr>
          <w:lang w:val="en-AU"/>
        </w:rPr>
      </w:pPr>
      <w:r w:rsidRPr="4789068E">
        <w:rPr>
          <w:lang w:val="en-AU"/>
        </w:rPr>
        <w:t>Identify</w:t>
      </w:r>
      <w:r w:rsidRPr="0068776B">
        <w:rPr>
          <w:lang w:val="en-AU"/>
        </w:rPr>
        <w:t xml:space="preserve"> key non-member companies from under-represented parts of the digital ecosystem to join </w:t>
      </w:r>
      <w:proofErr w:type="gramStart"/>
      <w:r w:rsidRPr="0068776B">
        <w:rPr>
          <w:lang w:val="en-AU"/>
        </w:rPr>
        <w:t>ITU</w:t>
      </w:r>
      <w:r w:rsidRPr="4789068E">
        <w:rPr>
          <w:lang w:val="en-AU"/>
        </w:rPr>
        <w:t>;</w:t>
      </w:r>
      <w:proofErr w:type="gramEnd"/>
    </w:p>
    <w:p w14:paraId="39464479" w14:textId="77777777" w:rsidR="00EE589E" w:rsidRDefault="00EE589E" w:rsidP="00DD6974">
      <w:pPr>
        <w:pStyle w:val="ListParagraph"/>
        <w:numPr>
          <w:ilvl w:val="0"/>
          <w:numId w:val="3"/>
        </w:numPr>
        <w:tabs>
          <w:tab w:val="clear" w:pos="567"/>
        </w:tabs>
        <w:spacing w:after="120"/>
        <w:ind w:left="709" w:hanging="425"/>
        <w:contextualSpacing w:val="0"/>
        <w:jc w:val="both"/>
        <w:rPr>
          <w:rFonts w:eastAsia="Calibri" w:cstheme="minorBidi"/>
          <w:color w:val="000000" w:themeColor="text1"/>
          <w:lang w:val="en-US"/>
        </w:rPr>
      </w:pPr>
      <w:r w:rsidRPr="0FCCD35B">
        <w:rPr>
          <w:rFonts w:eastAsia="Calibri" w:cstheme="minorBidi"/>
          <w:color w:val="000000" w:themeColor="text1"/>
          <w:lang w:val="en-US"/>
        </w:rPr>
        <w:t xml:space="preserve">Modernize study group methodologies and invest further in remote participation, supplementing physical participation, to support efficient engagement and return on investment for members, and to increase SME </w:t>
      </w:r>
      <w:proofErr w:type="gramStart"/>
      <w:r w:rsidRPr="0FCCD35B">
        <w:rPr>
          <w:rFonts w:eastAsia="Calibri" w:cstheme="minorBidi"/>
          <w:color w:val="000000" w:themeColor="text1"/>
          <w:lang w:val="en-US"/>
        </w:rPr>
        <w:t>participation;</w:t>
      </w:r>
      <w:proofErr w:type="gramEnd"/>
      <w:r w:rsidRPr="0FCCD35B">
        <w:rPr>
          <w:rFonts w:eastAsia="Calibri" w:cstheme="minorBidi"/>
          <w:color w:val="000000" w:themeColor="text1"/>
          <w:lang w:val="en-US"/>
        </w:rPr>
        <w:t xml:space="preserve"> </w:t>
      </w:r>
    </w:p>
    <w:p w14:paraId="57BDA1C9" w14:textId="7B1E86AB" w:rsidR="00EE589E" w:rsidRDefault="00EE589E" w:rsidP="00DD6974">
      <w:pPr>
        <w:pStyle w:val="ListParagraph"/>
        <w:numPr>
          <w:ilvl w:val="0"/>
          <w:numId w:val="3"/>
        </w:numPr>
        <w:tabs>
          <w:tab w:val="clear" w:pos="567"/>
        </w:tabs>
        <w:spacing w:after="120"/>
        <w:ind w:left="709" w:hanging="425"/>
        <w:contextualSpacing w:val="0"/>
        <w:jc w:val="both"/>
        <w:rPr>
          <w:rFonts w:eastAsia="Calibri" w:cstheme="minorBidi"/>
          <w:color w:val="000000" w:themeColor="text1"/>
          <w:lang w:val="en-US"/>
        </w:rPr>
      </w:pPr>
      <w:r w:rsidRPr="4789068E">
        <w:rPr>
          <w:rFonts w:eastAsia="Calibri" w:cstheme="minorBidi"/>
          <w:color w:val="000000" w:themeColor="text1"/>
          <w:lang w:val="en-US"/>
        </w:rPr>
        <w:t xml:space="preserve">Organize national/regional industry outreach sessions together with Member States and Regional Telecommunication </w:t>
      </w:r>
      <w:proofErr w:type="gramStart"/>
      <w:r w:rsidRPr="4789068E">
        <w:rPr>
          <w:rFonts w:eastAsia="Calibri" w:cstheme="minorBidi"/>
          <w:color w:val="000000" w:themeColor="text1"/>
          <w:lang w:val="en-US"/>
        </w:rPr>
        <w:t>Organizations</w:t>
      </w:r>
      <w:r w:rsidR="00DA61BA">
        <w:rPr>
          <w:rFonts w:eastAsia="Calibri" w:cstheme="minorBidi"/>
          <w:color w:val="000000" w:themeColor="text1"/>
          <w:lang w:val="en-US"/>
        </w:rPr>
        <w:t>;</w:t>
      </w:r>
      <w:proofErr w:type="gramEnd"/>
    </w:p>
    <w:p w14:paraId="20F46EF8" w14:textId="5D213B5D" w:rsidR="00EE589E" w:rsidRDefault="00EE589E" w:rsidP="00DD6974">
      <w:pPr>
        <w:pStyle w:val="ListParagraph"/>
        <w:numPr>
          <w:ilvl w:val="0"/>
          <w:numId w:val="3"/>
        </w:numPr>
        <w:tabs>
          <w:tab w:val="clear" w:pos="567"/>
        </w:tabs>
        <w:spacing w:after="120"/>
        <w:ind w:left="709" w:hanging="425"/>
        <w:contextualSpacing w:val="0"/>
        <w:jc w:val="both"/>
        <w:rPr>
          <w:lang w:val="en-US"/>
        </w:rPr>
      </w:pPr>
      <w:r w:rsidRPr="0FCCD35B">
        <w:rPr>
          <w:lang w:val="en-US"/>
        </w:rPr>
        <w:t>Conduct an analysis on the priorities of Sector Members to help align offerings with their interests; and</w:t>
      </w:r>
    </w:p>
    <w:p w14:paraId="5C51D67E" w14:textId="4770DBD5" w:rsidR="00EE589E" w:rsidRDefault="00EE589E" w:rsidP="3A5DF2BD">
      <w:pPr>
        <w:pStyle w:val="ListParagraph"/>
        <w:numPr>
          <w:ilvl w:val="0"/>
          <w:numId w:val="3"/>
        </w:numPr>
        <w:tabs>
          <w:tab w:val="clear" w:pos="567"/>
        </w:tabs>
        <w:spacing w:after="120"/>
        <w:ind w:left="709" w:hanging="425"/>
        <w:jc w:val="both"/>
        <w:rPr>
          <w:lang w:val="en-US"/>
        </w:rPr>
      </w:pPr>
      <w:r w:rsidRPr="0FCCD35B">
        <w:rPr>
          <w:lang w:val="en-US"/>
        </w:rPr>
        <w:t xml:space="preserve">Consider new approaches to promote Sector Member engagement, including promotional material and marketing through digital platforms, and </w:t>
      </w:r>
      <w:r w:rsidR="071B4FCC" w:rsidRPr="3A5DF2BD">
        <w:rPr>
          <w:lang w:val="en-US"/>
        </w:rPr>
        <w:t>raise awareness in</w:t>
      </w:r>
      <w:r w:rsidRPr="0FCCD35B">
        <w:rPr>
          <w:lang w:val="en-US"/>
        </w:rPr>
        <w:t xml:space="preserve"> all sectors during major conferences.</w:t>
      </w:r>
    </w:p>
    <w:p w14:paraId="3BEE963E" w14:textId="311BCC51" w:rsidR="00EE589E" w:rsidRDefault="00EE589E" w:rsidP="00801DA7">
      <w:pPr>
        <w:tabs>
          <w:tab w:val="clear" w:pos="567"/>
          <w:tab w:val="clear" w:pos="1134"/>
          <w:tab w:val="clear" w:pos="1701"/>
          <w:tab w:val="clear" w:pos="2268"/>
          <w:tab w:val="clear" w:pos="2835"/>
        </w:tabs>
        <w:spacing w:after="120"/>
        <w:ind w:left="284"/>
        <w:jc w:val="both"/>
        <w:rPr>
          <w:rFonts w:asciiTheme="minorHAnsi" w:eastAsiaTheme="minorEastAsia" w:hAnsiTheme="minorHAnsi" w:cstheme="minorBidi"/>
          <w:lang w:val="en-US"/>
        </w:rPr>
      </w:pPr>
      <w:r w:rsidRPr="4789068E">
        <w:rPr>
          <w:rFonts w:asciiTheme="minorHAnsi" w:eastAsiaTheme="minorEastAsia" w:hAnsiTheme="minorHAnsi" w:cstheme="minorBidi"/>
          <w:lang w:val="en-US"/>
        </w:rPr>
        <w:t xml:space="preserve">To help </w:t>
      </w:r>
      <w:r w:rsidRPr="4789068E">
        <w:rPr>
          <w:rFonts w:asciiTheme="minorHAnsi" w:eastAsiaTheme="minorEastAsia" w:hAnsiTheme="minorHAnsi" w:cstheme="minorBidi"/>
          <w:u w:val="single"/>
          <w:lang w:val="en-US"/>
        </w:rPr>
        <w:t>strengthen overall member engagement</w:t>
      </w:r>
      <w:r w:rsidRPr="4789068E">
        <w:rPr>
          <w:rFonts w:asciiTheme="minorHAnsi" w:eastAsiaTheme="minorEastAsia" w:hAnsiTheme="minorHAnsi" w:cstheme="minorBidi"/>
          <w:lang w:val="en-US"/>
        </w:rPr>
        <w:t>, the following is recommended:</w:t>
      </w:r>
    </w:p>
    <w:p w14:paraId="4B06A55C" w14:textId="5FC6FFA8" w:rsidR="00EE589E" w:rsidRPr="002776FF" w:rsidRDefault="00EE589E" w:rsidP="00801DA7">
      <w:pPr>
        <w:pStyle w:val="ListParagraph"/>
        <w:numPr>
          <w:ilvl w:val="0"/>
          <w:numId w:val="3"/>
        </w:numPr>
        <w:tabs>
          <w:tab w:val="clear" w:pos="567"/>
        </w:tabs>
        <w:spacing w:after="120"/>
        <w:contextualSpacing w:val="0"/>
        <w:jc w:val="both"/>
        <w:rPr>
          <w:lang w:val="en-AU"/>
        </w:rPr>
      </w:pPr>
      <w:r w:rsidRPr="4789068E">
        <w:rPr>
          <w:lang w:val="en-AU"/>
        </w:rPr>
        <w:t>Implement new measures and systems to better coordinate account management and improve ITU-wide service to Member States, Sector Members, donors, etc.</w:t>
      </w:r>
      <w:r>
        <w:rPr>
          <w:lang w:val="en-AU"/>
        </w:rPr>
        <w:t xml:space="preserve"> This includes addressing i</w:t>
      </w:r>
      <w:r w:rsidRPr="002776FF">
        <w:rPr>
          <w:lang w:val="en-AU"/>
        </w:rPr>
        <w:t>nternal enablers</w:t>
      </w:r>
      <w:r>
        <w:rPr>
          <w:lang w:val="en-AU"/>
        </w:rPr>
        <w:t xml:space="preserve"> as part of the transformation plan:</w:t>
      </w:r>
      <w:r w:rsidRPr="002776FF">
        <w:rPr>
          <w:lang w:val="en-AU"/>
        </w:rPr>
        <w:t xml:space="preserve"> IT systems, building staff capacity and skills, streamlining</w:t>
      </w:r>
      <w:r w:rsidR="003D767D">
        <w:rPr>
          <w:lang w:val="en-AU"/>
        </w:rPr>
        <w:t>,</w:t>
      </w:r>
      <w:r w:rsidRPr="002776FF">
        <w:rPr>
          <w:lang w:val="en-AU"/>
        </w:rPr>
        <w:t xml:space="preserve"> and modernizing financial and administrative rules and processes, etc.</w:t>
      </w:r>
    </w:p>
    <w:p w14:paraId="534C3C85" w14:textId="704AB40F" w:rsidR="00EE589E" w:rsidRPr="00EE58F2" w:rsidRDefault="00EE589E" w:rsidP="00801DA7">
      <w:pPr>
        <w:tabs>
          <w:tab w:val="clear" w:pos="567"/>
          <w:tab w:val="clear" w:pos="1134"/>
          <w:tab w:val="clear" w:pos="1701"/>
          <w:tab w:val="clear" w:pos="2268"/>
          <w:tab w:val="clear" w:pos="2835"/>
        </w:tabs>
        <w:overflowPunct/>
        <w:autoSpaceDE/>
        <w:autoSpaceDN/>
        <w:adjustRightInd/>
        <w:spacing w:before="240" w:after="120"/>
        <w:ind w:left="284"/>
        <w:jc w:val="both"/>
        <w:textAlignment w:val="auto"/>
        <w:rPr>
          <w:b/>
          <w:bCs/>
          <w:lang w:val="en-AU"/>
        </w:rPr>
      </w:pPr>
      <w:r>
        <w:rPr>
          <w:b/>
          <w:bCs/>
          <w:lang w:val="en-AU"/>
        </w:rPr>
        <w:t>B</w:t>
      </w:r>
      <w:r w:rsidRPr="00EE58F2">
        <w:rPr>
          <w:b/>
          <w:bCs/>
          <w:lang w:val="en-AU"/>
        </w:rPr>
        <w:t>.</w:t>
      </w:r>
      <w:r>
        <w:tab/>
      </w:r>
      <w:r w:rsidRPr="00EE58F2">
        <w:rPr>
          <w:b/>
          <w:bCs/>
          <w:lang w:val="en-AU"/>
        </w:rPr>
        <w:t>Levera</w:t>
      </w:r>
      <w:r>
        <w:rPr>
          <w:b/>
          <w:bCs/>
          <w:lang w:val="en-AU"/>
        </w:rPr>
        <w:t>ge events, products</w:t>
      </w:r>
      <w:r w:rsidR="003D767D">
        <w:rPr>
          <w:b/>
          <w:bCs/>
          <w:lang w:val="en-AU"/>
        </w:rPr>
        <w:t>,</w:t>
      </w:r>
      <w:r>
        <w:rPr>
          <w:b/>
          <w:bCs/>
          <w:lang w:val="en-AU"/>
        </w:rPr>
        <w:t xml:space="preserve"> and services (~20% of ITU’s regular budget)</w:t>
      </w:r>
      <w:r w:rsidRPr="00EE58F2">
        <w:rPr>
          <w:b/>
          <w:bCs/>
          <w:lang w:val="en-AU"/>
        </w:rPr>
        <w:t>.</w:t>
      </w:r>
    </w:p>
    <w:p w14:paraId="2EBA9787" w14:textId="7C7641CB" w:rsidR="00EE589E" w:rsidRDefault="00EE589E" w:rsidP="00801DA7">
      <w:pPr>
        <w:tabs>
          <w:tab w:val="clear" w:pos="567"/>
          <w:tab w:val="clear" w:pos="1134"/>
          <w:tab w:val="clear" w:pos="1701"/>
          <w:tab w:val="clear" w:pos="2268"/>
          <w:tab w:val="clear" w:pos="2835"/>
        </w:tabs>
        <w:overflowPunct/>
        <w:autoSpaceDE/>
        <w:autoSpaceDN/>
        <w:adjustRightInd/>
        <w:spacing w:after="120"/>
        <w:jc w:val="both"/>
        <w:textAlignment w:val="auto"/>
        <w:rPr>
          <w:lang w:val="en-AU"/>
        </w:rPr>
      </w:pPr>
      <w:r w:rsidRPr="0FCCD35B">
        <w:rPr>
          <w:lang w:val="en-AU"/>
        </w:rPr>
        <w:t>During the CWG-FHR Resource Mobilization brainstorming session, Member States asked the secretariat to review events, products</w:t>
      </w:r>
      <w:r w:rsidR="00801DA7">
        <w:rPr>
          <w:lang w:val="en-AU"/>
        </w:rPr>
        <w:t>,</w:t>
      </w:r>
      <w:r w:rsidRPr="0FCCD35B">
        <w:rPr>
          <w:lang w:val="en-AU"/>
        </w:rPr>
        <w:t xml:space="preserve"> and services, including costs, revenues</w:t>
      </w:r>
      <w:r w:rsidR="003D767D">
        <w:rPr>
          <w:lang w:val="en-AU"/>
        </w:rPr>
        <w:t>,</w:t>
      </w:r>
      <w:r w:rsidRPr="0FCCD35B">
        <w:rPr>
          <w:lang w:val="en-AU"/>
        </w:rPr>
        <w:t xml:space="preserve"> and gaps to be addressed. </w:t>
      </w:r>
    </w:p>
    <w:p w14:paraId="4753EE62" w14:textId="77777777" w:rsidR="00EE589E" w:rsidRPr="00EE58F2" w:rsidRDefault="00EE589E" w:rsidP="00801DA7">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Pr>
          <w:lang w:val="en-AU"/>
        </w:rPr>
        <w:t xml:space="preserve">To help better </w:t>
      </w:r>
      <w:r w:rsidRPr="00EA1798">
        <w:rPr>
          <w:u w:val="single"/>
          <w:lang w:val="en-AU"/>
        </w:rPr>
        <w:t>leverage events</w:t>
      </w:r>
      <w:r>
        <w:rPr>
          <w:lang w:val="en-AU"/>
        </w:rPr>
        <w:t xml:space="preserve">, the following is recommended: </w:t>
      </w:r>
    </w:p>
    <w:p w14:paraId="79ED055B" w14:textId="5ED1782F" w:rsidR="00EE589E" w:rsidRDefault="00EE589E" w:rsidP="00801DA7">
      <w:pPr>
        <w:numPr>
          <w:ilvl w:val="0"/>
          <w:numId w:val="6"/>
        </w:numPr>
        <w:tabs>
          <w:tab w:val="clear" w:pos="567"/>
          <w:tab w:val="clear" w:pos="1134"/>
          <w:tab w:val="clear" w:pos="1701"/>
          <w:tab w:val="clear" w:pos="2268"/>
          <w:tab w:val="clear" w:pos="2835"/>
        </w:tabs>
        <w:overflowPunct/>
        <w:autoSpaceDE/>
        <w:autoSpaceDN/>
        <w:adjustRightInd/>
        <w:spacing w:after="120"/>
        <w:ind w:hanging="436"/>
        <w:jc w:val="both"/>
        <w:textAlignment w:val="auto"/>
        <w:rPr>
          <w:lang w:val="en-US"/>
        </w:rPr>
      </w:pPr>
      <w:r w:rsidRPr="0FCCD35B">
        <w:rPr>
          <w:lang w:val="en-US"/>
        </w:rPr>
        <w:t>Assess ITU’s positioning in the evolving industry event marketplace within specific thematic communities to determine the most effective strategy, including identifying areas for investment and revenue potential; and,</w:t>
      </w:r>
    </w:p>
    <w:p w14:paraId="14F37982" w14:textId="39E45803" w:rsidR="00EE589E" w:rsidRDefault="00EE589E" w:rsidP="00801DA7">
      <w:pPr>
        <w:numPr>
          <w:ilvl w:val="0"/>
          <w:numId w:val="6"/>
        </w:numPr>
        <w:tabs>
          <w:tab w:val="clear" w:pos="567"/>
          <w:tab w:val="clear" w:pos="1134"/>
          <w:tab w:val="clear" w:pos="1701"/>
          <w:tab w:val="clear" w:pos="2268"/>
          <w:tab w:val="clear" w:pos="2835"/>
        </w:tabs>
        <w:overflowPunct/>
        <w:autoSpaceDE/>
        <w:autoSpaceDN/>
        <w:adjustRightInd/>
        <w:spacing w:after="120"/>
        <w:ind w:hanging="436"/>
        <w:jc w:val="both"/>
        <w:textAlignment w:val="auto"/>
        <w:rPr>
          <w:lang w:val="en-US"/>
        </w:rPr>
      </w:pPr>
      <w:r w:rsidRPr="5B7D7CE6">
        <w:rPr>
          <w:lang w:val="en-US"/>
        </w:rPr>
        <w:t xml:space="preserve">Leverage major ITU events which have built communities of shared interest among </w:t>
      </w:r>
      <w:r w:rsidRPr="4789068E">
        <w:rPr>
          <w:lang w:val="en-US"/>
        </w:rPr>
        <w:t xml:space="preserve">ITU </w:t>
      </w:r>
      <w:r w:rsidR="0071342C" w:rsidRPr="4789068E">
        <w:rPr>
          <w:lang w:val="en-US"/>
        </w:rPr>
        <w:t>membership</w:t>
      </w:r>
      <w:r w:rsidR="0071342C" w:rsidRPr="5B7D7CE6">
        <w:rPr>
          <w:lang w:val="en-US"/>
        </w:rPr>
        <w:t xml:space="preserve"> </w:t>
      </w:r>
      <w:r w:rsidRPr="5B7D7CE6">
        <w:rPr>
          <w:lang w:val="en-US"/>
        </w:rPr>
        <w:t>and partners to build a more comprehensive and higher-impact value proposition</w:t>
      </w:r>
      <w:r>
        <w:rPr>
          <w:lang w:val="en-US"/>
        </w:rPr>
        <w:t>, including using such events as a platform for multi-stakeholder thematic initiatives</w:t>
      </w:r>
      <w:r w:rsidRPr="5B7D7CE6">
        <w:rPr>
          <w:lang w:val="en-US"/>
        </w:rPr>
        <w:t xml:space="preserve">. </w:t>
      </w:r>
    </w:p>
    <w:p w14:paraId="5B893708" w14:textId="7F1E1BC6" w:rsidR="00EE589E" w:rsidRDefault="00EE589E" w:rsidP="00307F31">
      <w:pPr>
        <w:numPr>
          <w:ilvl w:val="0"/>
          <w:numId w:val="6"/>
        </w:numPr>
        <w:tabs>
          <w:tab w:val="clear" w:pos="567"/>
          <w:tab w:val="clear" w:pos="1134"/>
          <w:tab w:val="clear" w:pos="1701"/>
          <w:tab w:val="clear" w:pos="2268"/>
          <w:tab w:val="clear" w:pos="2835"/>
        </w:tabs>
        <w:overflowPunct/>
        <w:autoSpaceDE/>
        <w:autoSpaceDN/>
        <w:adjustRightInd/>
        <w:spacing w:after="120"/>
        <w:ind w:hanging="436"/>
        <w:jc w:val="both"/>
        <w:textAlignment w:val="auto"/>
        <w:rPr>
          <w:lang w:val="en-US"/>
        </w:rPr>
      </w:pPr>
      <w:r w:rsidRPr="7C25AC88">
        <w:rPr>
          <w:lang w:val="en-US"/>
        </w:rPr>
        <w:t>Consider ways of modernizing event formats, including grouping certain themes together across events and reducing duration/number of sessions on-site, while taking advantage of new digital tools and platforms to expand participation and engagement.</w:t>
      </w:r>
    </w:p>
    <w:p w14:paraId="3E2030FE" w14:textId="77777777" w:rsidR="00EE589E" w:rsidRPr="00EE58F2" w:rsidRDefault="00EE589E" w:rsidP="003D767D">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Pr>
          <w:lang w:val="en-US"/>
        </w:rPr>
        <w:t xml:space="preserve">To help better </w:t>
      </w:r>
      <w:r w:rsidRPr="00A85E39">
        <w:rPr>
          <w:u w:val="single"/>
          <w:lang w:val="en-US"/>
        </w:rPr>
        <w:t>leverage products and services</w:t>
      </w:r>
      <w:r>
        <w:rPr>
          <w:lang w:val="en-US"/>
        </w:rPr>
        <w:t xml:space="preserve">, the following is recommended: </w:t>
      </w:r>
    </w:p>
    <w:p w14:paraId="7404626D" w14:textId="16553541" w:rsidR="00EE589E" w:rsidRPr="00301C29" w:rsidRDefault="00EE589E" w:rsidP="003D767D">
      <w:pPr>
        <w:numPr>
          <w:ilvl w:val="0"/>
          <w:numId w:val="6"/>
        </w:numPr>
        <w:tabs>
          <w:tab w:val="clear" w:pos="567"/>
          <w:tab w:val="clear" w:pos="1134"/>
          <w:tab w:val="clear" w:pos="1701"/>
          <w:tab w:val="clear" w:pos="2268"/>
          <w:tab w:val="clear" w:pos="2835"/>
        </w:tabs>
        <w:overflowPunct/>
        <w:autoSpaceDE/>
        <w:autoSpaceDN/>
        <w:adjustRightInd/>
        <w:spacing w:after="120"/>
        <w:ind w:left="704" w:hanging="420"/>
        <w:jc w:val="both"/>
        <w:textAlignment w:val="auto"/>
        <w:rPr>
          <w:lang w:val="en-AU"/>
        </w:rPr>
      </w:pPr>
      <w:r w:rsidRPr="006E54C0">
        <w:rPr>
          <w:lang w:val="en-US"/>
        </w:rPr>
        <w:t xml:space="preserve">Review </w:t>
      </w:r>
      <w:r>
        <w:rPr>
          <w:lang w:val="en-US"/>
        </w:rPr>
        <w:t xml:space="preserve">ITU’s </w:t>
      </w:r>
      <w:r w:rsidRPr="006E54C0">
        <w:rPr>
          <w:lang w:val="en-US"/>
        </w:rPr>
        <w:t xml:space="preserve">products and services </w:t>
      </w:r>
      <w:r>
        <w:rPr>
          <w:lang w:val="en-US"/>
        </w:rPr>
        <w:t>(including publications, software, databases</w:t>
      </w:r>
      <w:r w:rsidR="0071342C">
        <w:rPr>
          <w:lang w:val="en-US"/>
        </w:rPr>
        <w:t>,</w:t>
      </w:r>
      <w:r>
        <w:rPr>
          <w:lang w:val="en-US"/>
        </w:rPr>
        <w:t xml:space="preserve"> etc</w:t>
      </w:r>
      <w:r w:rsidR="0071342C">
        <w:rPr>
          <w:lang w:val="en-US"/>
        </w:rPr>
        <w:t>.</w:t>
      </w:r>
      <w:r>
        <w:rPr>
          <w:lang w:val="en-US"/>
        </w:rPr>
        <w:t xml:space="preserve">) to ensure that cost recovery and revenue generation methodologies reflect evolving technology and market </w:t>
      </w:r>
      <w:proofErr w:type="gramStart"/>
      <w:r>
        <w:rPr>
          <w:lang w:val="en-US"/>
        </w:rPr>
        <w:t>conditions;</w:t>
      </w:r>
      <w:proofErr w:type="gramEnd"/>
    </w:p>
    <w:p w14:paraId="6740EDDA" w14:textId="77777777" w:rsidR="00EE589E" w:rsidRDefault="00EE589E" w:rsidP="003D767D">
      <w:pPr>
        <w:numPr>
          <w:ilvl w:val="0"/>
          <w:numId w:val="6"/>
        </w:numPr>
        <w:tabs>
          <w:tab w:val="clear" w:pos="567"/>
          <w:tab w:val="clear" w:pos="1134"/>
          <w:tab w:val="clear" w:pos="1701"/>
          <w:tab w:val="clear" w:pos="2268"/>
          <w:tab w:val="clear" w:pos="2835"/>
        </w:tabs>
        <w:overflowPunct/>
        <w:autoSpaceDE/>
        <w:autoSpaceDN/>
        <w:adjustRightInd/>
        <w:spacing w:after="120"/>
        <w:ind w:left="704" w:hanging="420"/>
        <w:jc w:val="both"/>
        <w:textAlignment w:val="auto"/>
        <w:rPr>
          <w:lang w:val="en-AU"/>
        </w:rPr>
      </w:pPr>
      <w:proofErr w:type="spellStart"/>
      <w:r w:rsidRPr="5B7D7CE6">
        <w:rPr>
          <w:lang w:val="en-US"/>
        </w:rPr>
        <w:lastRenderedPageBreak/>
        <w:t>Analyse</w:t>
      </w:r>
      <w:proofErr w:type="spellEnd"/>
      <w:r w:rsidRPr="5B7D7CE6">
        <w:rPr>
          <w:lang w:val="en-US"/>
        </w:rPr>
        <w:t xml:space="preserve"> the performance and revenue potential of these products and services and consider potential enhancements as well as new products and </w:t>
      </w:r>
      <w:proofErr w:type="gramStart"/>
      <w:r w:rsidRPr="5B7D7CE6">
        <w:rPr>
          <w:lang w:val="en-US"/>
        </w:rPr>
        <w:t>services;</w:t>
      </w:r>
      <w:proofErr w:type="gramEnd"/>
    </w:p>
    <w:p w14:paraId="40F1A095" w14:textId="5B5DA5FB" w:rsidR="00EE589E" w:rsidRDefault="00EE589E" w:rsidP="003D767D">
      <w:pPr>
        <w:numPr>
          <w:ilvl w:val="0"/>
          <w:numId w:val="6"/>
        </w:numPr>
        <w:tabs>
          <w:tab w:val="clear" w:pos="567"/>
          <w:tab w:val="clear" w:pos="1134"/>
          <w:tab w:val="clear" w:pos="1701"/>
          <w:tab w:val="clear" w:pos="2268"/>
          <w:tab w:val="clear" w:pos="2835"/>
        </w:tabs>
        <w:overflowPunct/>
        <w:autoSpaceDE/>
        <w:autoSpaceDN/>
        <w:adjustRightInd/>
        <w:spacing w:after="120"/>
        <w:ind w:left="704" w:hanging="420"/>
        <w:jc w:val="both"/>
        <w:textAlignment w:val="auto"/>
        <w:rPr>
          <w:lang w:val="en-AU"/>
        </w:rPr>
      </w:pPr>
      <w:r w:rsidRPr="5B7D7CE6">
        <w:rPr>
          <w:lang w:val="en-AU"/>
        </w:rPr>
        <w:t>Consider internal lessons learned such as linking products/services to membership benefits, i.e. experience with ITU-T SG2 and numbering</w:t>
      </w:r>
      <w:r w:rsidR="0071342C">
        <w:rPr>
          <w:lang w:val="en-AU"/>
        </w:rPr>
        <w:t>;</w:t>
      </w:r>
      <w:r w:rsidR="2B0DA807" w:rsidRPr="3A5DF2BD">
        <w:rPr>
          <w:lang w:val="en-AU"/>
        </w:rPr>
        <w:t xml:space="preserve"> and,</w:t>
      </w:r>
    </w:p>
    <w:p w14:paraId="10AA4C8C" w14:textId="77777777" w:rsidR="00EE589E" w:rsidRPr="00ED4037" w:rsidRDefault="00EE589E" w:rsidP="003D767D">
      <w:pPr>
        <w:numPr>
          <w:ilvl w:val="0"/>
          <w:numId w:val="6"/>
        </w:numPr>
        <w:tabs>
          <w:tab w:val="clear" w:pos="567"/>
          <w:tab w:val="clear" w:pos="1134"/>
          <w:tab w:val="clear" w:pos="1701"/>
          <w:tab w:val="clear" w:pos="2268"/>
          <w:tab w:val="clear" w:pos="2835"/>
        </w:tabs>
        <w:overflowPunct/>
        <w:autoSpaceDE/>
        <w:autoSpaceDN/>
        <w:adjustRightInd/>
        <w:spacing w:after="120"/>
        <w:ind w:left="704" w:hanging="420"/>
        <w:jc w:val="both"/>
        <w:textAlignment w:val="auto"/>
        <w:rPr>
          <w:lang w:val="en-AU"/>
        </w:rPr>
      </w:pPr>
      <w:r w:rsidRPr="0FCCD35B">
        <w:rPr>
          <w:lang w:val="en-AU"/>
        </w:rPr>
        <w:t>Consider external models from other UN bodies, including WIPO among others.</w:t>
      </w:r>
    </w:p>
    <w:p w14:paraId="7BEA00AB" w14:textId="28F7921E" w:rsidR="00EE589E" w:rsidRPr="00EE58F2" w:rsidRDefault="00EE589E" w:rsidP="003D767D">
      <w:pPr>
        <w:tabs>
          <w:tab w:val="clear" w:pos="567"/>
          <w:tab w:val="clear" w:pos="1134"/>
          <w:tab w:val="clear" w:pos="1701"/>
          <w:tab w:val="clear" w:pos="2268"/>
          <w:tab w:val="clear" w:pos="2835"/>
        </w:tabs>
        <w:overflowPunct/>
        <w:autoSpaceDE/>
        <w:autoSpaceDN/>
        <w:adjustRightInd/>
        <w:spacing w:before="240" w:after="120"/>
        <w:ind w:left="284"/>
        <w:jc w:val="both"/>
        <w:textAlignment w:val="auto"/>
        <w:rPr>
          <w:b/>
          <w:bCs/>
          <w:lang w:val="en-AU"/>
        </w:rPr>
      </w:pPr>
      <w:r w:rsidRPr="4789068E">
        <w:rPr>
          <w:b/>
          <w:bCs/>
          <w:lang w:val="en-AU"/>
        </w:rPr>
        <w:t>C.</w:t>
      </w:r>
      <w:r w:rsidR="2510A26B" w:rsidRPr="3A5DF2BD">
        <w:rPr>
          <w:b/>
          <w:bCs/>
          <w:lang w:val="en-AU"/>
        </w:rPr>
        <w:t xml:space="preserve"> </w:t>
      </w:r>
      <w:r>
        <w:tab/>
      </w:r>
      <w:r w:rsidRPr="4789068E">
        <w:rPr>
          <w:b/>
          <w:bCs/>
          <w:lang w:val="en-AU"/>
        </w:rPr>
        <w:t>Increase Voluntary Contributions (Extra-budgetary funding):</w:t>
      </w:r>
    </w:p>
    <w:p w14:paraId="5B288DBD" w14:textId="77777777" w:rsidR="00EE589E" w:rsidRDefault="00EE589E" w:rsidP="003D767D">
      <w:pPr>
        <w:tabs>
          <w:tab w:val="clear" w:pos="567"/>
          <w:tab w:val="clear" w:pos="1134"/>
          <w:tab w:val="clear" w:pos="1701"/>
          <w:tab w:val="clear" w:pos="2268"/>
          <w:tab w:val="clear" w:pos="2835"/>
          <w:tab w:val="left" w:pos="720"/>
        </w:tabs>
        <w:overflowPunct/>
        <w:autoSpaceDE/>
        <w:autoSpaceDN/>
        <w:adjustRightInd/>
        <w:spacing w:after="120"/>
        <w:jc w:val="both"/>
        <w:textAlignment w:val="auto"/>
        <w:rPr>
          <w:rFonts w:asciiTheme="minorHAnsi" w:eastAsia="Calibri" w:hAnsiTheme="minorHAnsi" w:cstheme="minorBidi"/>
          <w:color w:val="000000" w:themeColor="text1"/>
          <w:lang w:val="en-US"/>
        </w:rPr>
      </w:pPr>
      <w:r w:rsidRPr="0FCCD35B">
        <w:rPr>
          <w:lang w:val="en-AU"/>
        </w:rPr>
        <w:t xml:space="preserve">During the CWG-FHR Resource Mobilization brainstorming session, Member States </w:t>
      </w:r>
      <w:r w:rsidRPr="0FCCD35B">
        <w:rPr>
          <w:rFonts w:asciiTheme="minorHAnsi" w:eastAsia="Calibri" w:hAnsiTheme="minorHAnsi" w:cstheme="minorBidi"/>
          <w:color w:val="000000" w:themeColor="text1"/>
          <w:lang w:val="en-US"/>
        </w:rPr>
        <w:t>asked the secretariat to clearly state why ITU is trying to raise additional funds. This will allow the Union to define clear objectives and then focus on priorities of members and donors, which are tailored to regional or national needs. And with this, they suggested that ITU needs to put together a specific value proposition highlighting its impact to present to donors.</w:t>
      </w:r>
    </w:p>
    <w:p w14:paraId="4FD10007" w14:textId="77777777" w:rsidR="00EE589E" w:rsidRPr="00EE58F2" w:rsidRDefault="00EE589E" w:rsidP="003D767D">
      <w:pPr>
        <w:tabs>
          <w:tab w:val="clear" w:pos="567"/>
          <w:tab w:val="clear" w:pos="1134"/>
          <w:tab w:val="clear" w:pos="1701"/>
          <w:tab w:val="clear" w:pos="2268"/>
          <w:tab w:val="clear" w:pos="2835"/>
          <w:tab w:val="left" w:pos="720"/>
        </w:tabs>
        <w:overflowPunct/>
        <w:autoSpaceDE/>
        <w:autoSpaceDN/>
        <w:adjustRightInd/>
        <w:spacing w:after="120"/>
        <w:jc w:val="both"/>
        <w:textAlignment w:val="auto"/>
        <w:rPr>
          <w:lang w:val="en-AU"/>
        </w:rPr>
      </w:pPr>
      <w:r w:rsidRPr="0FCCD35B">
        <w:rPr>
          <w:rFonts w:asciiTheme="minorHAnsi" w:eastAsia="Calibri" w:hAnsiTheme="minorHAnsi" w:cstheme="minorBidi"/>
          <w:color w:val="000000" w:themeColor="text1"/>
          <w:lang w:val="en-US"/>
        </w:rPr>
        <w:t>To</w:t>
      </w:r>
      <w:r w:rsidRPr="0FCCD35B">
        <w:rPr>
          <w:lang w:val="en-AU"/>
        </w:rPr>
        <w:t xml:space="preserve"> help </w:t>
      </w:r>
      <w:r w:rsidRPr="0FCCD35B">
        <w:rPr>
          <w:u w:val="single"/>
          <w:lang w:val="en-AU"/>
        </w:rPr>
        <w:t>increase voluntary contributions</w:t>
      </w:r>
      <w:r w:rsidRPr="0FCCD35B">
        <w:rPr>
          <w:lang w:val="en-AU"/>
        </w:rPr>
        <w:t>, the following is recommended:</w:t>
      </w:r>
    </w:p>
    <w:p w14:paraId="1FFAECD4" w14:textId="52CCF050" w:rsidR="00EE589E" w:rsidRPr="00E7053C" w:rsidRDefault="00EE589E" w:rsidP="003D767D">
      <w:pPr>
        <w:pStyle w:val="ListParagraph"/>
        <w:numPr>
          <w:ilvl w:val="0"/>
          <w:numId w:val="4"/>
        </w:numPr>
        <w:tabs>
          <w:tab w:val="clear" w:pos="567"/>
          <w:tab w:val="clear" w:pos="1134"/>
          <w:tab w:val="clear" w:pos="1701"/>
          <w:tab w:val="clear" w:pos="2268"/>
          <w:tab w:val="clear" w:pos="2835"/>
        </w:tabs>
        <w:overflowPunct/>
        <w:autoSpaceDE/>
        <w:autoSpaceDN/>
        <w:adjustRightInd/>
        <w:spacing w:after="120"/>
        <w:ind w:left="709" w:hanging="425"/>
        <w:contextualSpacing w:val="0"/>
        <w:jc w:val="both"/>
        <w:textAlignment w:val="auto"/>
        <w:rPr>
          <w:rFonts w:asciiTheme="minorHAnsi" w:eastAsia="Calibri" w:hAnsiTheme="minorHAnsi" w:cstheme="minorBidi"/>
          <w:color w:val="000000" w:themeColor="text1"/>
          <w:lang w:val="en-US"/>
        </w:rPr>
      </w:pPr>
      <w:r w:rsidRPr="0FCCD35B">
        <w:rPr>
          <w:lang w:val="en-US"/>
        </w:rPr>
        <w:t>The</w:t>
      </w:r>
      <w:r w:rsidRPr="0FCCD35B">
        <w:rPr>
          <w:lang w:val="en-AU"/>
        </w:rPr>
        <w:t xml:space="preserve"> overall rationale for seeking voluntary contributions is to increase the capacity of the secretariat to address priority areas identified by Member States which cannot be fully realized through the regular budget. Specific objectives and required funding should be defined for each major priority area, such as regional initiatives, ITU building, projects, ITU-wide thematic initiatives</w:t>
      </w:r>
      <w:r w:rsidR="0071342C">
        <w:rPr>
          <w:lang w:val="en-AU"/>
        </w:rPr>
        <w:t>,</w:t>
      </w:r>
      <w:r w:rsidRPr="0FCCD35B">
        <w:rPr>
          <w:lang w:val="en-AU"/>
        </w:rPr>
        <w:t xml:space="preserve"> etc. </w:t>
      </w:r>
    </w:p>
    <w:p w14:paraId="785C4426" w14:textId="5FECCD78" w:rsidR="00EE589E" w:rsidRPr="00EE58F2" w:rsidRDefault="00EE589E" w:rsidP="003D767D">
      <w:pPr>
        <w:numPr>
          <w:ilvl w:val="0"/>
          <w:numId w:val="4"/>
        </w:numPr>
        <w:tabs>
          <w:tab w:val="clear" w:pos="567"/>
          <w:tab w:val="clear" w:pos="1134"/>
          <w:tab w:val="clear" w:pos="1701"/>
          <w:tab w:val="clear" w:pos="2268"/>
          <w:tab w:val="clear" w:pos="2835"/>
        </w:tabs>
        <w:overflowPunct/>
        <w:autoSpaceDE/>
        <w:autoSpaceDN/>
        <w:adjustRightInd/>
        <w:spacing w:after="120"/>
        <w:ind w:left="709" w:hanging="425"/>
        <w:jc w:val="both"/>
        <w:textAlignment w:val="auto"/>
        <w:rPr>
          <w:lang w:val="en-AU"/>
        </w:rPr>
      </w:pPr>
      <w:r>
        <w:rPr>
          <w:lang w:val="en-AU"/>
        </w:rPr>
        <w:t xml:space="preserve">As part of a new value proposition for potential donors, </w:t>
      </w:r>
      <w:r w:rsidRPr="4789068E">
        <w:rPr>
          <w:lang w:val="en-AU"/>
        </w:rPr>
        <w:t>develop</w:t>
      </w:r>
      <w:r w:rsidRPr="00EE58F2">
        <w:rPr>
          <w:lang w:val="en-AU"/>
        </w:rPr>
        <w:t xml:space="preserve"> and </w:t>
      </w:r>
      <w:r w:rsidRPr="4789068E">
        <w:rPr>
          <w:lang w:val="en-AU"/>
        </w:rPr>
        <w:t>promote</w:t>
      </w:r>
      <w:r w:rsidRPr="00EE58F2" w:rsidDel="00383E2F">
        <w:rPr>
          <w:lang w:val="en-AU"/>
        </w:rPr>
        <w:t xml:space="preserve"> </w:t>
      </w:r>
      <w:r w:rsidRPr="00EE58F2">
        <w:rPr>
          <w:lang w:val="en-AU"/>
        </w:rPr>
        <w:t>IT</w:t>
      </w:r>
      <w:r>
        <w:rPr>
          <w:lang w:val="en-AU"/>
        </w:rPr>
        <w:t>U-</w:t>
      </w:r>
      <w:r w:rsidRPr="4789068E">
        <w:rPr>
          <w:lang w:val="en-AU"/>
        </w:rPr>
        <w:t>wide</w:t>
      </w:r>
      <w:r w:rsidRPr="00EE58F2">
        <w:rPr>
          <w:lang w:val="en-AU"/>
        </w:rPr>
        <w:t xml:space="preserve"> thematic initiatives </w:t>
      </w:r>
      <w:r>
        <w:rPr>
          <w:lang w:val="en-AU"/>
        </w:rPr>
        <w:t xml:space="preserve">with multi-year commitments </w:t>
      </w:r>
      <w:r w:rsidRPr="00EE58F2">
        <w:rPr>
          <w:lang w:val="en-AU"/>
        </w:rPr>
        <w:t>to complement activities funded by the regular budget</w:t>
      </w:r>
      <w:r>
        <w:rPr>
          <w:lang w:val="en-AU"/>
        </w:rPr>
        <w:t xml:space="preserve">. </w:t>
      </w:r>
      <w:r w:rsidRPr="4789068E">
        <w:rPr>
          <w:lang w:val="en-AU"/>
        </w:rPr>
        <w:t>To get started, ITU is pilot</w:t>
      </w:r>
      <w:r>
        <w:rPr>
          <w:lang w:val="en-AU"/>
        </w:rPr>
        <w:t xml:space="preserve"> testing Green Digital Action and AI for Good </w:t>
      </w:r>
      <w:r w:rsidRPr="4789068E">
        <w:rPr>
          <w:lang w:val="en-AU"/>
        </w:rPr>
        <w:t xml:space="preserve">thematic initiatives </w:t>
      </w:r>
      <w:r>
        <w:rPr>
          <w:lang w:val="en-AU"/>
        </w:rPr>
        <w:t xml:space="preserve">in 2024. See </w:t>
      </w:r>
      <w:hyperlink w:anchor="Annex" w:history="1">
        <w:r w:rsidRPr="006110D5">
          <w:rPr>
            <w:rStyle w:val="Hyperlink"/>
            <w:lang w:val="en-AU"/>
          </w:rPr>
          <w:t>Annex</w:t>
        </w:r>
      </w:hyperlink>
      <w:r>
        <w:rPr>
          <w:lang w:val="en-AU"/>
        </w:rPr>
        <w:t xml:space="preserve"> for details. </w:t>
      </w:r>
    </w:p>
    <w:p w14:paraId="06AF5C6C" w14:textId="77777777" w:rsidR="00EE589E" w:rsidRPr="001729F3" w:rsidRDefault="00EE589E" w:rsidP="003D767D">
      <w:pPr>
        <w:numPr>
          <w:ilvl w:val="0"/>
          <w:numId w:val="4"/>
        </w:numPr>
        <w:tabs>
          <w:tab w:val="clear" w:pos="567"/>
          <w:tab w:val="clear" w:pos="1134"/>
          <w:tab w:val="clear" w:pos="1701"/>
          <w:tab w:val="clear" w:pos="2268"/>
          <w:tab w:val="clear" w:pos="2835"/>
        </w:tabs>
        <w:overflowPunct/>
        <w:autoSpaceDE/>
        <w:autoSpaceDN/>
        <w:adjustRightInd/>
        <w:spacing w:after="120"/>
        <w:ind w:left="709" w:hanging="425"/>
        <w:jc w:val="both"/>
        <w:textAlignment w:val="auto"/>
        <w:rPr>
          <w:rFonts w:eastAsia="Calibri"/>
          <w:lang w:val="en-AU"/>
        </w:rPr>
      </w:pPr>
      <w:r w:rsidRPr="4789068E">
        <w:rPr>
          <w:lang w:val="en-AU"/>
        </w:rPr>
        <w:t>Strengthen</w:t>
      </w:r>
      <w:r w:rsidRPr="5B7D7CE6" w:rsidDel="00EE58F2">
        <w:rPr>
          <w:lang w:val="en-AU"/>
        </w:rPr>
        <w:t xml:space="preserve"> </w:t>
      </w:r>
      <w:r w:rsidRPr="5B7D7CE6">
        <w:rPr>
          <w:lang w:val="en-AU"/>
        </w:rPr>
        <w:t>ITU-</w:t>
      </w:r>
      <w:r w:rsidRPr="4789068E">
        <w:rPr>
          <w:lang w:val="en-AU"/>
        </w:rPr>
        <w:t>wide</w:t>
      </w:r>
      <w:r w:rsidRPr="5B7D7CE6">
        <w:rPr>
          <w:lang w:val="en-AU"/>
        </w:rPr>
        <w:t xml:space="preserve"> coordination of outreach with partners and donors leveraging new systems </w:t>
      </w:r>
      <w:r w:rsidRPr="4789068E">
        <w:rPr>
          <w:lang w:val="en-AU"/>
        </w:rPr>
        <w:t>to</w:t>
      </w:r>
      <w:r w:rsidRPr="5B7D7CE6">
        <w:rPr>
          <w:lang w:val="en-AU"/>
        </w:rPr>
        <w:t xml:space="preserve"> improve membership </w:t>
      </w:r>
      <w:proofErr w:type="gramStart"/>
      <w:r w:rsidRPr="5B7D7CE6">
        <w:rPr>
          <w:lang w:val="en-AU"/>
        </w:rPr>
        <w:t>engagement</w:t>
      </w:r>
      <w:r w:rsidRPr="4789068E" w:rsidDel="001729F3">
        <w:rPr>
          <w:rFonts w:eastAsia="Calibri"/>
          <w:lang w:val="en-AU"/>
        </w:rPr>
        <w:t>;</w:t>
      </w:r>
      <w:proofErr w:type="gramEnd"/>
    </w:p>
    <w:p w14:paraId="10793D08" w14:textId="77777777" w:rsidR="00EE589E" w:rsidRPr="00EE58F2" w:rsidRDefault="00EE589E" w:rsidP="003D767D">
      <w:pPr>
        <w:numPr>
          <w:ilvl w:val="0"/>
          <w:numId w:val="4"/>
        </w:numPr>
        <w:tabs>
          <w:tab w:val="clear" w:pos="567"/>
          <w:tab w:val="clear" w:pos="1134"/>
          <w:tab w:val="clear" w:pos="1701"/>
          <w:tab w:val="clear" w:pos="2268"/>
          <w:tab w:val="clear" w:pos="2835"/>
        </w:tabs>
        <w:overflowPunct/>
        <w:autoSpaceDE/>
        <w:autoSpaceDN/>
        <w:adjustRightInd/>
        <w:spacing w:after="120"/>
        <w:ind w:left="709" w:hanging="425"/>
        <w:jc w:val="both"/>
        <w:textAlignment w:val="auto"/>
        <w:rPr>
          <w:lang w:val="en-AU"/>
        </w:rPr>
      </w:pPr>
      <w:r w:rsidRPr="5B7D7CE6">
        <w:rPr>
          <w:lang w:val="en-AU"/>
        </w:rPr>
        <w:t xml:space="preserve">Collaborate with Member States to reach out to new potential partners and donors, including other Ministries in the government and development agencies, as well as foundations. Also explore potential collaboration with development </w:t>
      </w:r>
      <w:proofErr w:type="gramStart"/>
      <w:r w:rsidRPr="5B7D7CE6">
        <w:rPr>
          <w:lang w:val="en-AU"/>
        </w:rPr>
        <w:t>banks;</w:t>
      </w:r>
      <w:proofErr w:type="gramEnd"/>
    </w:p>
    <w:p w14:paraId="16270C50" w14:textId="77777777" w:rsidR="00EE589E" w:rsidRDefault="00EE589E" w:rsidP="003D767D">
      <w:pPr>
        <w:numPr>
          <w:ilvl w:val="0"/>
          <w:numId w:val="4"/>
        </w:numPr>
        <w:tabs>
          <w:tab w:val="clear" w:pos="567"/>
          <w:tab w:val="clear" w:pos="1134"/>
          <w:tab w:val="clear" w:pos="1701"/>
          <w:tab w:val="clear" w:pos="2268"/>
          <w:tab w:val="clear" w:pos="2835"/>
        </w:tabs>
        <w:overflowPunct/>
        <w:autoSpaceDE/>
        <w:autoSpaceDN/>
        <w:adjustRightInd/>
        <w:spacing w:after="120"/>
        <w:ind w:left="709" w:hanging="425"/>
        <w:jc w:val="both"/>
        <w:textAlignment w:val="auto"/>
        <w:rPr>
          <w:lang w:val="en-AU"/>
        </w:rPr>
      </w:pPr>
      <w:r w:rsidRPr="0FCCD35B">
        <w:rPr>
          <w:lang w:val="en-AU"/>
        </w:rPr>
        <w:t xml:space="preserve">Strengthen capacity for fundraising and project implementation as part of the ITU’s transformation plan. This will help build confidence among donors and </w:t>
      </w:r>
      <w:proofErr w:type="gramStart"/>
      <w:r w:rsidRPr="0FCCD35B">
        <w:rPr>
          <w:lang w:val="en-AU"/>
        </w:rPr>
        <w:t>partners;</w:t>
      </w:r>
      <w:proofErr w:type="gramEnd"/>
    </w:p>
    <w:p w14:paraId="73101993" w14:textId="3527E266" w:rsidR="00EE589E" w:rsidRPr="00EE58F2" w:rsidRDefault="00EE589E" w:rsidP="003D767D">
      <w:pPr>
        <w:numPr>
          <w:ilvl w:val="0"/>
          <w:numId w:val="4"/>
        </w:numPr>
        <w:tabs>
          <w:tab w:val="clear" w:pos="567"/>
          <w:tab w:val="clear" w:pos="1134"/>
          <w:tab w:val="clear" w:pos="1701"/>
          <w:tab w:val="clear" w:pos="2268"/>
          <w:tab w:val="clear" w:pos="2835"/>
        </w:tabs>
        <w:overflowPunct/>
        <w:autoSpaceDE/>
        <w:autoSpaceDN/>
        <w:adjustRightInd/>
        <w:spacing w:after="120"/>
        <w:ind w:left="709" w:hanging="425"/>
        <w:jc w:val="both"/>
        <w:textAlignment w:val="auto"/>
        <w:rPr>
          <w:lang w:val="en-AU"/>
        </w:rPr>
      </w:pPr>
      <w:r w:rsidRPr="5B7D7CE6">
        <w:rPr>
          <w:lang w:val="en-AU"/>
        </w:rPr>
        <w:t>Encourage and recognize in-kind contributions from Member States and other partners, such as expert secondments, equipment</w:t>
      </w:r>
      <w:r w:rsidR="00560ABA">
        <w:rPr>
          <w:lang w:val="en-AU"/>
        </w:rPr>
        <w:t>,</w:t>
      </w:r>
      <w:r w:rsidRPr="5B7D7CE6">
        <w:rPr>
          <w:lang w:val="en-AU"/>
        </w:rPr>
        <w:t xml:space="preserve"> and services; and, </w:t>
      </w:r>
    </w:p>
    <w:p w14:paraId="4BB2054D" w14:textId="2EC5A296" w:rsidR="00EE589E" w:rsidRPr="00EE58F2" w:rsidRDefault="00EE589E" w:rsidP="003D767D">
      <w:pPr>
        <w:numPr>
          <w:ilvl w:val="0"/>
          <w:numId w:val="4"/>
        </w:numPr>
        <w:tabs>
          <w:tab w:val="clear" w:pos="567"/>
          <w:tab w:val="clear" w:pos="1134"/>
          <w:tab w:val="clear" w:pos="1701"/>
          <w:tab w:val="clear" w:pos="2268"/>
          <w:tab w:val="clear" w:pos="2835"/>
        </w:tabs>
        <w:overflowPunct/>
        <w:autoSpaceDE/>
        <w:autoSpaceDN/>
        <w:adjustRightInd/>
        <w:spacing w:after="120"/>
        <w:ind w:left="709" w:hanging="425"/>
        <w:jc w:val="both"/>
        <w:textAlignment w:val="auto"/>
        <w:rPr>
          <w:lang w:val="en-AU"/>
        </w:rPr>
      </w:pPr>
      <w:r w:rsidRPr="0FCCD35B">
        <w:rPr>
          <w:lang w:val="en-AU"/>
        </w:rPr>
        <w:t>Explore increasing minimum thresholds for sponsorship/voluntary contributions to reflect the internal administrative/staff cost of acquisition.</w:t>
      </w:r>
    </w:p>
    <w:p w14:paraId="71BA627B" w14:textId="745D1199" w:rsidR="00EE589E" w:rsidRPr="00EE58F2" w:rsidRDefault="00EE589E" w:rsidP="003D767D">
      <w:pPr>
        <w:keepNext/>
        <w:keepLines/>
        <w:tabs>
          <w:tab w:val="clear" w:pos="567"/>
          <w:tab w:val="clear" w:pos="1134"/>
          <w:tab w:val="clear" w:pos="1701"/>
          <w:tab w:val="clear" w:pos="2268"/>
          <w:tab w:val="clear" w:pos="2835"/>
        </w:tabs>
        <w:overflowPunct/>
        <w:autoSpaceDE/>
        <w:autoSpaceDN/>
        <w:adjustRightInd/>
        <w:spacing w:after="120"/>
        <w:jc w:val="both"/>
        <w:textAlignment w:val="auto"/>
        <w:rPr>
          <w:b/>
        </w:rPr>
      </w:pPr>
      <w:r w:rsidRPr="00EE58F2">
        <w:rPr>
          <w:b/>
        </w:rPr>
        <w:t>3.</w:t>
      </w:r>
      <w:r>
        <w:tab/>
      </w:r>
      <w:r w:rsidR="006A3247">
        <w:rPr>
          <w:b/>
          <w:bCs/>
        </w:rPr>
        <w:t>N</w:t>
      </w:r>
      <w:r w:rsidRPr="00EE58F2">
        <w:rPr>
          <w:b/>
        </w:rPr>
        <w:t xml:space="preserve">ext </w:t>
      </w:r>
      <w:r>
        <w:rPr>
          <w:b/>
        </w:rPr>
        <w:t>s</w:t>
      </w:r>
      <w:r w:rsidRPr="00EE58F2">
        <w:rPr>
          <w:b/>
        </w:rPr>
        <w:t xml:space="preserve">teps and </w:t>
      </w:r>
      <w:r>
        <w:rPr>
          <w:b/>
        </w:rPr>
        <w:t>a</w:t>
      </w:r>
      <w:r w:rsidRPr="00EE58F2">
        <w:rPr>
          <w:b/>
        </w:rPr>
        <w:t xml:space="preserve">ctions </w:t>
      </w:r>
      <w:r>
        <w:rPr>
          <w:b/>
        </w:rPr>
        <w:t>p</w:t>
      </w:r>
      <w:r w:rsidRPr="00EE58F2">
        <w:rPr>
          <w:b/>
        </w:rPr>
        <w:t xml:space="preserve">lanned by the </w:t>
      </w:r>
      <w:r>
        <w:rPr>
          <w:b/>
        </w:rPr>
        <w:t>s</w:t>
      </w:r>
      <w:r w:rsidRPr="00EE58F2">
        <w:rPr>
          <w:b/>
        </w:rPr>
        <w:t>ecretariat</w:t>
      </w:r>
    </w:p>
    <w:p w14:paraId="1660FC9A" w14:textId="7EBD2757" w:rsidR="00EE589E" w:rsidRDefault="00EE589E" w:rsidP="003D767D">
      <w:pPr>
        <w:keepNext/>
        <w:keepLines/>
        <w:tabs>
          <w:tab w:val="clear" w:pos="567"/>
          <w:tab w:val="clear" w:pos="1134"/>
          <w:tab w:val="clear" w:pos="1701"/>
          <w:tab w:val="clear" w:pos="2268"/>
          <w:tab w:val="clear" w:pos="2835"/>
        </w:tabs>
        <w:overflowPunct/>
        <w:autoSpaceDE/>
        <w:autoSpaceDN/>
        <w:adjustRightInd/>
        <w:spacing w:after="120"/>
        <w:jc w:val="both"/>
        <w:textAlignment w:val="auto"/>
      </w:pPr>
      <w:r>
        <w:t xml:space="preserve">The </w:t>
      </w:r>
      <w:r w:rsidRPr="00EE58F2">
        <w:t>Council is invited</w:t>
      </w:r>
      <w:r>
        <w:t xml:space="preserve"> </w:t>
      </w:r>
      <w:r w:rsidRPr="008F6C7D">
        <w:rPr>
          <w:b/>
          <w:bCs/>
        </w:rPr>
        <w:t>to note</w:t>
      </w:r>
      <w:r>
        <w:t xml:space="preserve"> </w:t>
      </w:r>
      <w:r w:rsidRPr="00EE58F2">
        <w:t>this document</w:t>
      </w:r>
      <w:r>
        <w:t xml:space="preserve"> and provide feedback on the various proposed actions</w:t>
      </w:r>
      <w:r w:rsidRPr="00EE58F2">
        <w:t xml:space="preserve">. </w:t>
      </w:r>
      <w:r>
        <w:t xml:space="preserve">The secretariat has established an internal ITU-wide resource mobilization task force </w:t>
      </w:r>
      <w:r w:rsidR="42FC04C2">
        <w:t xml:space="preserve">to </w:t>
      </w:r>
      <w:r>
        <w:t>coordinate development and implementation of the resource mobilization strategy.</w:t>
      </w:r>
    </w:p>
    <w:p w14:paraId="5D7FC8AB" w14:textId="77777777" w:rsidR="00EE589E" w:rsidRDefault="00EE589E" w:rsidP="00EE589E">
      <w:pPr>
        <w:tabs>
          <w:tab w:val="clear" w:pos="567"/>
          <w:tab w:val="clear" w:pos="1134"/>
          <w:tab w:val="clear" w:pos="1701"/>
          <w:tab w:val="clear" w:pos="2268"/>
          <w:tab w:val="clear" w:pos="2835"/>
        </w:tabs>
        <w:overflowPunct/>
        <w:autoSpaceDE/>
        <w:autoSpaceDN/>
        <w:adjustRightInd/>
        <w:spacing w:before="0"/>
        <w:textAlignment w:val="auto"/>
        <w:rPr>
          <w:b/>
          <w:bCs/>
        </w:rPr>
      </w:pPr>
      <w:r>
        <w:rPr>
          <w:b/>
          <w:bCs/>
        </w:rPr>
        <w:br w:type="page"/>
      </w:r>
    </w:p>
    <w:p w14:paraId="0A423CCA" w14:textId="1B2C1B96" w:rsidR="00EE589E" w:rsidRPr="006D7B39" w:rsidRDefault="00EE589E" w:rsidP="0071342C">
      <w:pPr>
        <w:pStyle w:val="AnnexNo"/>
        <w:spacing w:before="480"/>
      </w:pPr>
      <w:bookmarkStart w:id="11" w:name="Annex"/>
      <w:r>
        <w:lastRenderedPageBreak/>
        <w:t>Annex</w:t>
      </w:r>
      <w:bookmarkEnd w:id="11"/>
    </w:p>
    <w:p w14:paraId="2A22BDBE" w14:textId="77777777" w:rsidR="00EE589E" w:rsidRPr="00EE58F2" w:rsidRDefault="00EE589E" w:rsidP="006110D5">
      <w:pPr>
        <w:pStyle w:val="Annextitle"/>
        <w:rPr>
          <w:lang w:val="en-US"/>
        </w:rPr>
      </w:pPr>
      <w:r w:rsidRPr="4789068E">
        <w:rPr>
          <w:lang w:val="en-US"/>
        </w:rPr>
        <w:t xml:space="preserve">Thematic Initiatives: </w:t>
      </w:r>
      <w:r w:rsidRPr="00EE58F2">
        <w:rPr>
          <w:lang w:val="en-US"/>
        </w:rPr>
        <w:t>ITU</w:t>
      </w:r>
      <w:r>
        <w:rPr>
          <w:lang w:val="en-US"/>
        </w:rPr>
        <w:t>-wide</w:t>
      </w:r>
      <w:r w:rsidRPr="00EE58F2">
        <w:rPr>
          <w:lang w:val="en-US"/>
        </w:rPr>
        <w:t xml:space="preserve"> positioning framework</w:t>
      </w:r>
    </w:p>
    <w:p w14:paraId="0FF2612C" w14:textId="045D2174" w:rsidR="00A514A4" w:rsidRPr="0090147A" w:rsidRDefault="00EE589E" w:rsidP="3A5DF2BD">
      <w:pPr>
        <w:tabs>
          <w:tab w:val="clear" w:pos="567"/>
          <w:tab w:val="clear" w:pos="1134"/>
          <w:tab w:val="clear" w:pos="1701"/>
          <w:tab w:val="clear" w:pos="2268"/>
          <w:tab w:val="clear" w:pos="2835"/>
        </w:tabs>
        <w:overflowPunct/>
        <w:autoSpaceDE/>
        <w:autoSpaceDN/>
        <w:adjustRightInd/>
        <w:spacing w:before="840" w:after="120"/>
        <w:jc w:val="both"/>
        <w:textAlignment w:val="auto"/>
        <w:rPr>
          <w:lang w:val="en-US"/>
        </w:rPr>
      </w:pPr>
      <w:r w:rsidRPr="06E40E5D">
        <w:rPr>
          <w:lang w:val="en-US"/>
        </w:rPr>
        <w:t xml:space="preserve">Based on the analysis highlighted in section 2.3, the ITU secretariat and BCG worked together to refine a theme-based ITU-wide positioning framework, in line with objectives of the ITU strategic plan to provide a coherent way of explaining ITU’s value proposition to potential partners or donors. </w:t>
      </w:r>
      <w:r w:rsidR="06E33860" w:rsidRPr="06E40E5D">
        <w:rPr>
          <w:lang w:val="en-US"/>
        </w:rPr>
        <w:t>The ITU-wide positioning framework builds on the already demonstrated capabilities of ITU.</w:t>
      </w:r>
      <w:r w:rsidR="38AF5410" w:rsidRPr="06E40E5D">
        <w:rPr>
          <w:lang w:val="en-US"/>
        </w:rPr>
        <w:t xml:space="preserve"> This framework is applied to the example of Green Digital Action in Table 2 below.</w:t>
      </w:r>
    </w:p>
    <w:p w14:paraId="1BEA1428" w14:textId="12CE58CA" w:rsidR="00A514A4" w:rsidRPr="0090147A" w:rsidRDefault="6ECEE04F" w:rsidP="06E40E5D">
      <w:pPr>
        <w:pStyle w:val="p1"/>
        <w:spacing w:before="840"/>
      </w:pPr>
      <w:r w:rsidRPr="06E40E5D">
        <w:rPr>
          <w:rFonts w:asciiTheme="minorHAnsi" w:hAnsiTheme="minorHAnsi" w:cstheme="minorBidi"/>
          <w:b/>
          <w:bCs/>
          <w:sz w:val="24"/>
          <w:szCs w:val="24"/>
        </w:rPr>
        <w:t xml:space="preserve">Table </w:t>
      </w:r>
      <w:r w:rsidR="40F06D37" w:rsidRPr="06E40E5D">
        <w:rPr>
          <w:rFonts w:asciiTheme="minorHAnsi" w:hAnsiTheme="minorHAnsi" w:cstheme="minorBidi"/>
          <w:b/>
          <w:bCs/>
          <w:sz w:val="24"/>
          <w:szCs w:val="24"/>
        </w:rPr>
        <w:t>2</w:t>
      </w:r>
      <w:r w:rsidRPr="06E40E5D">
        <w:rPr>
          <w:rFonts w:asciiTheme="minorHAnsi" w:hAnsiTheme="minorHAnsi" w:cstheme="minorBidi"/>
          <w:b/>
          <w:bCs/>
          <w:sz w:val="24"/>
          <w:szCs w:val="24"/>
        </w:rPr>
        <w:t xml:space="preserve">. </w:t>
      </w:r>
      <w:r w:rsidR="53BE7237" w:rsidRPr="06E40E5D">
        <w:rPr>
          <w:rFonts w:asciiTheme="minorHAnsi" w:hAnsiTheme="minorHAnsi" w:cstheme="minorBidi"/>
          <w:b/>
          <w:bCs/>
          <w:sz w:val="24"/>
          <w:szCs w:val="24"/>
        </w:rPr>
        <w:t xml:space="preserve">ITU-wide </w:t>
      </w:r>
      <w:r w:rsidRPr="06E40E5D">
        <w:rPr>
          <w:rFonts w:asciiTheme="minorHAnsi" w:hAnsiTheme="minorHAnsi" w:cstheme="minorBidi"/>
          <w:b/>
          <w:bCs/>
          <w:sz w:val="24"/>
          <w:szCs w:val="24"/>
        </w:rPr>
        <w:t xml:space="preserve">Theme-based Positioning Framework applied to Green Digital Action </w:t>
      </w:r>
      <w:r w:rsidR="016E7291">
        <w:rPr>
          <w:noProof/>
          <w:color w:val="2B579A"/>
          <w:shd w:val="clear" w:color="auto" w:fill="E6E6E6"/>
        </w:rPr>
        <w:drawing>
          <wp:inline distT="0" distB="0" distL="0" distR="0" wp14:anchorId="0C36582C" wp14:editId="4E49EB5C">
            <wp:extent cx="5762626" cy="3190875"/>
            <wp:effectExtent l="0" t="0" r="0" b="0"/>
            <wp:docPr id="1270223697" name="Picture 1270223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0223697"/>
                    <pic:cNvPicPr/>
                  </pic:nvPicPr>
                  <pic:blipFill>
                    <a:blip r:embed="rId26">
                      <a:extLst>
                        <a:ext uri="{28A0092B-C50C-407E-A947-70E740481C1C}">
                          <a14:useLocalDpi xmlns:a14="http://schemas.microsoft.com/office/drawing/2010/main" val="0"/>
                        </a:ext>
                      </a:extLst>
                    </a:blip>
                    <a:stretch>
                      <a:fillRect/>
                    </a:stretch>
                  </pic:blipFill>
                  <pic:spPr>
                    <a:xfrm>
                      <a:off x="0" y="0"/>
                      <a:ext cx="5762626" cy="3190875"/>
                    </a:xfrm>
                    <a:prstGeom prst="rect">
                      <a:avLst/>
                    </a:prstGeom>
                  </pic:spPr>
                </pic:pic>
              </a:graphicData>
            </a:graphic>
          </wp:inline>
        </w:drawing>
      </w:r>
    </w:p>
    <w:p w14:paraId="257674B4" w14:textId="1C10D479" w:rsidR="00A514A4" w:rsidRPr="0090147A" w:rsidRDefault="0071342C" w:rsidP="3A5DF2BD">
      <w:pPr>
        <w:pStyle w:val="p1"/>
        <w:spacing w:before="840"/>
        <w:jc w:val="center"/>
        <w:rPr>
          <w:lang w:val="es-ES"/>
        </w:rPr>
      </w:pPr>
      <w:r>
        <w:t>_____________</w:t>
      </w:r>
    </w:p>
    <w:sectPr w:rsidR="00A514A4" w:rsidRPr="0090147A" w:rsidSect="009E0D4D">
      <w:footerReference w:type="default" r:id="rId27"/>
      <w:headerReference w:type="first" r:id="rId28"/>
      <w:footerReference w:type="first" r:id="rId2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0C85A" w14:textId="77777777" w:rsidR="009E0D4D" w:rsidRDefault="009E0D4D">
      <w:r>
        <w:separator/>
      </w:r>
    </w:p>
  </w:endnote>
  <w:endnote w:type="continuationSeparator" w:id="0">
    <w:p w14:paraId="51646469" w14:textId="77777777" w:rsidR="009E0D4D" w:rsidRDefault="009E0D4D">
      <w:r>
        <w:continuationSeparator/>
      </w:r>
    </w:p>
  </w:endnote>
  <w:endnote w:type="continuationNotice" w:id="1">
    <w:p w14:paraId="57729686" w14:textId="77777777" w:rsidR="009E0D4D" w:rsidRDefault="009E0D4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E278FF">
      <w:trPr>
        <w:jc w:val="center"/>
      </w:trPr>
      <w:tc>
        <w:tcPr>
          <w:tcW w:w="1803" w:type="dxa"/>
          <w:vAlign w:val="center"/>
        </w:tcPr>
        <w:p w14:paraId="727FD637" w14:textId="2235ADDE" w:rsidR="00EE49E8" w:rsidRDefault="00EE49E8" w:rsidP="00EE49E8">
          <w:pPr>
            <w:pStyle w:val="Header"/>
            <w:jc w:val="left"/>
            <w:rPr>
              <w:noProof/>
            </w:rPr>
          </w:pPr>
        </w:p>
      </w:tc>
      <w:tc>
        <w:tcPr>
          <w:tcW w:w="8261" w:type="dxa"/>
        </w:tcPr>
        <w:p w14:paraId="2D49E76E" w14:textId="70DB255F"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DC2545">
            <w:rPr>
              <w:bCs/>
            </w:rPr>
            <w:t>70</w:t>
          </w:r>
          <w:r w:rsidRPr="00623AE3">
            <w:rPr>
              <w:bCs/>
            </w:rPr>
            <w:t>-E</w:t>
          </w:r>
          <w:r>
            <w:rPr>
              <w:bCs/>
            </w:rPr>
            <w:tab/>
          </w:r>
          <w:r w:rsidRPr="00C20D04">
            <w:rPr>
              <w:color w:val="2B579A"/>
            </w:rPr>
            <w:fldChar w:fldCharType="begin"/>
          </w:r>
          <w:r w:rsidRPr="00C20D04">
            <w:instrText>PAGE</w:instrText>
          </w:r>
          <w:r w:rsidRPr="00C20D04">
            <w:rPr>
              <w:color w:val="2B579A"/>
            </w:rPr>
            <w:fldChar w:fldCharType="separate"/>
          </w:r>
          <w:r w:rsidRPr="00C20D04">
            <w:t>1</w:t>
          </w:r>
          <w:r w:rsidRPr="00C20D04">
            <w:rPr>
              <w:noProof/>
              <w:color w:val="2B579A"/>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F588A4C" w14:textId="77777777" w:rsidTr="00EE49E8">
      <w:trPr>
        <w:jc w:val="center"/>
      </w:trPr>
      <w:tc>
        <w:tcPr>
          <w:tcW w:w="1803" w:type="dxa"/>
          <w:vAlign w:val="center"/>
        </w:tcPr>
        <w:p w14:paraId="4E7A2825" w14:textId="77777777" w:rsidR="00EE49E8" w:rsidRDefault="00904259"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3F62E0D8" w14:textId="7E423395"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DC2545">
            <w:rPr>
              <w:bCs/>
            </w:rPr>
            <w:t>70</w:t>
          </w:r>
          <w:r w:rsidRPr="00623AE3">
            <w:rPr>
              <w:bCs/>
            </w:rPr>
            <w:t>-E</w:t>
          </w:r>
          <w:r>
            <w:rPr>
              <w:bCs/>
            </w:rPr>
            <w:tab/>
          </w:r>
          <w:r w:rsidRPr="00C20D04">
            <w:rPr>
              <w:color w:val="2B579A"/>
            </w:rPr>
            <w:fldChar w:fldCharType="begin"/>
          </w:r>
          <w:r w:rsidRPr="00C20D04">
            <w:instrText>PAGE</w:instrText>
          </w:r>
          <w:r w:rsidRPr="00C20D04">
            <w:rPr>
              <w:color w:val="2B579A"/>
            </w:rPr>
            <w:fldChar w:fldCharType="separate"/>
          </w:r>
          <w:r w:rsidRPr="00C20D04">
            <w:t>1</w:t>
          </w:r>
          <w:r w:rsidRPr="00C20D04">
            <w:rPr>
              <w:noProof/>
              <w:color w:val="2B579A"/>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F9409" w14:textId="77777777" w:rsidR="009E0D4D" w:rsidRDefault="009E0D4D">
      <w:r>
        <w:t>____________________</w:t>
      </w:r>
    </w:p>
  </w:footnote>
  <w:footnote w:type="continuationSeparator" w:id="0">
    <w:p w14:paraId="570DAD71" w14:textId="77777777" w:rsidR="009E0D4D" w:rsidRDefault="009E0D4D">
      <w:r>
        <w:continuationSeparator/>
      </w:r>
    </w:p>
  </w:footnote>
  <w:footnote w:type="continuationNotice" w:id="1">
    <w:p w14:paraId="68FDB8C7" w14:textId="77777777" w:rsidR="009E0D4D" w:rsidRDefault="009E0D4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C20D04" w:rsidRPr="00C20D04" w14:paraId="57F9E72A" w14:textId="77777777" w:rsidTr="00B06C6F">
      <w:trPr>
        <w:trHeight w:val="1104"/>
        <w:jc w:val="center"/>
      </w:trPr>
      <w:tc>
        <w:tcPr>
          <w:tcW w:w="4390" w:type="dxa"/>
          <w:vAlign w:val="center"/>
        </w:tcPr>
        <w:p w14:paraId="38EFF4EC" w14:textId="77777777" w:rsidR="00C20D04" w:rsidRPr="00C20D04" w:rsidRDefault="00C20D04" w:rsidP="00C20D04">
          <w:pPr>
            <w:pStyle w:val="Header"/>
            <w:rPr>
              <w:rFonts w:eastAsia="Times New Roman" w:cs="Times New Roman"/>
              <w:b/>
              <w:bCs/>
              <w:szCs w:val="20"/>
            </w:rPr>
          </w:pPr>
          <w:bookmarkStart w:id="12" w:name="_Hlk133422111"/>
          <w:r w:rsidRPr="00C20D04">
            <w:rPr>
              <w:rFonts w:eastAsia="Times New Roman" w:cs="Times New Roman"/>
              <w:szCs w:val="20"/>
            </w:rPr>
            <w:drawing>
              <wp:inline distT="0" distB="0" distL="0" distR="0" wp14:anchorId="29262C1F" wp14:editId="38777063">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6893D354" w14:textId="77777777" w:rsidR="00C20D04" w:rsidRPr="00C20D04" w:rsidRDefault="00C20D04" w:rsidP="00C20D04">
          <w:pPr>
            <w:pStyle w:val="Header"/>
            <w:rPr>
              <w:rFonts w:eastAsia="Times New Roman" w:cs="Times New Roman"/>
              <w:b/>
              <w:bCs/>
              <w:szCs w:val="20"/>
            </w:rPr>
          </w:pPr>
        </w:p>
        <w:p w14:paraId="0A1F364E" w14:textId="77777777" w:rsidR="00C20D04" w:rsidRPr="00C20D04" w:rsidRDefault="00C20D04" w:rsidP="00C20D04">
          <w:pPr>
            <w:pStyle w:val="Header"/>
            <w:rPr>
              <w:rFonts w:eastAsia="Times New Roman" w:cs="Times New Roman"/>
              <w:b/>
              <w:bCs/>
              <w:szCs w:val="20"/>
            </w:rPr>
          </w:pPr>
        </w:p>
        <w:p w14:paraId="6A72FA51" w14:textId="77777777" w:rsidR="00C20D04" w:rsidRPr="00C20D04" w:rsidRDefault="00C20D04" w:rsidP="00C20D04">
          <w:pPr>
            <w:pStyle w:val="Header"/>
            <w:rPr>
              <w:rFonts w:eastAsia="Times New Roman" w:cs="Times New Roman"/>
              <w:szCs w:val="20"/>
            </w:rPr>
          </w:pPr>
          <w:r w:rsidRPr="00C20D04">
            <w:rPr>
              <w:rFonts w:eastAsia="Times New Roman" w:cs="Times New Roman"/>
              <w:b/>
              <w:bCs/>
              <w:szCs w:val="20"/>
            </w:rPr>
            <w:t xml:space="preserve"> </w:t>
          </w:r>
        </w:p>
      </w:tc>
    </w:tr>
  </w:tbl>
  <w:bookmarkEnd w:id="12"/>
  <w:p w14:paraId="0D24EB89" w14:textId="4136AD56" w:rsidR="00AD3606" w:rsidRDefault="00AD3606">
    <w:pPr>
      <w:pStyle w:val="Header"/>
    </w:pPr>
    <w:r w:rsidRPr="00802C2C">
      <w:rPr>
        <w:rFonts w:ascii="Avenir Nxt2 W1G Medium" w:eastAsia="Avenir Nxt2 W1G Medium" w:hAnsi="Avenir Nxt2 W1G Medium" w:cs="Avenir Nxt2 W1G Medium"/>
        <w:noProof/>
        <w:color w:val="2B579A"/>
        <w:shd w:val="clear" w:color="auto" w:fill="E6E6E6"/>
      </w:rPr>
      <mc:AlternateContent>
        <mc:Choice Requires="wps">
          <w:drawing>
            <wp:anchor distT="0" distB="0" distL="114300" distR="114300" simplePos="0" relativeHeight="251658240"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EC594"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CE649C"/>
    <w:multiLevelType w:val="hybridMultilevel"/>
    <w:tmpl w:val="D1D2E094"/>
    <w:lvl w:ilvl="0" w:tplc="0409000F">
      <w:start w:val="1"/>
      <w:numFmt w:val="decimal"/>
      <w:lvlText w:val="%1."/>
      <w:lvlJc w:val="left"/>
      <w:pPr>
        <w:ind w:left="704" w:hanging="420"/>
      </w:pPr>
      <w:rPr>
        <w:rFonts w:hint="default"/>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 w15:restartNumberingAfterBreak="0">
    <w:nsid w:val="2D6F458D"/>
    <w:multiLevelType w:val="hybridMultilevel"/>
    <w:tmpl w:val="69CE8FB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121030D"/>
    <w:multiLevelType w:val="hybridMultilevel"/>
    <w:tmpl w:val="60AC30C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99E700D"/>
    <w:multiLevelType w:val="hybridMultilevel"/>
    <w:tmpl w:val="66240A7A"/>
    <w:lvl w:ilvl="0" w:tplc="FFFFFFFF">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7B025AC1"/>
    <w:multiLevelType w:val="hybridMultilevel"/>
    <w:tmpl w:val="F4CE0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333994702">
    <w:abstractNumId w:val="5"/>
  </w:num>
  <w:num w:numId="3" w16cid:durableId="835456268">
    <w:abstractNumId w:val="1"/>
  </w:num>
  <w:num w:numId="4" w16cid:durableId="1960647959">
    <w:abstractNumId w:val="2"/>
  </w:num>
  <w:num w:numId="5" w16cid:durableId="1147361203">
    <w:abstractNumId w:val="4"/>
  </w:num>
  <w:num w:numId="6" w16cid:durableId="19960319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4698E"/>
    <w:rsid w:val="00052FC9"/>
    <w:rsid w:val="00063016"/>
    <w:rsid w:val="00066795"/>
    <w:rsid w:val="00076AF6"/>
    <w:rsid w:val="00085CF2"/>
    <w:rsid w:val="000B1705"/>
    <w:rsid w:val="000C3164"/>
    <w:rsid w:val="000D75B2"/>
    <w:rsid w:val="001121F5"/>
    <w:rsid w:val="001400DC"/>
    <w:rsid w:val="00140CE1"/>
    <w:rsid w:val="0017539C"/>
    <w:rsid w:val="00175AC2"/>
    <w:rsid w:val="0017609F"/>
    <w:rsid w:val="001A7D1D"/>
    <w:rsid w:val="001B51DD"/>
    <w:rsid w:val="001C18BF"/>
    <w:rsid w:val="001C628E"/>
    <w:rsid w:val="001E0F7B"/>
    <w:rsid w:val="001E4A77"/>
    <w:rsid w:val="002119FD"/>
    <w:rsid w:val="002130E0"/>
    <w:rsid w:val="00264425"/>
    <w:rsid w:val="00265875"/>
    <w:rsid w:val="0027303B"/>
    <w:rsid w:val="0028109B"/>
    <w:rsid w:val="002A2188"/>
    <w:rsid w:val="002A3BE1"/>
    <w:rsid w:val="002B1F58"/>
    <w:rsid w:val="002C1C7A"/>
    <w:rsid w:val="002C54E2"/>
    <w:rsid w:val="0030160F"/>
    <w:rsid w:val="00307F31"/>
    <w:rsid w:val="003175AB"/>
    <w:rsid w:val="00320223"/>
    <w:rsid w:val="00322D0D"/>
    <w:rsid w:val="00345639"/>
    <w:rsid w:val="00361465"/>
    <w:rsid w:val="003877F5"/>
    <w:rsid w:val="003942D4"/>
    <w:rsid w:val="003958A8"/>
    <w:rsid w:val="003C0BD9"/>
    <w:rsid w:val="003C2533"/>
    <w:rsid w:val="003D5A7F"/>
    <w:rsid w:val="003D767D"/>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A967E"/>
    <w:rsid w:val="004C1C86"/>
    <w:rsid w:val="004C7A16"/>
    <w:rsid w:val="004D1851"/>
    <w:rsid w:val="004D599D"/>
    <w:rsid w:val="004E2EA5"/>
    <w:rsid w:val="004E3AEB"/>
    <w:rsid w:val="0050223C"/>
    <w:rsid w:val="00510561"/>
    <w:rsid w:val="005243FF"/>
    <w:rsid w:val="00560ABA"/>
    <w:rsid w:val="00564FBC"/>
    <w:rsid w:val="005800BC"/>
    <w:rsid w:val="00582442"/>
    <w:rsid w:val="005F3269"/>
    <w:rsid w:val="006110D5"/>
    <w:rsid w:val="00623AE3"/>
    <w:rsid w:val="006248B1"/>
    <w:rsid w:val="0064737F"/>
    <w:rsid w:val="00650DD4"/>
    <w:rsid w:val="006535F1"/>
    <w:rsid w:val="0065557D"/>
    <w:rsid w:val="00660D50"/>
    <w:rsid w:val="006627F4"/>
    <w:rsid w:val="00662984"/>
    <w:rsid w:val="006716BB"/>
    <w:rsid w:val="006850BE"/>
    <w:rsid w:val="006A3247"/>
    <w:rsid w:val="006B1859"/>
    <w:rsid w:val="006B6680"/>
    <w:rsid w:val="006B6DCC"/>
    <w:rsid w:val="00702DEF"/>
    <w:rsid w:val="00706861"/>
    <w:rsid w:val="0071342C"/>
    <w:rsid w:val="0075051B"/>
    <w:rsid w:val="007768B3"/>
    <w:rsid w:val="00793188"/>
    <w:rsid w:val="00794D34"/>
    <w:rsid w:val="007D5E3B"/>
    <w:rsid w:val="007F11E5"/>
    <w:rsid w:val="00801DA7"/>
    <w:rsid w:val="00813E5E"/>
    <w:rsid w:val="00817B0B"/>
    <w:rsid w:val="00820EC3"/>
    <w:rsid w:val="0083581B"/>
    <w:rsid w:val="00863874"/>
    <w:rsid w:val="00864AFF"/>
    <w:rsid w:val="00865925"/>
    <w:rsid w:val="0089668E"/>
    <w:rsid w:val="008A1A75"/>
    <w:rsid w:val="008B4A6A"/>
    <w:rsid w:val="008C2D09"/>
    <w:rsid w:val="008C7E27"/>
    <w:rsid w:val="008F7448"/>
    <w:rsid w:val="0090147A"/>
    <w:rsid w:val="00904259"/>
    <w:rsid w:val="009173EF"/>
    <w:rsid w:val="00927E5C"/>
    <w:rsid w:val="00932906"/>
    <w:rsid w:val="00961B0B"/>
    <w:rsid w:val="00962D33"/>
    <w:rsid w:val="0097731C"/>
    <w:rsid w:val="009A4C74"/>
    <w:rsid w:val="009B38C3"/>
    <w:rsid w:val="009B5B86"/>
    <w:rsid w:val="009E0D4D"/>
    <w:rsid w:val="009E17BD"/>
    <w:rsid w:val="009E485A"/>
    <w:rsid w:val="009E78CC"/>
    <w:rsid w:val="009F5905"/>
    <w:rsid w:val="00A04CEC"/>
    <w:rsid w:val="00A27F92"/>
    <w:rsid w:val="00A32257"/>
    <w:rsid w:val="00A36D20"/>
    <w:rsid w:val="00A514A4"/>
    <w:rsid w:val="00A55622"/>
    <w:rsid w:val="00A74C54"/>
    <w:rsid w:val="00A83502"/>
    <w:rsid w:val="00AA274C"/>
    <w:rsid w:val="00AD15B3"/>
    <w:rsid w:val="00AD3606"/>
    <w:rsid w:val="00AD4A3D"/>
    <w:rsid w:val="00AF6E49"/>
    <w:rsid w:val="00B04A67"/>
    <w:rsid w:val="00B0583C"/>
    <w:rsid w:val="00B25CF3"/>
    <w:rsid w:val="00B40A81"/>
    <w:rsid w:val="00B44910"/>
    <w:rsid w:val="00B72267"/>
    <w:rsid w:val="00B76EB6"/>
    <w:rsid w:val="00B7737B"/>
    <w:rsid w:val="00B824C8"/>
    <w:rsid w:val="00B84B9D"/>
    <w:rsid w:val="00BC251A"/>
    <w:rsid w:val="00BD032B"/>
    <w:rsid w:val="00BE2640"/>
    <w:rsid w:val="00BF1903"/>
    <w:rsid w:val="00C01189"/>
    <w:rsid w:val="00C02BD7"/>
    <w:rsid w:val="00C20D04"/>
    <w:rsid w:val="00C374DE"/>
    <w:rsid w:val="00C474EC"/>
    <w:rsid w:val="00C47AD4"/>
    <w:rsid w:val="00C52D81"/>
    <w:rsid w:val="00C55198"/>
    <w:rsid w:val="00C81318"/>
    <w:rsid w:val="00CA6393"/>
    <w:rsid w:val="00CB18FF"/>
    <w:rsid w:val="00CD0C08"/>
    <w:rsid w:val="00CE03FB"/>
    <w:rsid w:val="00CE433C"/>
    <w:rsid w:val="00CF0161"/>
    <w:rsid w:val="00CF33F3"/>
    <w:rsid w:val="00D06183"/>
    <w:rsid w:val="00D22C42"/>
    <w:rsid w:val="00D570AF"/>
    <w:rsid w:val="00D65041"/>
    <w:rsid w:val="00DA61BA"/>
    <w:rsid w:val="00DB1936"/>
    <w:rsid w:val="00DB384B"/>
    <w:rsid w:val="00DC2545"/>
    <w:rsid w:val="00DD6974"/>
    <w:rsid w:val="00DF0189"/>
    <w:rsid w:val="00E06FD5"/>
    <w:rsid w:val="00E10E80"/>
    <w:rsid w:val="00E124F0"/>
    <w:rsid w:val="00E227F3"/>
    <w:rsid w:val="00E23618"/>
    <w:rsid w:val="00E278FF"/>
    <w:rsid w:val="00E3474F"/>
    <w:rsid w:val="00E545C6"/>
    <w:rsid w:val="00E60F04"/>
    <w:rsid w:val="00E65B24"/>
    <w:rsid w:val="00E854E4"/>
    <w:rsid w:val="00E86DBF"/>
    <w:rsid w:val="00EB0D6F"/>
    <w:rsid w:val="00EB2232"/>
    <w:rsid w:val="00EC5337"/>
    <w:rsid w:val="00EE49E8"/>
    <w:rsid w:val="00EE589E"/>
    <w:rsid w:val="00F16BAB"/>
    <w:rsid w:val="00F2150A"/>
    <w:rsid w:val="00F231D8"/>
    <w:rsid w:val="00F2582D"/>
    <w:rsid w:val="00F44C00"/>
    <w:rsid w:val="00F45D2C"/>
    <w:rsid w:val="00F46C5F"/>
    <w:rsid w:val="00F632C0"/>
    <w:rsid w:val="00F6403D"/>
    <w:rsid w:val="00F74710"/>
    <w:rsid w:val="00F94A63"/>
    <w:rsid w:val="00FA1C28"/>
    <w:rsid w:val="00FB1279"/>
    <w:rsid w:val="00FB6B76"/>
    <w:rsid w:val="00FB7596"/>
    <w:rsid w:val="00FE4077"/>
    <w:rsid w:val="00FE500D"/>
    <w:rsid w:val="00FE77D2"/>
    <w:rsid w:val="016E7291"/>
    <w:rsid w:val="03303724"/>
    <w:rsid w:val="035E3A41"/>
    <w:rsid w:val="03AC56D9"/>
    <w:rsid w:val="05A36551"/>
    <w:rsid w:val="06C2A3E3"/>
    <w:rsid w:val="06E33860"/>
    <w:rsid w:val="06E40E5D"/>
    <w:rsid w:val="0716F836"/>
    <w:rsid w:val="071B4FCC"/>
    <w:rsid w:val="08D7E85C"/>
    <w:rsid w:val="09F73463"/>
    <w:rsid w:val="0AB3BD90"/>
    <w:rsid w:val="0BE4C7C2"/>
    <w:rsid w:val="0C0757B9"/>
    <w:rsid w:val="0CA465F3"/>
    <w:rsid w:val="0CCD0413"/>
    <w:rsid w:val="0CE1C70D"/>
    <w:rsid w:val="0CF79E75"/>
    <w:rsid w:val="0E5CC5C6"/>
    <w:rsid w:val="1024763E"/>
    <w:rsid w:val="114ECC6F"/>
    <w:rsid w:val="12F4113C"/>
    <w:rsid w:val="13022ED9"/>
    <w:rsid w:val="13ABE21E"/>
    <w:rsid w:val="14FE8FEF"/>
    <w:rsid w:val="1569CF4F"/>
    <w:rsid w:val="15A653C3"/>
    <w:rsid w:val="15D59D76"/>
    <w:rsid w:val="1632824A"/>
    <w:rsid w:val="16640CD5"/>
    <w:rsid w:val="16C9F510"/>
    <w:rsid w:val="17C45641"/>
    <w:rsid w:val="1819EC0C"/>
    <w:rsid w:val="184715A2"/>
    <w:rsid w:val="18491CFF"/>
    <w:rsid w:val="1956E366"/>
    <w:rsid w:val="19F729DF"/>
    <w:rsid w:val="1A10F22B"/>
    <w:rsid w:val="1B2F1617"/>
    <w:rsid w:val="1BB82B57"/>
    <w:rsid w:val="1C94A31C"/>
    <w:rsid w:val="1DFB988F"/>
    <w:rsid w:val="1EA9A28D"/>
    <w:rsid w:val="205B6C1F"/>
    <w:rsid w:val="206EC070"/>
    <w:rsid w:val="2109FCDD"/>
    <w:rsid w:val="21FAE9DE"/>
    <w:rsid w:val="22890AEC"/>
    <w:rsid w:val="22A987D2"/>
    <w:rsid w:val="237823A1"/>
    <w:rsid w:val="24A17DF7"/>
    <w:rsid w:val="24F9877C"/>
    <w:rsid w:val="2510A26B"/>
    <w:rsid w:val="259092FB"/>
    <w:rsid w:val="2688DE3F"/>
    <w:rsid w:val="26927AE6"/>
    <w:rsid w:val="272B622B"/>
    <w:rsid w:val="2776858F"/>
    <w:rsid w:val="27F7024D"/>
    <w:rsid w:val="287EA554"/>
    <w:rsid w:val="293EF911"/>
    <w:rsid w:val="29BCACF3"/>
    <w:rsid w:val="2AABF14C"/>
    <w:rsid w:val="2B0DA807"/>
    <w:rsid w:val="2B87E310"/>
    <w:rsid w:val="2D0D34DC"/>
    <w:rsid w:val="2D6B868E"/>
    <w:rsid w:val="2D9BA4E0"/>
    <w:rsid w:val="2DC34F99"/>
    <w:rsid w:val="2E06798A"/>
    <w:rsid w:val="2EB660AB"/>
    <w:rsid w:val="2F377541"/>
    <w:rsid w:val="2F69ADAC"/>
    <w:rsid w:val="2F9947BF"/>
    <w:rsid w:val="3038DA9C"/>
    <w:rsid w:val="30920623"/>
    <w:rsid w:val="30D6EBBE"/>
    <w:rsid w:val="31B20717"/>
    <w:rsid w:val="3216955E"/>
    <w:rsid w:val="33A616C0"/>
    <w:rsid w:val="33E706E9"/>
    <w:rsid w:val="36439E1A"/>
    <w:rsid w:val="377C4DCB"/>
    <w:rsid w:val="37F40ED8"/>
    <w:rsid w:val="3826DA78"/>
    <w:rsid w:val="38452F50"/>
    <w:rsid w:val="38AF5410"/>
    <w:rsid w:val="392DD4D4"/>
    <w:rsid w:val="397FA6FE"/>
    <w:rsid w:val="3A5DF2BD"/>
    <w:rsid w:val="3D1D6BE9"/>
    <w:rsid w:val="3D24FF3A"/>
    <w:rsid w:val="3DFDACB9"/>
    <w:rsid w:val="3E9D3C6A"/>
    <w:rsid w:val="3EC2063F"/>
    <w:rsid w:val="3EDC8E7B"/>
    <w:rsid w:val="402833A1"/>
    <w:rsid w:val="40F06D37"/>
    <w:rsid w:val="42FC04C2"/>
    <w:rsid w:val="435FD463"/>
    <w:rsid w:val="44C1DFAF"/>
    <w:rsid w:val="450B0B3C"/>
    <w:rsid w:val="45259FAD"/>
    <w:rsid w:val="4571774E"/>
    <w:rsid w:val="46DCC084"/>
    <w:rsid w:val="477C3A23"/>
    <w:rsid w:val="481EB446"/>
    <w:rsid w:val="487C9FAC"/>
    <w:rsid w:val="48908521"/>
    <w:rsid w:val="48F678B7"/>
    <w:rsid w:val="4A3624B1"/>
    <w:rsid w:val="4A92F946"/>
    <w:rsid w:val="4C7A9443"/>
    <w:rsid w:val="4D35BC71"/>
    <w:rsid w:val="4DCBA18E"/>
    <w:rsid w:val="4E7A19CA"/>
    <w:rsid w:val="4E80A3EE"/>
    <w:rsid w:val="4EF730C9"/>
    <w:rsid w:val="4F013A84"/>
    <w:rsid w:val="4F0A2AF5"/>
    <w:rsid w:val="4FE515F2"/>
    <w:rsid w:val="52493A18"/>
    <w:rsid w:val="530082FE"/>
    <w:rsid w:val="534F8361"/>
    <w:rsid w:val="539839B3"/>
    <w:rsid w:val="53B451B3"/>
    <w:rsid w:val="53B83208"/>
    <w:rsid w:val="53BE7237"/>
    <w:rsid w:val="53D326CD"/>
    <w:rsid w:val="5454CA7E"/>
    <w:rsid w:val="54F9EF42"/>
    <w:rsid w:val="555FA73D"/>
    <w:rsid w:val="557012A7"/>
    <w:rsid w:val="56393C2B"/>
    <w:rsid w:val="592D05BF"/>
    <w:rsid w:val="5938AA4C"/>
    <w:rsid w:val="5AA9A2DF"/>
    <w:rsid w:val="5AF2D242"/>
    <w:rsid w:val="5B5A21FF"/>
    <w:rsid w:val="5CE5C0B7"/>
    <w:rsid w:val="5D4A6F54"/>
    <w:rsid w:val="5D7E9A55"/>
    <w:rsid w:val="5DB1F70E"/>
    <w:rsid w:val="5EBFDAA1"/>
    <w:rsid w:val="5F9595C0"/>
    <w:rsid w:val="60A8C1A0"/>
    <w:rsid w:val="61161BFF"/>
    <w:rsid w:val="61451BEF"/>
    <w:rsid w:val="62B15E08"/>
    <w:rsid w:val="62E3F73C"/>
    <w:rsid w:val="62F40C25"/>
    <w:rsid w:val="634BD64C"/>
    <w:rsid w:val="63C711A7"/>
    <w:rsid w:val="63C8F98C"/>
    <w:rsid w:val="63D77E22"/>
    <w:rsid w:val="649C6FFD"/>
    <w:rsid w:val="64F9F076"/>
    <w:rsid w:val="658E84EE"/>
    <w:rsid w:val="665FD228"/>
    <w:rsid w:val="6692FC71"/>
    <w:rsid w:val="673B0F83"/>
    <w:rsid w:val="68BFCE89"/>
    <w:rsid w:val="69A4061E"/>
    <w:rsid w:val="6A3C143B"/>
    <w:rsid w:val="6B9F66AB"/>
    <w:rsid w:val="6C7402B1"/>
    <w:rsid w:val="6DC70288"/>
    <w:rsid w:val="6DE161C3"/>
    <w:rsid w:val="6ECEE04F"/>
    <w:rsid w:val="6F3E51CF"/>
    <w:rsid w:val="716724DC"/>
    <w:rsid w:val="71C4C636"/>
    <w:rsid w:val="722E82D5"/>
    <w:rsid w:val="72C0D21F"/>
    <w:rsid w:val="72E6103E"/>
    <w:rsid w:val="73A74356"/>
    <w:rsid w:val="73CA5DF4"/>
    <w:rsid w:val="744B543A"/>
    <w:rsid w:val="74F61629"/>
    <w:rsid w:val="75AB85C7"/>
    <w:rsid w:val="76335D2F"/>
    <w:rsid w:val="776151AC"/>
    <w:rsid w:val="77DE2BC3"/>
    <w:rsid w:val="7814C810"/>
    <w:rsid w:val="787ED934"/>
    <w:rsid w:val="7A7C7BB6"/>
    <w:rsid w:val="7ADAD06D"/>
    <w:rsid w:val="7ADAE104"/>
    <w:rsid w:val="7AE14A41"/>
    <w:rsid w:val="7B5A1891"/>
    <w:rsid w:val="7BD46A35"/>
    <w:rsid w:val="7C0A178B"/>
    <w:rsid w:val="7C25AC88"/>
    <w:rsid w:val="7CD3C857"/>
    <w:rsid w:val="7D0CE09D"/>
    <w:rsid w:val="7D401230"/>
    <w:rsid w:val="7D88A387"/>
    <w:rsid w:val="7DEE7E5A"/>
    <w:rsid w:val="7F446D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A400535E-BA17-44A2-8666-E62117D6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EE589E"/>
    <w:rPr>
      <w:color w:val="605E5C"/>
      <w:shd w:val="clear" w:color="auto" w:fill="E1DFDD"/>
    </w:rPr>
  </w:style>
  <w:style w:type="paragraph" w:styleId="ListParagraph">
    <w:name w:val="List Paragraph"/>
    <w:basedOn w:val="Normal"/>
    <w:uiPriority w:val="34"/>
    <w:qFormat/>
    <w:rsid w:val="00EE589E"/>
    <w:pPr>
      <w:ind w:left="720"/>
      <w:contextualSpacing/>
    </w:pPr>
  </w:style>
  <w:style w:type="paragraph" w:customStyle="1" w:styleId="p1">
    <w:name w:val="p1"/>
    <w:basedOn w:val="Normal"/>
    <w:rsid w:val="00EE589E"/>
    <w:pPr>
      <w:tabs>
        <w:tab w:val="clear" w:pos="567"/>
        <w:tab w:val="clear" w:pos="1134"/>
        <w:tab w:val="clear" w:pos="1701"/>
        <w:tab w:val="clear" w:pos="2268"/>
        <w:tab w:val="clear" w:pos="2835"/>
      </w:tabs>
      <w:overflowPunct/>
      <w:autoSpaceDE/>
      <w:autoSpaceDN/>
      <w:adjustRightInd/>
      <w:spacing w:before="0"/>
      <w:textAlignment w:val="auto"/>
    </w:pPr>
    <w:rPr>
      <w:rFonts w:ascii="Helvetica" w:eastAsiaTheme="minorEastAsia" w:hAnsi="Helvetica"/>
      <w:sz w:val="18"/>
      <w:szCs w:val="18"/>
      <w:lang w:val="en-US"/>
    </w:rPr>
  </w:style>
  <w:style w:type="character" w:customStyle="1" w:styleId="apple-converted-space">
    <w:name w:val="apple-converted-space"/>
    <w:basedOn w:val="DefaultParagraphFont"/>
    <w:rsid w:val="00EE589E"/>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Calibri" w:hAnsi="Calibri"/>
      <w:lang w:val="en-GB" w:eastAsia="en-US"/>
    </w:rPr>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7D5E3B"/>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4-CWGFHR17-C-0003/en" TargetMode="External"/><Relationship Id="rId18" Type="http://schemas.openxmlformats.org/officeDocument/2006/relationships/hyperlink" Target="https://www.itu.int/dms_pub/itu-d/opb/tdc/D-TDC-WTDC-2022-PDF-E.pdf" TargetMode="External"/><Relationship Id="rId26" Type="http://schemas.openxmlformats.org/officeDocument/2006/relationships/image" Target="media/image1.jpg"/><Relationship Id="rId3" Type="http://schemas.openxmlformats.org/officeDocument/2006/relationships/customXml" Target="../customXml/item3.xml"/><Relationship Id="rId21" Type="http://schemas.openxmlformats.org/officeDocument/2006/relationships/hyperlink" Target="https://www.itu.int/md/S24-CWGFHR17-C-0003/en" TargetMode="External"/><Relationship Id="rId7" Type="http://schemas.openxmlformats.org/officeDocument/2006/relationships/settings" Target="settings.xml"/><Relationship Id="rId12" Type="http://schemas.openxmlformats.org/officeDocument/2006/relationships/hyperlink" Target="https://www.itu.int/md/S23-CWGFHR16-C-0011/en" TargetMode="External"/><Relationship Id="rId17" Type="http://schemas.openxmlformats.org/officeDocument/2006/relationships/hyperlink" Target="https://www.itu.int/md/S23-CL-INF-0012/en" TargetMode="External"/><Relationship Id="rId25" Type="http://schemas.openxmlformats.org/officeDocument/2006/relationships/hyperlink" Target="https://www.itu.int/md/S24-CL-INF-0012/en" TargetMode="External"/><Relationship Id="rId2" Type="http://schemas.openxmlformats.org/officeDocument/2006/relationships/customXml" Target="../customXml/item2.xml"/><Relationship Id="rId16" Type="http://schemas.openxmlformats.org/officeDocument/2006/relationships/hyperlink" Target="https://www.itu.int/md/S17-CL-C-0067/en" TargetMode="External"/><Relationship Id="rId20" Type="http://schemas.openxmlformats.org/officeDocument/2006/relationships/hyperlink" Target="https://www.itu.int/md/S23-CWGFHR16-C-0011/e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3-CL-C-0062/en" TargetMode="External"/><Relationship Id="rId24" Type="http://schemas.openxmlformats.org/officeDocument/2006/relationships/hyperlink" Target="https://www.itu.int/md/S24-CWGFHR17-INF-0009/en" TargetMode="External"/><Relationship Id="rId5" Type="http://schemas.openxmlformats.org/officeDocument/2006/relationships/numbering" Target="numbering.xml"/><Relationship Id="rId15" Type="http://schemas.openxmlformats.org/officeDocument/2006/relationships/hyperlink" Target="https://www.itu.int/en/council/Documents/basic-texts-2023/DEC-005-E.pdf" TargetMode="External"/><Relationship Id="rId23" Type="http://schemas.openxmlformats.org/officeDocument/2006/relationships/hyperlink" Target="https://www.itu.int/hub/membership/how-we-are-funded/principles-for-resource-mobilization/"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tu.int/md/S23-CL-C-0062/e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4-CWGFHR17-INF-0009/en" TargetMode="External"/><Relationship Id="rId22" Type="http://schemas.openxmlformats.org/officeDocument/2006/relationships/hyperlink" Target="https://www.itu.int/md/S24-CWGFHR17-INF-0009/en"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GS\PE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6" ma:contentTypeDescription="Create a new document." ma:contentTypeScope="" ma:versionID="5c30e77df36f4996b63fd4603273e0c6">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e4f51fc0db1f41dee884358016014d31"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A6EB39-5595-42B7-B3D9-79C1C897B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81850E-9D6E-4C46-8227-06FDDE618B4C}">
  <ds:schemaRefs>
    <ds:schemaRef ds:uri="http://schemas.microsoft.com/office/2006/documentManagement/types"/>
    <ds:schemaRef ds:uri="http://purl.org/dc/terms/"/>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98b04e1e-0540-4930-9623-702d547a0a33"/>
    <ds:schemaRef ds:uri="085b46e1-7f22-4e81-9ba5-912dc5a5fd9a"/>
    <ds:schemaRef ds:uri="http://purl.org/dc/dcmitype/"/>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077A46BF-2B90-4A00-8FCA-2AF824D1DF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PE_Council23.dotx</Template>
  <TotalTime>16</TotalTime>
  <Pages>8</Pages>
  <Words>2983</Words>
  <Characters>18958</Characters>
  <Application>Microsoft Office Word</Application>
  <DocSecurity>0</DocSecurity>
  <Lines>157</Lines>
  <Paragraphs>43</Paragraphs>
  <ScaleCrop>false</ScaleCrop>
  <HeadingPairs>
    <vt:vector size="2" baseType="variant">
      <vt:variant>
        <vt:lpstr>Title</vt:lpstr>
      </vt:variant>
      <vt:variant>
        <vt:i4>1</vt:i4>
      </vt:variant>
    </vt:vector>
  </HeadingPairs>
  <TitlesOfParts>
    <vt:vector size="1" baseType="lpstr">
      <vt:lpstr>ITU resource mobilization strategy</vt:lpstr>
    </vt:vector>
  </TitlesOfParts>
  <Manager>General Secretariat - Pool</Manager>
  <Company>International Telecommunication Union (ITU)</Company>
  <LinksUpToDate>false</LinksUpToDate>
  <CharactersWithSpaces>21898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resource mobilization strategy</dc:title>
  <dc:subject>Council 2024</dc:subject>
  <dc:creator>author</dc:creator>
  <cp:keywords>C2024, C24, Council-24</cp:keywords>
  <dc:description/>
  <cp:lastModifiedBy>Brouard, Ricarda</cp:lastModifiedBy>
  <cp:revision>3</cp:revision>
  <cp:lastPrinted>2000-07-18T13:30:00Z</cp:lastPrinted>
  <dcterms:created xsi:type="dcterms:W3CDTF">2024-05-06T14:34:00Z</dcterms:created>
  <dcterms:modified xsi:type="dcterms:W3CDTF">2024-05-06T14:51:00Z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0x010100927A014BF6FE3A4AB656F5985E3C82C4</vt:lpwstr>
  </property>
</Properties>
</file>