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50E0A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4A646202" w:rsidR="00650E0A" w:rsidRPr="00E85629" w:rsidRDefault="00650E0A" w:rsidP="00650E0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004D88">
              <w:rPr>
                <w:b/>
                <w:lang w:val="es-ES"/>
              </w:rPr>
              <w:t>Punto del orden del día: PL 2</w:t>
            </w:r>
          </w:p>
        </w:tc>
        <w:tc>
          <w:tcPr>
            <w:tcW w:w="5245" w:type="dxa"/>
          </w:tcPr>
          <w:p w14:paraId="12EC8577" w14:textId="7B9F1D42" w:rsidR="00650E0A" w:rsidRPr="00E85629" w:rsidRDefault="00650E0A" w:rsidP="00650E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869F6">
              <w:rPr>
                <w:b/>
              </w:rPr>
              <w:t>Document</w:t>
            </w:r>
            <w:r>
              <w:rPr>
                <w:b/>
              </w:rPr>
              <w:t>o</w:t>
            </w:r>
            <w:r w:rsidRPr="00E869F6">
              <w:rPr>
                <w:b/>
              </w:rPr>
              <w:t xml:space="preserve"> C24/69-</w:t>
            </w:r>
            <w:r>
              <w:rPr>
                <w:b/>
              </w:rPr>
              <w:t>S</w:t>
            </w:r>
          </w:p>
        </w:tc>
      </w:tr>
      <w:tr w:rsidR="00650E0A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650E0A" w:rsidRPr="00813E5E" w:rsidRDefault="00650E0A" w:rsidP="00650E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0088526F" w:rsidR="00650E0A" w:rsidRPr="00E85629" w:rsidRDefault="00650E0A" w:rsidP="00650E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 de mayo de</w:t>
            </w:r>
            <w:r w:rsidRPr="00E869F6">
              <w:rPr>
                <w:b/>
              </w:rPr>
              <w:t xml:space="preserve"> 2024</w:t>
            </w:r>
          </w:p>
        </w:tc>
      </w:tr>
      <w:tr w:rsidR="00650E0A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650E0A" w:rsidRPr="00813E5E" w:rsidRDefault="00650E0A" w:rsidP="00650E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0D96668E" w:rsidR="00650E0A" w:rsidRPr="00F24B71" w:rsidRDefault="00650E0A" w:rsidP="00650E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E869F6">
              <w:rPr>
                <w:b/>
              </w:rPr>
              <w:t xml:space="preserve">Original: </w:t>
            </w:r>
            <w:r>
              <w:rPr>
                <w:b/>
              </w:rPr>
              <w:t>inglés</w:t>
            </w:r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7BBBADFF" w:rsidR="00FE57F6" w:rsidRPr="00650E0A" w:rsidRDefault="00650E0A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1" w:name="_Hlk164937547"/>
            <w:r w:rsidRPr="00004D88">
              <w:rPr>
                <w:lang w:val="es-ES"/>
              </w:rPr>
              <w:t xml:space="preserve">INFORME DE SITUACIÓN SOBRE LA ASISTENCIA Y </w:t>
            </w:r>
            <w:r>
              <w:rPr>
                <w:lang w:val="es-ES"/>
              </w:rPr>
              <w:t>EL APOYO</w:t>
            </w:r>
            <w:r w:rsidRPr="00004D88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A </w:t>
            </w:r>
            <w:r w:rsidRPr="00004D88">
              <w:rPr>
                <w:lang w:val="es-ES"/>
              </w:rPr>
              <w:t>PALESTIN</w:t>
            </w:r>
            <w:r>
              <w:rPr>
                <w:lang w:val="es-ES"/>
              </w:rPr>
              <w:t>A</w:t>
            </w:r>
            <w:bookmarkEnd w:id="1"/>
          </w:p>
        </w:tc>
      </w:tr>
      <w:tr w:rsidR="00FE57F6" w:rsidRPr="00813E5E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20D6065E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Objetivo</w:t>
            </w:r>
          </w:p>
          <w:p w14:paraId="610BA23F" w14:textId="54AFD2E0" w:rsidR="00650E0A" w:rsidRPr="00004D88" w:rsidRDefault="00650E0A" w:rsidP="00650E0A">
            <w:pPr>
              <w:rPr>
                <w:lang w:val="es-ES"/>
              </w:rPr>
            </w:pPr>
            <w:r w:rsidRPr="00004D88">
              <w:rPr>
                <w:spacing w:val="-2"/>
                <w:lang w:val="es-ES"/>
              </w:rPr>
              <w:t>En este documento se da cuenta de la aplicación de las siguientes Resoluciones: Resolución 125</w:t>
            </w:r>
            <w:r w:rsidRPr="00004D88">
              <w:rPr>
                <w:lang w:val="es-ES"/>
              </w:rPr>
              <w:t xml:space="preserve"> (Rev. Bucarest, 2022) de la Conferencia de Plenipotenciarios sobre la asistencia y apoyo a Palestina para la reconstrucción de sus redes de telecomunicaciones, la Resolución 18</w:t>
            </w:r>
            <w:r w:rsidR="007B5CAF">
              <w:rPr>
                <w:lang w:val="es-ES"/>
              </w:rPr>
              <w:t> </w:t>
            </w:r>
            <w:r w:rsidRPr="00004D88">
              <w:rPr>
                <w:lang w:val="es-ES"/>
              </w:rPr>
              <w:t>(Rev.</w:t>
            </w:r>
            <w:r>
              <w:rPr>
                <w:lang w:val="es-ES"/>
              </w:rPr>
              <w:t> </w:t>
            </w:r>
            <w:r w:rsidRPr="00004D88">
              <w:rPr>
                <w:lang w:val="es-ES"/>
              </w:rPr>
              <w:t xml:space="preserve">Kigali, 2022) </w:t>
            </w:r>
            <w:r>
              <w:rPr>
                <w:lang w:val="es-ES"/>
              </w:rPr>
              <w:t>de la Conferencia Mundial de Desarrollo de las Telecomunicaciones sobre la asistencia técnica especial a Palestina y la Resolución</w:t>
            </w:r>
            <w:r w:rsidRPr="00004D88">
              <w:rPr>
                <w:spacing w:val="-4"/>
                <w:lang w:val="es-ES"/>
              </w:rPr>
              <w:t xml:space="preserve"> 12</w:t>
            </w:r>
            <w:r w:rsidRPr="00004D88">
              <w:rPr>
                <w:lang w:val="es-ES"/>
              </w:rPr>
              <w:t xml:space="preserve"> (Rev. Dub</w:t>
            </w:r>
            <w:r>
              <w:rPr>
                <w:lang w:val="es-ES"/>
              </w:rPr>
              <w:t>á</w:t>
            </w:r>
            <w:r w:rsidRPr="00004D88">
              <w:rPr>
                <w:lang w:val="es-ES"/>
              </w:rPr>
              <w:t xml:space="preserve">i, 2023) </w:t>
            </w:r>
            <w:r>
              <w:rPr>
                <w:lang w:val="es-ES"/>
              </w:rPr>
              <w:t>de la Conferencia Mundial de Radiocomunicaciones sobre la asistencia y el apoyo a Palestina</w:t>
            </w:r>
            <w:r w:rsidRPr="00004D88">
              <w:rPr>
                <w:lang w:val="es-ES"/>
              </w:rPr>
              <w:t>.</w:t>
            </w:r>
          </w:p>
          <w:p w14:paraId="165C2ED8" w14:textId="77777777" w:rsidR="00650E0A" w:rsidRPr="00D126F8" w:rsidRDefault="00650E0A" w:rsidP="00650E0A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D126F8">
              <w:rPr>
                <w:b/>
                <w:bCs/>
                <w:sz w:val="26"/>
                <w:szCs w:val="26"/>
                <w:lang w:val="es-ES"/>
              </w:rPr>
              <w:t>Acción solicitada al Consejo</w:t>
            </w:r>
          </w:p>
          <w:p w14:paraId="697DD3C8" w14:textId="77777777" w:rsidR="00650E0A" w:rsidRPr="00870A7D" w:rsidRDefault="00650E0A" w:rsidP="00650E0A">
            <w:pPr>
              <w:rPr>
                <w:lang w:val="es-ES"/>
              </w:rPr>
            </w:pPr>
            <w:r w:rsidRPr="00870A7D">
              <w:rPr>
                <w:lang w:val="es-ES"/>
              </w:rPr>
              <w:t xml:space="preserve">Se invita al Consejo a </w:t>
            </w:r>
            <w:r w:rsidRPr="00870A7D">
              <w:rPr>
                <w:b/>
                <w:bCs/>
                <w:lang w:val="es-ES"/>
              </w:rPr>
              <w:t xml:space="preserve">tomar nota </w:t>
            </w:r>
            <w:r w:rsidRPr="00870A7D">
              <w:rPr>
                <w:lang w:val="es-ES"/>
              </w:rPr>
              <w:t>de este informe.</w:t>
            </w:r>
          </w:p>
          <w:p w14:paraId="1B328C28" w14:textId="77777777" w:rsidR="00650E0A" w:rsidRPr="00D126F8" w:rsidRDefault="00650E0A" w:rsidP="00650E0A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D126F8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7D378E9A" w14:textId="77777777" w:rsidR="00650E0A" w:rsidRPr="00870A7D" w:rsidRDefault="00650E0A" w:rsidP="00650E0A">
            <w:pPr>
              <w:rPr>
                <w:lang w:val="es-ES"/>
              </w:rPr>
            </w:pPr>
            <w:r w:rsidRPr="00870A7D">
              <w:rPr>
                <w:lang w:val="es-ES"/>
              </w:rPr>
              <w:t>Prestación de asistencia técnic</w:t>
            </w:r>
            <w:r>
              <w:rPr>
                <w:lang w:val="es-ES"/>
              </w:rPr>
              <w:t>a.</w:t>
            </w:r>
          </w:p>
          <w:p w14:paraId="5766B35D" w14:textId="77777777" w:rsidR="00650E0A" w:rsidRPr="00870A7D" w:rsidRDefault="00650E0A" w:rsidP="00650E0A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Consecuencias financieras</w:t>
            </w:r>
          </w:p>
          <w:p w14:paraId="19FBD5B9" w14:textId="77777777" w:rsidR="00650E0A" w:rsidRPr="00870A7D" w:rsidRDefault="00650E0A" w:rsidP="00650E0A">
            <w:pPr>
              <w:spacing w:before="160"/>
              <w:rPr>
                <w:szCs w:val="24"/>
                <w:lang w:val="es-ES"/>
              </w:rPr>
            </w:pPr>
            <w:r w:rsidRPr="00870A7D">
              <w:rPr>
                <w:szCs w:val="24"/>
                <w:lang w:val="es-ES"/>
              </w:rPr>
              <w:t>Dentro del presupuesto asignado para 2024-2025.</w:t>
            </w:r>
          </w:p>
          <w:p w14:paraId="6D42D300" w14:textId="77777777" w:rsidR="00650E0A" w:rsidRPr="00D126F8" w:rsidRDefault="00650E0A" w:rsidP="00650E0A">
            <w:pPr>
              <w:spacing w:before="160"/>
              <w:rPr>
                <w:caps/>
                <w:sz w:val="22"/>
                <w:lang w:val="es-ES"/>
              </w:rPr>
            </w:pPr>
            <w:r w:rsidRPr="00D126F8">
              <w:rPr>
                <w:sz w:val="22"/>
                <w:lang w:val="es-ES"/>
              </w:rPr>
              <w:t>__________________</w:t>
            </w:r>
          </w:p>
          <w:p w14:paraId="37A59B11" w14:textId="28CE9D57" w:rsidR="00650E0A" w:rsidRPr="00D126F8" w:rsidRDefault="00650E0A" w:rsidP="00650E0A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D126F8">
              <w:rPr>
                <w:b/>
                <w:bCs/>
                <w:sz w:val="26"/>
                <w:szCs w:val="26"/>
                <w:lang w:val="es-ES"/>
              </w:rPr>
              <w:t>Referenc</w:t>
            </w:r>
            <w:r w:rsidR="004748A6">
              <w:rPr>
                <w:b/>
                <w:bCs/>
                <w:sz w:val="26"/>
                <w:szCs w:val="26"/>
                <w:lang w:val="es-ES"/>
              </w:rPr>
              <w:t>ia</w:t>
            </w:r>
            <w:r w:rsidRPr="00D126F8">
              <w:rPr>
                <w:b/>
                <w:bCs/>
                <w:sz w:val="26"/>
                <w:szCs w:val="26"/>
                <w:lang w:val="es-ES"/>
              </w:rPr>
              <w:t>s</w:t>
            </w:r>
          </w:p>
          <w:p w14:paraId="58339413" w14:textId="7190AFA1" w:rsidR="00FE57F6" w:rsidRDefault="00650E0A" w:rsidP="00650E0A">
            <w:pPr>
              <w:spacing w:after="160"/>
            </w:pPr>
            <w:hyperlink r:id="rId7" w:history="1">
              <w:r w:rsidRPr="00870A7D">
                <w:rPr>
                  <w:rStyle w:val="Hyperlink"/>
                  <w:i/>
                  <w:iCs/>
                  <w:lang w:val="es-ES"/>
                </w:rPr>
                <w:t>Resolució</w:t>
              </w:r>
              <w:r w:rsidRPr="00870A7D">
                <w:rPr>
                  <w:rStyle w:val="Hyperlink"/>
                  <w:i/>
                  <w:iCs/>
                  <w:lang w:val="es-ES"/>
                </w:rPr>
                <w:t>n</w:t>
              </w:r>
              <w:r w:rsidRPr="00870A7D">
                <w:rPr>
                  <w:rStyle w:val="Hyperlink"/>
                  <w:i/>
                  <w:iCs/>
                  <w:lang w:val="es-ES"/>
                </w:rPr>
                <w:t xml:space="preserve"> 99 (Rev. Bucarest, 2022)</w:t>
              </w:r>
            </w:hyperlink>
            <w:r w:rsidRPr="00870A7D">
              <w:rPr>
                <w:rStyle w:val="Hyperlink"/>
                <w:i/>
                <w:iCs/>
                <w:lang w:val="es-ES"/>
              </w:rPr>
              <w:t xml:space="preserve">, </w:t>
            </w:r>
            <w:hyperlink r:id="rId8" w:history="1">
              <w:r w:rsidRPr="00870A7D">
                <w:rPr>
                  <w:rStyle w:val="Hyperlink"/>
                  <w:i/>
                  <w:iCs/>
                  <w:lang w:val="es-ES"/>
                </w:rPr>
                <w:t>Resolu</w:t>
              </w:r>
              <w:r w:rsidRPr="00870A7D">
                <w:rPr>
                  <w:rStyle w:val="Hyperlink"/>
                  <w:i/>
                  <w:iCs/>
                  <w:lang w:val="es-ES"/>
                </w:rPr>
                <w:t>c</w:t>
              </w:r>
              <w:r w:rsidRPr="00870A7D">
                <w:rPr>
                  <w:rStyle w:val="Hyperlink"/>
                  <w:i/>
                  <w:iCs/>
                  <w:lang w:val="es-ES"/>
                </w:rPr>
                <w:t>ión 125 (Rev. Bucarest, 2022)</w:t>
              </w:r>
            </w:hyperlink>
            <w:r w:rsidRPr="00870A7D">
              <w:rPr>
                <w:rStyle w:val="Hyperlink"/>
                <w:i/>
                <w:iCs/>
                <w:lang w:val="es-ES"/>
              </w:rPr>
              <w:t xml:space="preserve">, </w:t>
            </w:r>
            <w:hyperlink r:id="rId9" w:history="1">
              <w:r w:rsidRPr="00870A7D">
                <w:rPr>
                  <w:rStyle w:val="Hyperlink"/>
                  <w:i/>
                  <w:iCs/>
                  <w:lang w:val="es-ES"/>
                </w:rPr>
                <w:t>Resoluc</w:t>
              </w:r>
              <w:r w:rsidRPr="00870A7D">
                <w:rPr>
                  <w:rStyle w:val="Hyperlink"/>
                  <w:i/>
                  <w:iCs/>
                  <w:lang w:val="es-ES"/>
                </w:rPr>
                <w:t>i</w:t>
              </w:r>
              <w:r w:rsidRPr="00870A7D">
                <w:rPr>
                  <w:rStyle w:val="Hyperlink"/>
                  <w:i/>
                  <w:iCs/>
                  <w:lang w:val="es-ES"/>
                </w:rPr>
                <w:t>ón 18 (Rev. Kigali, 2022)</w:t>
              </w:r>
            </w:hyperlink>
            <w:r w:rsidRPr="00870A7D">
              <w:rPr>
                <w:rStyle w:val="Hyperlink"/>
                <w:i/>
                <w:iCs/>
                <w:lang w:val="es-ES"/>
              </w:rPr>
              <w:t>,</w:t>
            </w:r>
            <w:r w:rsidRPr="00870A7D">
              <w:rPr>
                <w:rFonts w:asciiTheme="minorHAnsi" w:eastAsiaTheme="minorHAnsi" w:hAnsiTheme="minorHAnsi" w:cstheme="minorBidi"/>
                <w:color w:val="0000FF"/>
                <w:kern w:val="2"/>
                <w:sz w:val="22"/>
                <w:szCs w:val="22"/>
                <w:u w:val="single"/>
                <w:lang w:val="es-ES"/>
                <w14:ligatures w14:val="standardContextual"/>
              </w:rPr>
              <w:t xml:space="preserve"> </w:t>
            </w:r>
            <w:hyperlink r:id="rId10" w:history="1">
              <w:r w:rsidRPr="00870A7D">
                <w:rPr>
                  <w:rStyle w:val="Hyperlink"/>
                  <w:i/>
                  <w:iCs/>
                  <w:lang w:val="es-ES"/>
                </w:rPr>
                <w:t>Resolu</w:t>
              </w:r>
              <w:r>
                <w:rPr>
                  <w:rStyle w:val="Hyperlink"/>
                  <w:i/>
                  <w:iCs/>
                  <w:lang w:val="es-ES"/>
                </w:rPr>
                <w:t>ción</w:t>
              </w:r>
              <w:r w:rsidRPr="00870A7D">
                <w:rPr>
                  <w:rStyle w:val="Hyperlink"/>
                  <w:i/>
                  <w:iCs/>
                  <w:lang w:val="es-ES"/>
                </w:rPr>
                <w:t xml:space="preserve"> </w:t>
              </w:r>
              <w:r w:rsidRPr="00870A7D">
                <w:rPr>
                  <w:rStyle w:val="Hyperlink"/>
                  <w:i/>
                  <w:iCs/>
                  <w:lang w:val="es-ES"/>
                </w:rPr>
                <w:t xml:space="preserve">12 (REV. </w:t>
              </w:r>
              <w:r w:rsidRPr="00C65580">
                <w:rPr>
                  <w:rStyle w:val="Hyperlink"/>
                  <w:i/>
                  <w:iCs/>
                </w:rPr>
                <w:t>WRC-23)</w:t>
              </w:r>
            </w:hyperlink>
          </w:p>
        </w:tc>
      </w:tr>
      <w:bookmarkEnd w:id="0"/>
    </w:tbl>
    <w:p w14:paraId="06FD7253" w14:textId="77777777" w:rsidR="00093EEB" w:rsidRDefault="00093EEB"/>
    <w:p w14:paraId="44179D23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B18A72D" w14:textId="77777777" w:rsidR="00844F2A" w:rsidRPr="00D126F8" w:rsidRDefault="00844F2A" w:rsidP="007B5CAF">
      <w:pPr>
        <w:pStyle w:val="Heading1"/>
        <w:rPr>
          <w:lang w:val="es-ES"/>
        </w:rPr>
      </w:pPr>
      <w:r w:rsidRPr="007B5CAF">
        <w:lastRenderedPageBreak/>
        <w:t>Antecedentes</w:t>
      </w:r>
    </w:p>
    <w:p w14:paraId="6BD22537" w14:textId="77777777" w:rsidR="00844F2A" w:rsidRPr="00870A7D" w:rsidRDefault="00844F2A" w:rsidP="007B5CAF">
      <w:pPr>
        <w:rPr>
          <w:lang w:val="es-ES"/>
        </w:rPr>
      </w:pPr>
      <w:r w:rsidRPr="00870A7D">
        <w:rPr>
          <w:lang w:val="es-ES"/>
        </w:rPr>
        <w:t>En este documento se rinde informe sobre la implementación de las siguientes Resolucion</w:t>
      </w:r>
      <w:r>
        <w:rPr>
          <w:lang w:val="es-ES"/>
        </w:rPr>
        <w:t>es</w:t>
      </w:r>
      <w:r w:rsidRPr="00870A7D">
        <w:rPr>
          <w:lang w:val="es-ES"/>
        </w:rPr>
        <w:t xml:space="preserve">: </w:t>
      </w:r>
    </w:p>
    <w:p w14:paraId="77EA8DD6" w14:textId="5C0DC87A" w:rsidR="00844F2A" w:rsidRPr="004B1AC8" w:rsidRDefault="007B5CAF" w:rsidP="007B5CAF">
      <w:pPr>
        <w:pStyle w:val="enumlev1"/>
        <w:rPr>
          <w:lang w:val="es-ES"/>
        </w:rPr>
      </w:pPr>
      <w:r>
        <w:rPr>
          <w:lang w:val="es-ES"/>
        </w:rPr>
        <w:sym w:font="Symbol" w:char="F0B7"/>
      </w:r>
      <w:r>
        <w:rPr>
          <w:lang w:val="es-ES"/>
        </w:rPr>
        <w:tab/>
      </w:r>
      <w:r w:rsidR="00844F2A" w:rsidRPr="004B1AC8">
        <w:rPr>
          <w:lang w:val="es-ES"/>
        </w:rPr>
        <w:t>En la Resolución 125 (Rev. Bucarest, 2022) de la Conferencia de Plenipotenciarios, Asistencia y apoyo a Palestina para la reconstrucción de sus redes de telecomunica</w:t>
      </w:r>
      <w:r w:rsidR="00844F2A">
        <w:rPr>
          <w:lang w:val="es-ES"/>
        </w:rPr>
        <w:t>ciones, se encarga a la Secretaria General que presente al Consejo un informe anual sobre los avances logrados en la aplicación de esta Resolución</w:t>
      </w:r>
      <w:r w:rsidR="00844F2A" w:rsidRPr="004B1AC8">
        <w:rPr>
          <w:lang w:val="es-ES"/>
        </w:rPr>
        <w:t>.</w:t>
      </w:r>
    </w:p>
    <w:p w14:paraId="7C504971" w14:textId="73FD4A3F" w:rsidR="00844F2A" w:rsidRPr="004B1AC8" w:rsidRDefault="007B5CAF" w:rsidP="007B5CAF">
      <w:pPr>
        <w:pStyle w:val="enumlev1"/>
        <w:rPr>
          <w:lang w:val="es-ES"/>
        </w:rPr>
      </w:pPr>
      <w:r>
        <w:rPr>
          <w:lang w:val="es-ES"/>
        </w:rPr>
        <w:sym w:font="Symbol" w:char="F0B7"/>
      </w:r>
      <w:r>
        <w:rPr>
          <w:lang w:val="es-ES"/>
        </w:rPr>
        <w:tab/>
      </w:r>
      <w:r w:rsidR="00844F2A" w:rsidRPr="004B1AC8">
        <w:rPr>
          <w:lang w:val="es-ES"/>
        </w:rPr>
        <w:t xml:space="preserve">En la Resolución 18 (Rev. Kigali, 2022) de la Conferencia Mundial de Desarrollo de las Telecomunicaciones, Asistencia técnica especial a Palestina, se encarga al Director de la Oficina de Telecomunicaciones que presente al Consejo de la </w:t>
      </w:r>
      <w:r w:rsidR="00844F2A">
        <w:rPr>
          <w:lang w:val="es-ES"/>
        </w:rPr>
        <w:t>UIT un informe anual sobre los progresos logrados en la aplicación de esta Resolución (y otras Resoluciones similares) y sobre los mecanismos empleados para superar las crecientes dificultades que surjan</w:t>
      </w:r>
      <w:r w:rsidR="00844F2A" w:rsidRPr="004B1AC8">
        <w:rPr>
          <w:lang w:val="es-ES"/>
        </w:rPr>
        <w:t xml:space="preserve">. </w:t>
      </w:r>
    </w:p>
    <w:p w14:paraId="2F1E7A40" w14:textId="1FEDE4ED" w:rsidR="00844F2A" w:rsidRPr="004B1AC8" w:rsidRDefault="007B5CAF" w:rsidP="007B5CAF">
      <w:pPr>
        <w:pStyle w:val="enumlev1"/>
        <w:rPr>
          <w:rFonts w:eastAsia="Calibri" w:cs="Calibri"/>
          <w:szCs w:val="24"/>
          <w:lang w:val="es-ES"/>
        </w:rPr>
      </w:pPr>
      <w:r>
        <w:rPr>
          <w:lang w:val="es-ES"/>
        </w:rPr>
        <w:sym w:font="Symbol" w:char="F0B7"/>
      </w:r>
      <w:r>
        <w:rPr>
          <w:lang w:val="es-ES"/>
        </w:rPr>
        <w:tab/>
      </w:r>
      <w:r w:rsidR="00844F2A" w:rsidRPr="004B1AC8">
        <w:rPr>
          <w:lang w:val="es-ES"/>
        </w:rPr>
        <w:t>En la Resolución 12 (Rev. Dubái, 2023) de la Conferencia Mundial de Radiocomunicaciones, Asistencia y apoyo a Palestina, se encarga a la Secretaria</w:t>
      </w:r>
      <w:r w:rsidR="004748A6">
        <w:rPr>
          <w:lang w:val="es-ES"/>
        </w:rPr>
        <w:t> </w:t>
      </w:r>
      <w:r w:rsidR="00844F2A" w:rsidRPr="004B1AC8">
        <w:rPr>
          <w:lang w:val="es-ES"/>
        </w:rPr>
        <w:t>General que pr</w:t>
      </w:r>
      <w:r w:rsidR="00844F2A">
        <w:rPr>
          <w:lang w:val="es-ES"/>
        </w:rPr>
        <w:t>esente un informe anual al Consejo sobre los avances logrados en la aplicación de esta Resolución</w:t>
      </w:r>
      <w:r w:rsidR="00844F2A" w:rsidRPr="004B1AC8">
        <w:rPr>
          <w:lang w:val="es-ES"/>
        </w:rPr>
        <w:t xml:space="preserve">. </w:t>
      </w:r>
    </w:p>
    <w:p w14:paraId="3F44A904" w14:textId="77777777" w:rsidR="00844F2A" w:rsidRPr="004B1AC8" w:rsidRDefault="00844F2A" w:rsidP="007B5CAF">
      <w:pPr>
        <w:pStyle w:val="Heading1"/>
        <w:rPr>
          <w:b w:val="0"/>
          <w:bCs/>
          <w:lang w:val="es-ES"/>
        </w:rPr>
      </w:pPr>
      <w:r w:rsidRPr="007B5CAF">
        <w:t>Medidas</w:t>
      </w:r>
      <w:r w:rsidRPr="004B1AC8">
        <w:rPr>
          <w:bCs/>
          <w:lang w:val="es-ES"/>
        </w:rPr>
        <w:t xml:space="preserve"> adoptadas por la UIT</w:t>
      </w:r>
    </w:p>
    <w:p w14:paraId="4814C808" w14:textId="77777777" w:rsidR="00844F2A" w:rsidRDefault="00844F2A" w:rsidP="007B5CAF">
      <w:pPr>
        <w:rPr>
          <w:u w:val="single"/>
        </w:rPr>
      </w:pPr>
      <w:r w:rsidRPr="004B1AC8">
        <w:rPr>
          <w:lang w:val="es-ES"/>
        </w:rPr>
        <w:t>A lo largo del último año la UIT se ha dedicado a aplicar estas Resoluci</w:t>
      </w:r>
      <w:r>
        <w:rPr>
          <w:lang w:val="es-ES"/>
        </w:rPr>
        <w:t xml:space="preserve">ones. </w:t>
      </w:r>
      <w:r w:rsidRPr="007B5CAF">
        <w:rPr>
          <w:lang w:val="es-ES"/>
        </w:rPr>
        <w:t>Concretamente, se han adoptado las medidas siguientes</w:t>
      </w:r>
      <w:r w:rsidRPr="0036205E">
        <w:t>:</w:t>
      </w:r>
    </w:p>
    <w:p w14:paraId="604AC2FB" w14:textId="1327C3C3" w:rsidR="00844F2A" w:rsidRPr="004B1AC8" w:rsidRDefault="007B5CAF" w:rsidP="007B5CAF">
      <w:pPr>
        <w:pStyle w:val="enumlev1"/>
        <w:rPr>
          <w:lang w:val="es-ES"/>
        </w:rPr>
      </w:pPr>
      <w:r w:rsidRPr="007B5CAF">
        <w:rPr>
          <w:lang w:val="es-ES"/>
        </w:rPr>
        <w:t>1)</w:t>
      </w:r>
      <w:r w:rsidRPr="007B5CAF">
        <w:rPr>
          <w:lang w:val="es-ES"/>
        </w:rPr>
        <w:tab/>
      </w:r>
      <w:r w:rsidR="00844F2A" w:rsidRPr="004B1AC8">
        <w:rPr>
          <w:u w:val="single"/>
          <w:lang w:val="es-ES"/>
        </w:rPr>
        <w:t>Iniciativas para implementar la Resolución 125 de la PP</w:t>
      </w:r>
      <w:r w:rsidR="00844F2A" w:rsidRPr="004B1AC8">
        <w:rPr>
          <w:lang w:val="es-ES"/>
        </w:rPr>
        <w:t xml:space="preserve">: Asistencia y </w:t>
      </w:r>
      <w:r w:rsidR="00844F2A">
        <w:rPr>
          <w:lang w:val="es-ES"/>
        </w:rPr>
        <w:t>apoyo a Palestina para el desarrollo de infraestructuras</w:t>
      </w:r>
      <w:r w:rsidR="00844F2A" w:rsidRPr="004B1AC8">
        <w:rPr>
          <w:lang w:val="es-ES"/>
        </w:rPr>
        <w:t>.</w:t>
      </w:r>
    </w:p>
    <w:p w14:paraId="2F26FC7D" w14:textId="004E7AA1" w:rsidR="00844F2A" w:rsidRPr="004B1AC8" w:rsidRDefault="00844F2A" w:rsidP="007B5CAF">
      <w:pPr>
        <w:pStyle w:val="enumlev1"/>
        <w:ind w:firstLine="0"/>
        <w:rPr>
          <w:rFonts w:asciiTheme="minorHAnsi" w:hAnsiTheme="minorHAnsi" w:cstheme="minorBidi"/>
          <w:lang w:val="es-ES"/>
        </w:rPr>
      </w:pPr>
      <w:r w:rsidRPr="004B1AC8">
        <w:rPr>
          <w:lang w:val="es-ES"/>
        </w:rPr>
        <w:t>A fin de mejorar la conectividad en las escuelas, en el marco del programa de aceleración GIGA de la UIT-UNICEF en Palestina</w:t>
      </w:r>
      <w:r>
        <w:rPr>
          <w:lang w:val="es-ES"/>
        </w:rPr>
        <w:t xml:space="preserve"> y en estrecha coordinación con el Ministerio de Educación y el Ministerio de Telecomunicaciones y TI</w:t>
      </w:r>
      <w:r w:rsidRPr="004B1AC8">
        <w:rPr>
          <w:lang w:val="es-ES"/>
        </w:rPr>
        <w:t>, se dio conexión a Internet a 76 escuelas de Cisjordania utilizando tecnologías y modelos comerciales innovadores a fin de dar conexión</w:t>
      </w:r>
      <w:r>
        <w:rPr>
          <w:lang w:val="es-ES"/>
        </w:rPr>
        <w:t xml:space="preserve"> a esas escuelas marginadas</w:t>
      </w:r>
      <w:r w:rsidRPr="004B1AC8">
        <w:rPr>
          <w:rFonts w:asciiTheme="minorHAnsi" w:hAnsiTheme="minorHAnsi" w:cstheme="minorBidi"/>
          <w:lang w:val="es-ES"/>
        </w:rPr>
        <w:t>.</w:t>
      </w:r>
    </w:p>
    <w:p w14:paraId="05B11112" w14:textId="2D2E1C1F" w:rsidR="00844F2A" w:rsidRPr="001E57A9" w:rsidRDefault="007B5CAF" w:rsidP="007B5CAF">
      <w:pPr>
        <w:pStyle w:val="enumlev1"/>
        <w:rPr>
          <w:lang w:val="es-ES"/>
        </w:rPr>
      </w:pPr>
      <w:r w:rsidRPr="007B5CAF">
        <w:rPr>
          <w:lang w:val="es-ES"/>
        </w:rPr>
        <w:t>2)</w:t>
      </w:r>
      <w:r w:rsidRPr="007B5CAF">
        <w:rPr>
          <w:lang w:val="es-ES"/>
        </w:rPr>
        <w:tab/>
      </w:r>
      <w:r w:rsidR="00844F2A" w:rsidRPr="001E57A9">
        <w:rPr>
          <w:u w:val="single"/>
          <w:lang w:val="es-ES"/>
        </w:rPr>
        <w:t>Iniciativas para implementar la Resolución 18 de la CMDT</w:t>
      </w:r>
      <w:r w:rsidR="00844F2A" w:rsidRPr="001E57A9">
        <w:rPr>
          <w:lang w:val="es-ES"/>
        </w:rPr>
        <w:t>: A</w:t>
      </w:r>
      <w:r w:rsidR="00844F2A">
        <w:rPr>
          <w:lang w:val="es-ES"/>
        </w:rPr>
        <w:t>sistencia técnica especial a Palestina</w:t>
      </w:r>
      <w:r w:rsidR="00844F2A" w:rsidRPr="001E57A9">
        <w:rPr>
          <w:lang w:val="es-ES"/>
        </w:rPr>
        <w:t>.</w:t>
      </w:r>
    </w:p>
    <w:p w14:paraId="74E881DA" w14:textId="77777777" w:rsidR="00844F2A" w:rsidRPr="001E57A9" w:rsidRDefault="00844F2A" w:rsidP="007B5CAF">
      <w:pPr>
        <w:pStyle w:val="enumlev1"/>
        <w:ind w:firstLine="0"/>
        <w:rPr>
          <w:rFonts w:cs="Calibri"/>
          <w:szCs w:val="24"/>
          <w:lang w:val="es-ES"/>
        </w:rPr>
      </w:pPr>
      <w:r w:rsidRPr="001E57A9">
        <w:rPr>
          <w:rFonts w:cs="Calibri"/>
          <w:szCs w:val="24"/>
          <w:lang w:val="es-ES"/>
        </w:rPr>
        <w:t>La BDT ha ejecutado y completado con éxito varios proyectos y actividades en aplicac</w:t>
      </w:r>
      <w:r>
        <w:rPr>
          <w:rFonts w:cs="Calibri"/>
          <w:szCs w:val="24"/>
          <w:lang w:val="es-ES"/>
        </w:rPr>
        <w:t xml:space="preserve">ión de la Resolución 18 de la CMDT, cuyo objetivo es prestar asistencia técnica especial a Palestina. </w:t>
      </w:r>
      <w:r w:rsidRPr="001E57A9">
        <w:rPr>
          <w:rFonts w:cs="Calibri"/>
          <w:szCs w:val="24"/>
          <w:lang w:val="es-ES"/>
        </w:rPr>
        <w:t>Entre esas iniciativas se cuentan las siguientes:</w:t>
      </w:r>
    </w:p>
    <w:p w14:paraId="16CA8FBE" w14:textId="77777777" w:rsidR="00844F2A" w:rsidRPr="001E57A9" w:rsidRDefault="00844F2A" w:rsidP="00BC76E5">
      <w:pPr>
        <w:pStyle w:val="enumlev1"/>
        <w:ind w:firstLine="0"/>
        <w:rPr>
          <w:rFonts w:asciiTheme="minorHAnsi" w:hAnsiTheme="minorHAnsi" w:cstheme="minorHAnsi"/>
          <w:u w:val="single"/>
          <w:lang w:val="es-ES"/>
        </w:rPr>
      </w:pPr>
      <w:r w:rsidRPr="001E57A9">
        <w:rPr>
          <w:rFonts w:asciiTheme="minorHAnsi" w:hAnsiTheme="minorHAnsi" w:cstheme="minorHAnsi"/>
          <w:u w:val="single"/>
          <w:lang w:val="es-ES"/>
        </w:rPr>
        <w:t>Entorno reglamentario propicio:</w:t>
      </w:r>
    </w:p>
    <w:p w14:paraId="73F93620" w14:textId="77777777" w:rsidR="00844F2A" w:rsidRPr="001E57A9" w:rsidRDefault="00844F2A" w:rsidP="00BC76E5">
      <w:pPr>
        <w:pStyle w:val="enumlev2"/>
        <w:numPr>
          <w:ilvl w:val="0"/>
          <w:numId w:val="2"/>
        </w:numPr>
        <w:tabs>
          <w:tab w:val="clear" w:pos="567"/>
        </w:tabs>
        <w:ind w:left="1134" w:hanging="433"/>
        <w:rPr>
          <w:lang w:val="es-ES"/>
        </w:rPr>
      </w:pPr>
      <w:r w:rsidRPr="001E57A9">
        <w:rPr>
          <w:lang w:val="es-ES"/>
        </w:rPr>
        <w:t xml:space="preserve">Se realizó un análisis y se preparó un </w:t>
      </w:r>
      <w:r>
        <w:rPr>
          <w:lang w:val="es-ES"/>
        </w:rPr>
        <w:t>Informe con recomendaciones sobre el mercado de las TIC en Palestina</w:t>
      </w:r>
      <w:r w:rsidRPr="001E57A9">
        <w:rPr>
          <w:lang w:val="es-ES"/>
        </w:rPr>
        <w:t>.</w:t>
      </w:r>
    </w:p>
    <w:p w14:paraId="3A9E5C1E" w14:textId="77777777" w:rsidR="00844F2A" w:rsidRPr="001E57A9" w:rsidRDefault="00844F2A" w:rsidP="00BC76E5">
      <w:pPr>
        <w:pStyle w:val="enumlev2"/>
        <w:numPr>
          <w:ilvl w:val="0"/>
          <w:numId w:val="2"/>
        </w:numPr>
        <w:tabs>
          <w:tab w:val="clear" w:pos="567"/>
        </w:tabs>
        <w:ind w:left="1134" w:hanging="433"/>
        <w:rPr>
          <w:rFonts w:cs="Calibri"/>
          <w:szCs w:val="24"/>
          <w:lang w:val="es-ES"/>
        </w:rPr>
      </w:pPr>
      <w:r w:rsidRPr="001E57A9">
        <w:rPr>
          <w:rFonts w:cs="Calibri"/>
          <w:szCs w:val="24"/>
          <w:lang w:val="es-ES"/>
        </w:rPr>
        <w:t xml:space="preserve">Se han definido modelos de costes pertinentes para servir de guía a las </w:t>
      </w:r>
      <w:r w:rsidRPr="00BC76E5">
        <w:rPr>
          <w:lang w:val="es-ES"/>
        </w:rPr>
        <w:t>decisiones</w:t>
      </w:r>
      <w:r w:rsidRPr="001E57A9">
        <w:rPr>
          <w:rFonts w:cs="Calibri"/>
          <w:szCs w:val="24"/>
          <w:lang w:val="es-ES"/>
        </w:rPr>
        <w:t xml:space="preserve"> re</w:t>
      </w:r>
      <w:r>
        <w:rPr>
          <w:rFonts w:cs="Calibri"/>
          <w:szCs w:val="24"/>
          <w:lang w:val="es-ES"/>
        </w:rPr>
        <w:t>glamentarias en relación con los precios al por mayor y al por menor de los servicios fijos y móviles</w:t>
      </w:r>
      <w:r w:rsidRPr="001E57A9">
        <w:rPr>
          <w:rFonts w:cs="Calibri"/>
          <w:szCs w:val="24"/>
          <w:lang w:val="es-ES"/>
        </w:rPr>
        <w:t xml:space="preserve">. </w:t>
      </w:r>
    </w:p>
    <w:p w14:paraId="6840B35A" w14:textId="77777777" w:rsidR="00844F2A" w:rsidRPr="001E57A9" w:rsidRDefault="00844F2A" w:rsidP="00BC76E5">
      <w:pPr>
        <w:pStyle w:val="enumlev2"/>
        <w:numPr>
          <w:ilvl w:val="0"/>
          <w:numId w:val="2"/>
        </w:numPr>
        <w:tabs>
          <w:tab w:val="clear" w:pos="567"/>
        </w:tabs>
        <w:ind w:left="1134" w:hanging="433"/>
        <w:rPr>
          <w:rFonts w:cs="Calibri"/>
          <w:lang w:val="es-ES"/>
        </w:rPr>
      </w:pPr>
      <w:r w:rsidRPr="001E57A9">
        <w:rPr>
          <w:rFonts w:cs="Calibri"/>
          <w:lang w:val="es-ES"/>
        </w:rPr>
        <w:t xml:space="preserve">Se ha definido un marco de reglamentación de los </w:t>
      </w:r>
      <w:r>
        <w:rPr>
          <w:rFonts w:cs="Calibri"/>
          <w:lang w:val="es-ES"/>
        </w:rPr>
        <w:t>precios para regular los servicios al por mayor y al por menor de los servicios fijos y móviles</w:t>
      </w:r>
      <w:r w:rsidRPr="001E57A9">
        <w:rPr>
          <w:rFonts w:cs="Calibri"/>
          <w:lang w:val="es-ES"/>
        </w:rPr>
        <w:t>.</w:t>
      </w:r>
    </w:p>
    <w:p w14:paraId="152D7657" w14:textId="77777777" w:rsidR="00844F2A" w:rsidRPr="001E57A9" w:rsidRDefault="00844F2A" w:rsidP="00BC76E5">
      <w:pPr>
        <w:pStyle w:val="enumlev2"/>
        <w:keepNext/>
        <w:keepLines/>
        <w:numPr>
          <w:ilvl w:val="0"/>
          <w:numId w:val="2"/>
        </w:numPr>
        <w:tabs>
          <w:tab w:val="clear" w:pos="567"/>
        </w:tabs>
        <w:ind w:left="1134" w:hanging="433"/>
        <w:rPr>
          <w:rFonts w:cs="Calibri"/>
          <w:szCs w:val="24"/>
          <w:lang w:val="es-ES"/>
        </w:rPr>
      </w:pPr>
      <w:r w:rsidRPr="001E57A9">
        <w:rPr>
          <w:rFonts w:cs="Calibri"/>
          <w:szCs w:val="24"/>
          <w:lang w:val="es-ES"/>
        </w:rPr>
        <w:lastRenderedPageBreak/>
        <w:t>Como parte de la iniciativa Connect to Recover (C2R) de la UIT, se prestó asistencia:</w:t>
      </w:r>
    </w:p>
    <w:p w14:paraId="0C2197A3" w14:textId="1B2CDF48" w:rsidR="00844F2A" w:rsidRPr="001E57A9" w:rsidRDefault="00BC76E5" w:rsidP="00BC76E5">
      <w:pPr>
        <w:pStyle w:val="enumlev3"/>
        <w:keepNext/>
        <w:keepLines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844F2A" w:rsidRPr="001E57A9">
        <w:rPr>
          <w:lang w:val="es-ES"/>
        </w:rPr>
        <w:t>En la definición de un marco na</w:t>
      </w:r>
      <w:r w:rsidR="00844F2A">
        <w:rPr>
          <w:lang w:val="es-ES"/>
        </w:rPr>
        <w:t>cional de numeración</w:t>
      </w:r>
      <w:r w:rsidR="00844F2A" w:rsidRPr="001E57A9">
        <w:rPr>
          <w:lang w:val="es-ES"/>
        </w:rPr>
        <w:t>.</w:t>
      </w:r>
    </w:p>
    <w:p w14:paraId="7FC30C3F" w14:textId="2E479A55" w:rsidR="00844F2A" w:rsidRPr="001E57A9" w:rsidRDefault="00BC76E5" w:rsidP="00BC76E5">
      <w:pPr>
        <w:pStyle w:val="enumlev3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2</w:t>
      </w:r>
      <w:r>
        <w:rPr>
          <w:rFonts w:cs="Calibri"/>
          <w:szCs w:val="24"/>
          <w:lang w:val="es-ES"/>
        </w:rPr>
        <w:tab/>
      </w:r>
      <w:r w:rsidR="00844F2A" w:rsidRPr="001E57A9">
        <w:rPr>
          <w:rFonts w:cs="Calibri"/>
          <w:szCs w:val="24"/>
          <w:lang w:val="es-ES"/>
        </w:rPr>
        <w:t xml:space="preserve">La formulación de una reglamentación </w:t>
      </w:r>
      <w:r w:rsidR="00844F2A">
        <w:rPr>
          <w:rFonts w:cs="Calibri"/>
          <w:szCs w:val="24"/>
          <w:lang w:val="es-ES"/>
        </w:rPr>
        <w:t>nacional de numeración</w:t>
      </w:r>
      <w:r w:rsidR="00844F2A" w:rsidRPr="001E57A9">
        <w:rPr>
          <w:rFonts w:cs="Calibri"/>
          <w:szCs w:val="24"/>
          <w:lang w:val="es-ES"/>
        </w:rPr>
        <w:t>.</w:t>
      </w:r>
    </w:p>
    <w:p w14:paraId="78B9CA63" w14:textId="77777777" w:rsidR="00844F2A" w:rsidRPr="00D126F8" w:rsidRDefault="00844F2A" w:rsidP="00BC76E5">
      <w:pPr>
        <w:pStyle w:val="enumlev1"/>
        <w:ind w:firstLine="0"/>
        <w:rPr>
          <w:rFonts w:asciiTheme="minorHAnsi" w:hAnsiTheme="minorHAnsi" w:cstheme="minorHAnsi"/>
          <w:u w:val="single"/>
          <w:lang w:val="es-ES"/>
        </w:rPr>
      </w:pPr>
      <w:r w:rsidRPr="00D126F8">
        <w:rPr>
          <w:rFonts w:asciiTheme="minorHAnsi" w:hAnsiTheme="minorHAnsi" w:cstheme="minorHAnsi"/>
          <w:u w:val="single"/>
          <w:lang w:val="es-ES"/>
        </w:rPr>
        <w:t xml:space="preserve">Infraestructura digital: </w:t>
      </w:r>
    </w:p>
    <w:p w14:paraId="0A9641C3" w14:textId="77777777" w:rsidR="00844F2A" w:rsidRPr="001E57A9" w:rsidRDefault="00844F2A" w:rsidP="00BC76E5">
      <w:pPr>
        <w:pStyle w:val="enumlev1"/>
        <w:ind w:firstLine="0"/>
        <w:rPr>
          <w:rFonts w:asciiTheme="minorHAnsi" w:hAnsiTheme="minorHAnsi" w:cstheme="minorBidi"/>
          <w:lang w:val="es-ES"/>
        </w:rPr>
      </w:pPr>
      <w:r w:rsidRPr="001E57A9">
        <w:rPr>
          <w:rFonts w:cs="Calibri"/>
          <w:szCs w:val="24"/>
          <w:lang w:val="es-ES"/>
        </w:rPr>
        <w:t xml:space="preserve">Palestina es uno de los países beneficiarios seleccionados para el proyecto Centro de </w:t>
      </w:r>
      <w:r>
        <w:rPr>
          <w:rFonts w:cs="Calibri"/>
          <w:szCs w:val="24"/>
          <w:lang w:val="es-ES"/>
        </w:rPr>
        <w:t xml:space="preserve">experiencia en IPv6 e IoT de la UIT. </w:t>
      </w:r>
      <w:r w:rsidRPr="001E57A9">
        <w:rPr>
          <w:rFonts w:cs="Calibri"/>
          <w:szCs w:val="24"/>
          <w:lang w:val="es-ES"/>
        </w:rPr>
        <w:t>Se facilitaron apoyo y orientaciones sobre</w:t>
      </w:r>
      <w:r w:rsidRPr="001E57A9">
        <w:rPr>
          <w:rFonts w:asciiTheme="minorHAnsi" w:hAnsiTheme="minorHAnsi" w:cstheme="minorBidi"/>
          <w:lang w:val="es-ES"/>
        </w:rPr>
        <w:t xml:space="preserve"> IPv6 e IoT </w:t>
      </w:r>
      <w:r>
        <w:rPr>
          <w:rFonts w:asciiTheme="minorHAnsi" w:hAnsiTheme="minorHAnsi" w:cstheme="minorBidi"/>
          <w:lang w:val="es-ES"/>
        </w:rPr>
        <w:t>a lo largo del periodo comprendido entre 2022 y 2023. En el marco de esta asistencia se llevaron a cabo las siguientes actividades</w:t>
      </w:r>
      <w:r w:rsidRPr="001E57A9">
        <w:rPr>
          <w:rFonts w:asciiTheme="minorHAnsi" w:hAnsiTheme="minorHAnsi" w:cstheme="minorBidi"/>
          <w:lang w:val="es-ES"/>
        </w:rPr>
        <w:t>:</w:t>
      </w:r>
    </w:p>
    <w:p w14:paraId="41658AD0" w14:textId="77777777" w:rsidR="00844F2A" w:rsidRPr="001E57A9" w:rsidRDefault="00844F2A" w:rsidP="00BC76E5">
      <w:pPr>
        <w:pStyle w:val="enumlev2"/>
        <w:numPr>
          <w:ilvl w:val="0"/>
          <w:numId w:val="2"/>
        </w:numPr>
        <w:tabs>
          <w:tab w:val="clear" w:pos="567"/>
        </w:tabs>
        <w:ind w:left="1134" w:hanging="433"/>
        <w:rPr>
          <w:rFonts w:cs="Calibri"/>
          <w:szCs w:val="24"/>
          <w:lang w:val="es-ES"/>
        </w:rPr>
      </w:pPr>
      <w:r w:rsidRPr="001E57A9">
        <w:rPr>
          <w:rFonts w:cs="Calibri"/>
          <w:szCs w:val="24"/>
          <w:lang w:val="es-ES"/>
        </w:rPr>
        <w:t>Se definió una estrategia nacional de transición a IPv6</w:t>
      </w:r>
      <w:r>
        <w:rPr>
          <w:rFonts w:cs="Calibri"/>
          <w:szCs w:val="24"/>
          <w:lang w:val="es-ES"/>
        </w:rPr>
        <w:t xml:space="preserve"> y se prestó asistencia para la creación de un grupo nacional de tareas especiales sobre IPv6 en Palestina</w:t>
      </w:r>
      <w:r w:rsidRPr="001E57A9">
        <w:rPr>
          <w:rFonts w:cs="Calibri"/>
          <w:szCs w:val="24"/>
          <w:lang w:val="es-ES"/>
        </w:rPr>
        <w:t>.</w:t>
      </w:r>
    </w:p>
    <w:p w14:paraId="6F8B3782" w14:textId="77777777" w:rsidR="00844F2A" w:rsidRPr="001E57A9" w:rsidRDefault="00844F2A" w:rsidP="00BC76E5">
      <w:pPr>
        <w:pStyle w:val="enumlev2"/>
        <w:numPr>
          <w:ilvl w:val="0"/>
          <w:numId w:val="2"/>
        </w:numPr>
        <w:tabs>
          <w:tab w:val="clear" w:pos="567"/>
        </w:tabs>
        <w:ind w:left="1134" w:hanging="433"/>
        <w:rPr>
          <w:rFonts w:cs="Calibri"/>
          <w:szCs w:val="24"/>
          <w:lang w:val="es-ES"/>
        </w:rPr>
      </w:pPr>
      <w:r w:rsidRPr="001E57A9">
        <w:rPr>
          <w:rFonts w:cs="Calibri"/>
          <w:szCs w:val="24"/>
          <w:lang w:val="es-ES"/>
        </w:rPr>
        <w:t>Se han llevado a cabo múltiples programas de capacitación centrados en IPv6 e IoT cuyo resultado es la formación y certificac</w:t>
      </w:r>
      <w:r>
        <w:rPr>
          <w:rFonts w:cs="Calibri"/>
          <w:szCs w:val="24"/>
          <w:lang w:val="es-ES"/>
        </w:rPr>
        <w:t>ión de más de tres miembros del personal como ingenieros expertos en tecnologías</w:t>
      </w:r>
      <w:r w:rsidRPr="001E57A9">
        <w:rPr>
          <w:rFonts w:cs="Calibri"/>
          <w:szCs w:val="24"/>
          <w:lang w:val="es-ES"/>
        </w:rPr>
        <w:t xml:space="preserve"> IPv6 </w:t>
      </w:r>
      <w:r>
        <w:rPr>
          <w:rFonts w:cs="Calibri"/>
          <w:szCs w:val="24"/>
          <w:lang w:val="es-ES"/>
        </w:rPr>
        <w:t>e</w:t>
      </w:r>
      <w:r w:rsidRPr="001E57A9">
        <w:rPr>
          <w:rFonts w:cs="Calibri"/>
          <w:szCs w:val="24"/>
          <w:lang w:val="es-ES"/>
        </w:rPr>
        <w:t xml:space="preserve"> IoT.</w:t>
      </w:r>
    </w:p>
    <w:p w14:paraId="4ADD7049" w14:textId="77777777" w:rsidR="00844F2A" w:rsidRPr="009F2F52" w:rsidRDefault="00844F2A" w:rsidP="00BC76E5">
      <w:pPr>
        <w:pStyle w:val="enumlev1"/>
        <w:ind w:firstLine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Telecomunicaciones de emergencia:</w:t>
      </w:r>
    </w:p>
    <w:p w14:paraId="2C297650" w14:textId="77777777" w:rsidR="00844F2A" w:rsidRPr="003D0FA7" w:rsidRDefault="00844F2A" w:rsidP="00BC76E5">
      <w:pPr>
        <w:pStyle w:val="enumlev2"/>
        <w:numPr>
          <w:ilvl w:val="0"/>
          <w:numId w:val="2"/>
        </w:numPr>
        <w:tabs>
          <w:tab w:val="clear" w:pos="567"/>
        </w:tabs>
        <w:ind w:left="1134" w:hanging="433"/>
        <w:rPr>
          <w:rFonts w:asciiTheme="minorHAnsi" w:hAnsiTheme="minorHAnsi" w:cstheme="minorBidi"/>
          <w:lang w:val="es-ES"/>
        </w:rPr>
      </w:pPr>
      <w:r w:rsidRPr="003D0FA7">
        <w:rPr>
          <w:rFonts w:asciiTheme="minorHAnsi" w:hAnsiTheme="minorHAnsi" w:cstheme="minorBidi"/>
          <w:lang w:val="es-ES"/>
        </w:rPr>
        <w:t>Se prestó asistencia en la elaboración de un Plan nacional de telecom</w:t>
      </w:r>
      <w:r>
        <w:rPr>
          <w:rFonts w:asciiTheme="minorHAnsi" w:hAnsiTheme="minorHAnsi" w:cstheme="minorBidi"/>
          <w:lang w:val="es-ES"/>
        </w:rPr>
        <w:t>unicaciones de emergencia (PNTE) para Palestina en</w:t>
      </w:r>
      <w:r w:rsidRPr="003D0FA7">
        <w:rPr>
          <w:rFonts w:asciiTheme="minorHAnsi" w:hAnsiTheme="minorHAnsi" w:cstheme="minorBidi"/>
          <w:lang w:val="es-ES"/>
        </w:rPr>
        <w:t xml:space="preserve"> 2023.</w:t>
      </w:r>
    </w:p>
    <w:p w14:paraId="4DACB414" w14:textId="77777777" w:rsidR="00844F2A" w:rsidRPr="003D0FA7" w:rsidRDefault="00844F2A" w:rsidP="00BC76E5">
      <w:pPr>
        <w:pStyle w:val="enumlev2"/>
        <w:numPr>
          <w:ilvl w:val="0"/>
          <w:numId w:val="2"/>
        </w:numPr>
        <w:tabs>
          <w:tab w:val="clear" w:pos="567"/>
        </w:tabs>
        <w:ind w:left="1134" w:hanging="433"/>
        <w:rPr>
          <w:rFonts w:asciiTheme="minorHAnsi" w:hAnsiTheme="minorHAnsi" w:cstheme="minorHAnsi"/>
          <w:lang w:val="es-ES"/>
        </w:rPr>
      </w:pPr>
      <w:r w:rsidRPr="00BC76E5">
        <w:rPr>
          <w:lang w:val="es-ES"/>
        </w:rPr>
        <w:t>La</w:t>
      </w:r>
      <w:r w:rsidRPr="003D0FA7">
        <w:rPr>
          <w:rFonts w:asciiTheme="minorHAnsi" w:hAnsiTheme="minorHAnsi" w:cstheme="minorBidi"/>
          <w:lang w:val="es-ES"/>
        </w:rPr>
        <w:t xml:space="preserve"> UIT ha participado activamente en el Consorcio de telecomunicaciones en situaciones de emergencia (ETC) d</w:t>
      </w:r>
      <w:r>
        <w:rPr>
          <w:rFonts w:asciiTheme="minorHAnsi" w:hAnsiTheme="minorHAnsi" w:cstheme="minorBidi"/>
          <w:lang w:val="es-ES"/>
        </w:rPr>
        <w:t xml:space="preserve">el PMA, prestando ayuda y asistencia técnica relacionada con la conectividad durante el actual conflicto en </w:t>
      </w:r>
      <w:r w:rsidRPr="003D0FA7">
        <w:rPr>
          <w:rFonts w:asciiTheme="minorHAnsi" w:hAnsiTheme="minorHAnsi" w:cstheme="minorBidi"/>
          <w:lang w:val="es-ES"/>
        </w:rPr>
        <w:t xml:space="preserve">Gaza. </w:t>
      </w:r>
    </w:p>
    <w:p w14:paraId="75853502" w14:textId="77777777" w:rsidR="00844F2A" w:rsidRPr="009F2F52" w:rsidRDefault="00844F2A" w:rsidP="00BC76E5">
      <w:pPr>
        <w:pStyle w:val="enumlev1"/>
        <w:ind w:firstLine="0"/>
        <w:rPr>
          <w:rFonts w:asciiTheme="minorHAnsi" w:hAnsiTheme="minorHAnsi" w:cstheme="minorHAnsi"/>
          <w:u w:val="single"/>
        </w:rPr>
      </w:pPr>
      <w:r w:rsidRPr="009F2F52">
        <w:rPr>
          <w:rFonts w:asciiTheme="minorHAnsi" w:hAnsiTheme="minorHAnsi" w:cstheme="minorHAnsi"/>
          <w:u w:val="single"/>
        </w:rPr>
        <w:t>C</w:t>
      </w:r>
      <w:r>
        <w:rPr>
          <w:rFonts w:asciiTheme="minorHAnsi" w:hAnsiTheme="minorHAnsi" w:cstheme="minorHAnsi"/>
          <w:u w:val="single"/>
        </w:rPr>
        <w:t>iberseguridad</w:t>
      </w:r>
      <w:r w:rsidRPr="009F2F52">
        <w:rPr>
          <w:rFonts w:asciiTheme="minorHAnsi" w:hAnsiTheme="minorHAnsi" w:cstheme="minorHAnsi"/>
          <w:u w:val="single"/>
        </w:rPr>
        <w:t>:</w:t>
      </w:r>
    </w:p>
    <w:p w14:paraId="124F9473" w14:textId="77777777" w:rsidR="00844F2A" w:rsidRPr="003D0FA7" w:rsidRDefault="00844F2A" w:rsidP="00BC76E5">
      <w:pPr>
        <w:pStyle w:val="enumlev2"/>
        <w:numPr>
          <w:ilvl w:val="0"/>
          <w:numId w:val="2"/>
        </w:numPr>
        <w:tabs>
          <w:tab w:val="clear" w:pos="567"/>
        </w:tabs>
        <w:ind w:left="1134" w:hanging="433"/>
        <w:rPr>
          <w:rFonts w:cs="Calibri"/>
          <w:szCs w:val="24"/>
          <w:lang w:val="es-ES"/>
        </w:rPr>
      </w:pPr>
      <w:r w:rsidRPr="003D0FA7">
        <w:rPr>
          <w:rFonts w:cs="Calibri"/>
          <w:szCs w:val="24"/>
          <w:lang w:val="es-ES"/>
        </w:rPr>
        <w:t>Se ha prestado ayuda para crear el Equipo de</w:t>
      </w:r>
      <w:r>
        <w:rPr>
          <w:rFonts w:cs="Calibri"/>
          <w:szCs w:val="24"/>
          <w:lang w:val="es-ES"/>
        </w:rPr>
        <w:t xml:space="preserve"> Intervención en caso de Incidente Informático de Palestina (EIII Pal</w:t>
      </w:r>
      <w:r w:rsidRPr="003D0FA7">
        <w:rPr>
          <w:rFonts w:cs="Calibri"/>
          <w:szCs w:val="24"/>
          <w:lang w:val="es-ES"/>
        </w:rPr>
        <w:t>)</w:t>
      </w:r>
    </w:p>
    <w:p w14:paraId="11FECA09" w14:textId="3F7ABAAB" w:rsidR="00844F2A" w:rsidRPr="003D0FA7" w:rsidRDefault="00AD578D" w:rsidP="00AD578D">
      <w:pPr>
        <w:pStyle w:val="enumlev1"/>
        <w:rPr>
          <w:u w:val="single"/>
          <w:lang w:val="es-ES"/>
        </w:rPr>
      </w:pPr>
      <w:r w:rsidRPr="00AD578D">
        <w:rPr>
          <w:lang w:val="es-ES"/>
        </w:rPr>
        <w:t>3)</w:t>
      </w:r>
      <w:r w:rsidRPr="00AD578D">
        <w:rPr>
          <w:lang w:val="es-ES"/>
        </w:rPr>
        <w:tab/>
      </w:r>
      <w:r w:rsidR="00844F2A" w:rsidRPr="003D0FA7">
        <w:rPr>
          <w:u w:val="single"/>
          <w:lang w:val="es-ES"/>
        </w:rPr>
        <w:t xml:space="preserve">Iniciativas para implementar la Resolución </w:t>
      </w:r>
      <w:r w:rsidR="00844F2A">
        <w:rPr>
          <w:u w:val="single"/>
          <w:lang w:val="es-ES"/>
        </w:rPr>
        <w:t>12 de la CMR</w:t>
      </w:r>
    </w:p>
    <w:p w14:paraId="76996EF8" w14:textId="77777777" w:rsidR="00844F2A" w:rsidRPr="008A360C" w:rsidRDefault="00844F2A" w:rsidP="001119C2">
      <w:pPr>
        <w:rPr>
          <w:lang w:val="es-ES"/>
        </w:rPr>
      </w:pPr>
      <w:r w:rsidRPr="008A360C">
        <w:rPr>
          <w:lang w:val="es-ES"/>
        </w:rPr>
        <w:t>En octubre de 2023, en virtud de la Resolución 12 (Rev. CMR-19), la Oficina de Radi</w:t>
      </w:r>
      <w:r>
        <w:rPr>
          <w:lang w:val="es-ES"/>
        </w:rPr>
        <w:t>o</w:t>
      </w:r>
      <w:r w:rsidRPr="008A360C">
        <w:rPr>
          <w:lang w:val="es-ES"/>
        </w:rPr>
        <w:t>comunicaciones de la UIT, en estrecha coordinación con la Ofic</w:t>
      </w:r>
      <w:r>
        <w:rPr>
          <w:lang w:val="es-ES"/>
        </w:rPr>
        <w:t xml:space="preserve">ina Regional de la UIT para los Estados Árabes, examinó y recomendó la revisión del Cuadro nacional de atribuciones de frecuencias y aplicaciones de Palestina. </w:t>
      </w:r>
      <w:r w:rsidRPr="008A360C">
        <w:rPr>
          <w:lang w:val="es-ES"/>
        </w:rPr>
        <w:t xml:space="preserve">En su examen la UIT integró observaciones generales y explicaciones centradas particularmente en garantizar la conformidad con la edición de 2020 del </w:t>
      </w:r>
      <w:r>
        <w:rPr>
          <w:lang w:val="es-ES"/>
        </w:rPr>
        <w:t xml:space="preserve">Reglamento de Radiocomunicaciones de la UIT. </w:t>
      </w:r>
      <w:r w:rsidRPr="008A360C">
        <w:rPr>
          <w:lang w:val="es-ES"/>
        </w:rPr>
        <w:t>Desde la revisión del Cuadro no se han hecho llegar a la Oficina de Radiocomunicacione</w:t>
      </w:r>
      <w:r>
        <w:rPr>
          <w:lang w:val="es-ES"/>
        </w:rPr>
        <w:t xml:space="preserve">s de la UIT </w:t>
      </w:r>
      <w:r w:rsidRPr="008A360C">
        <w:rPr>
          <w:lang w:val="es-ES"/>
        </w:rPr>
        <w:t>más solicitudes de asistencia a Palestina.</w:t>
      </w:r>
    </w:p>
    <w:p w14:paraId="774306AB" w14:textId="77777777" w:rsidR="00844F2A" w:rsidRPr="008A360C" w:rsidRDefault="00844F2A" w:rsidP="001119C2">
      <w:pPr>
        <w:rPr>
          <w:lang w:val="es-ES" w:eastAsia="zh-CN"/>
        </w:rPr>
      </w:pPr>
      <w:r w:rsidRPr="008A360C">
        <w:rPr>
          <w:lang w:val="es-ES"/>
        </w:rPr>
        <w:t xml:space="preserve">La Conferencia Mundial de Radiocomunicaciones (Dubái, 2023) </w:t>
      </w:r>
      <w:r w:rsidRPr="008A360C">
        <w:rPr>
          <w:lang w:val="es-ES" w:eastAsia="zh-CN"/>
        </w:rPr>
        <w:t>aprobó la modificación de la Resolución 12 (Rev. CMR-19), resolviendo que se habilite a Palestina para obtener las frecuencias necesarias para los enlaces de microondas esenciales para el funcionamiento de los servicios 4G y 5G</w:t>
      </w:r>
      <w:r>
        <w:rPr>
          <w:lang w:val="es-ES" w:eastAsia="zh-CN"/>
        </w:rPr>
        <w:t>, utilizar las bandas adicionales necesarias para explotar redes de telecomunicaciones móviles nuevas y modernas, incluidas las</w:t>
      </w:r>
      <w:r w:rsidRPr="008A360C">
        <w:rPr>
          <w:lang w:val="es-ES" w:eastAsia="zh-CN"/>
        </w:rPr>
        <w:t xml:space="preserve"> IMT-2020, </w:t>
      </w:r>
      <w:r>
        <w:rPr>
          <w:lang w:val="es-ES" w:eastAsia="zh-CN"/>
        </w:rPr>
        <w:t>extender, instalar, poseer, gestionar y explotar con carácter urgente redes de telecomunicaciones de banda ancha de fibra óptica, obtener frecuencias de bandas de ondas métricas y decimétricas para los servicios de telecomunicaciones fijo y móvil, así como frecuencias FM para el servicio de radiodifusión</w:t>
      </w:r>
      <w:r w:rsidRPr="008A360C">
        <w:rPr>
          <w:lang w:val="es-ES" w:eastAsia="zh-CN"/>
        </w:rPr>
        <w:t>.</w:t>
      </w:r>
    </w:p>
    <w:p w14:paraId="6163C195" w14:textId="77777777" w:rsidR="00844F2A" w:rsidRPr="008A360C" w:rsidRDefault="00844F2A" w:rsidP="001119C2">
      <w:pPr>
        <w:rPr>
          <w:lang w:val="es-ES" w:eastAsia="zh-CN"/>
        </w:rPr>
      </w:pPr>
      <w:r w:rsidRPr="008A360C">
        <w:rPr>
          <w:lang w:val="es-ES" w:eastAsia="zh-CN"/>
        </w:rPr>
        <w:t xml:space="preserve">En la Resolución 12 (Rev. CMR-23) se encarga a la Secretaria General que presente un </w:t>
      </w:r>
      <w:r>
        <w:rPr>
          <w:lang w:val="es-ES" w:eastAsia="zh-CN"/>
        </w:rPr>
        <w:t>informe anual al Consejo sobre los avances logrados a tal efecto</w:t>
      </w:r>
      <w:r w:rsidRPr="008A360C">
        <w:rPr>
          <w:lang w:val="es-ES" w:eastAsia="zh-CN"/>
        </w:rPr>
        <w:t>.</w:t>
      </w:r>
    </w:p>
    <w:p w14:paraId="4B066DE2" w14:textId="268EFBFD" w:rsidR="00844F2A" w:rsidRDefault="00844F2A" w:rsidP="001119C2">
      <w:pPr>
        <w:rPr>
          <w:lang w:val="es-ES"/>
        </w:rPr>
      </w:pPr>
      <w:r w:rsidRPr="008A360C">
        <w:rPr>
          <w:lang w:val="es-ES"/>
        </w:rPr>
        <w:lastRenderedPageBreak/>
        <w:t xml:space="preserve">Para facilitar la consecución de sus objetivos, la Secretaria General y el Director de la Oficina de </w:t>
      </w:r>
      <w:r w:rsidRPr="008A360C">
        <w:rPr>
          <w:lang w:val="es-ES" w:eastAsia="zh-CN"/>
        </w:rPr>
        <w:t>Radiocomunicaciones</w:t>
      </w:r>
      <w:r w:rsidRPr="008A360C">
        <w:rPr>
          <w:lang w:val="es-ES"/>
        </w:rPr>
        <w:t xml:space="preserve"> han promovido el diálogo entre Israel y Palestin</w:t>
      </w:r>
      <w:r>
        <w:rPr>
          <w:lang w:val="es-ES"/>
        </w:rPr>
        <w:t>a con miras a la aplicación de la Resolución</w:t>
      </w:r>
      <w:r w:rsidRPr="008A360C">
        <w:rPr>
          <w:lang w:val="es-ES"/>
        </w:rPr>
        <w:t xml:space="preserve"> 12, </w:t>
      </w:r>
      <w:r>
        <w:rPr>
          <w:lang w:val="es-ES"/>
        </w:rPr>
        <w:t>e</w:t>
      </w:r>
      <w:r w:rsidRPr="008A360C">
        <w:rPr>
          <w:lang w:val="es-ES"/>
        </w:rPr>
        <w:t xml:space="preserve">n particular </w:t>
      </w:r>
      <w:r>
        <w:rPr>
          <w:lang w:val="es-ES"/>
        </w:rPr>
        <w:t>en lo que respecta a los avances en la hoja de ruta para que Palestina pueda acceder a más frecuencias para las IMT y la radiodifusión</w:t>
      </w:r>
      <w:r w:rsidRPr="008A360C">
        <w:rPr>
          <w:lang w:val="es-ES"/>
        </w:rPr>
        <w:t>.</w:t>
      </w:r>
    </w:p>
    <w:p w14:paraId="5665D228" w14:textId="77777777" w:rsidR="001119C2" w:rsidRPr="008A360C" w:rsidRDefault="001119C2" w:rsidP="001119C2">
      <w:pPr>
        <w:rPr>
          <w:lang w:val="es-ES"/>
        </w:rPr>
      </w:pPr>
    </w:p>
    <w:p w14:paraId="50B26180" w14:textId="77777777" w:rsidR="00844F2A" w:rsidRPr="0090147A" w:rsidRDefault="00844F2A" w:rsidP="00844F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lang w:val="es-ES"/>
        </w:rPr>
      </w:pPr>
      <w:r>
        <w:t>_____________</w:t>
      </w:r>
    </w:p>
    <w:sectPr w:rsidR="00844F2A" w:rsidRPr="0090147A" w:rsidSect="00C538FC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1328314" w14:textId="2032F256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7B5CAF">
            <w:rPr>
              <w:bCs/>
            </w:rPr>
            <w:t>69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141489C9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7B5CAF">
            <w:rPr>
              <w:bCs/>
            </w:rPr>
            <w:t>69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87DB4"/>
    <w:multiLevelType w:val="hybridMultilevel"/>
    <w:tmpl w:val="51244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F4898"/>
    <w:multiLevelType w:val="hybridMultilevel"/>
    <w:tmpl w:val="F694217C"/>
    <w:lvl w:ilvl="0" w:tplc="FFFFFFFF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610" w:hanging="360"/>
      </w:p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41C7FE5"/>
    <w:multiLevelType w:val="hybridMultilevel"/>
    <w:tmpl w:val="8CBCAA24"/>
    <w:lvl w:ilvl="0" w:tplc="04090005">
      <w:start w:val="1"/>
      <w:numFmt w:val="bullet"/>
      <w:lvlText w:val=""/>
      <w:lvlJc w:val="left"/>
      <w:pPr>
        <w:ind w:left="29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" w15:restartNumberingAfterBreak="0">
    <w:nsid w:val="6CAF3B53"/>
    <w:multiLevelType w:val="hybridMultilevel"/>
    <w:tmpl w:val="5AD0368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1355366"/>
    <w:multiLevelType w:val="hybridMultilevel"/>
    <w:tmpl w:val="73E2323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658992">
    <w:abstractNumId w:val="3"/>
  </w:num>
  <w:num w:numId="2" w16cid:durableId="342435826">
    <w:abstractNumId w:val="2"/>
  </w:num>
  <w:num w:numId="3" w16cid:durableId="989284639">
    <w:abstractNumId w:val="1"/>
  </w:num>
  <w:num w:numId="4" w16cid:durableId="1569881461">
    <w:abstractNumId w:val="0"/>
  </w:num>
  <w:num w:numId="5" w16cid:durableId="110889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119C2"/>
    <w:rsid w:val="00146BFB"/>
    <w:rsid w:val="001559F5"/>
    <w:rsid w:val="001F14A2"/>
    <w:rsid w:val="002801AA"/>
    <w:rsid w:val="002C4676"/>
    <w:rsid w:val="002C70B0"/>
    <w:rsid w:val="002F3CC4"/>
    <w:rsid w:val="003273A4"/>
    <w:rsid w:val="00473962"/>
    <w:rsid w:val="004748A6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50E0A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B5CAF"/>
    <w:rsid w:val="007E5DD3"/>
    <w:rsid w:val="007F350B"/>
    <w:rsid w:val="00820BE4"/>
    <w:rsid w:val="00844F2A"/>
    <w:rsid w:val="008451E8"/>
    <w:rsid w:val="00913B9C"/>
    <w:rsid w:val="00927F93"/>
    <w:rsid w:val="00956E77"/>
    <w:rsid w:val="009F4811"/>
    <w:rsid w:val="00AA390C"/>
    <w:rsid w:val="00AD578D"/>
    <w:rsid w:val="00B0200A"/>
    <w:rsid w:val="00B574DB"/>
    <w:rsid w:val="00B826C2"/>
    <w:rsid w:val="00B8298E"/>
    <w:rsid w:val="00BC76E5"/>
    <w:rsid w:val="00BD0723"/>
    <w:rsid w:val="00BD2518"/>
    <w:rsid w:val="00BF1D1C"/>
    <w:rsid w:val="00C20C59"/>
    <w:rsid w:val="00C2727F"/>
    <w:rsid w:val="00C538FC"/>
    <w:rsid w:val="00C55B1F"/>
    <w:rsid w:val="00CB421D"/>
    <w:rsid w:val="00CF1A67"/>
    <w:rsid w:val="00D2750E"/>
    <w:rsid w:val="00D43B85"/>
    <w:rsid w:val="00D50A36"/>
    <w:rsid w:val="00D53ABF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NUMBERED PARAGRAPH,List Paragraph 1,References,ReferencesCxSpLast,lp1,List Paragraph (numbered (a)),Use Case List Paragraph,Bullets,Numbered List Paragraph,List Paragraph nowy,Liste 1,Body"/>
    <w:basedOn w:val="Normal"/>
    <w:link w:val="ListParagraphChar"/>
    <w:uiPriority w:val="34"/>
    <w:qFormat/>
    <w:rsid w:val="00844F2A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844F2A"/>
    <w:rPr>
      <w:rFonts w:ascii="Calibri" w:hAnsi="Calibri"/>
      <w:b/>
      <w:sz w:val="28"/>
      <w:lang w:val="es-ES_tradnl" w:eastAsia="en-US"/>
    </w:rPr>
  </w:style>
  <w:style w:type="character" w:customStyle="1" w:styleId="ListParagraphChar">
    <w:name w:val="List Paragraph Char"/>
    <w:aliases w:val="List Paragraph1 Char,Recommendation Char,List Paragraph11 Char,NUMBERED PARAGRAPH Char,List Paragraph 1 Char,References Char,ReferencesCxSpLast Char,lp1 Char,List Paragraph (numbered (a)) Char,Use Case List Paragraph Char,Body Char"/>
    <w:basedOn w:val="DefaultParagraphFont"/>
    <w:link w:val="ListParagraph"/>
    <w:uiPriority w:val="34"/>
    <w:qFormat/>
    <w:locked/>
    <w:rsid w:val="00844F2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ACTF-2022/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pub/S-CONF-ACTF-2022/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/itu-r/opb/act/r-act-wrc.16-2024-pdf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D-TDC-WTDC/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1119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7413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Spanish</cp:lastModifiedBy>
  <cp:revision>5</cp:revision>
  <cp:lastPrinted>2006-03-24T09:51:00Z</cp:lastPrinted>
  <dcterms:created xsi:type="dcterms:W3CDTF">2024-05-14T09:58:00Z</dcterms:created>
  <dcterms:modified xsi:type="dcterms:W3CDTF">2024-05-14T11:14:00Z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