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813E5E" w14:paraId="76F2E715" w14:textId="77777777" w:rsidTr="00C538FC">
        <w:trPr>
          <w:cantSplit/>
          <w:trHeight w:val="23"/>
        </w:trPr>
        <w:tc>
          <w:tcPr>
            <w:tcW w:w="3969" w:type="dxa"/>
            <w:vMerge w:val="restart"/>
            <w:tcMar>
              <w:left w:w="0" w:type="dxa"/>
            </w:tcMar>
          </w:tcPr>
          <w:p w14:paraId="608BD412" w14:textId="14E89113" w:rsidR="00FE57F6" w:rsidRPr="00E85629" w:rsidRDefault="00D43B85" w:rsidP="00D43B85">
            <w:pPr>
              <w:tabs>
                <w:tab w:val="left" w:pos="851"/>
              </w:tabs>
              <w:spacing w:before="0" w:line="240" w:lineRule="atLeast"/>
              <w:rPr>
                <w:b/>
              </w:rPr>
            </w:pPr>
            <w:bookmarkStart w:id="0" w:name="_Hlk133421839"/>
            <w:r w:rsidRPr="00D43B85">
              <w:rPr>
                <w:b/>
              </w:rPr>
              <w:t>Punto del orden del día</w:t>
            </w:r>
            <w:r>
              <w:rPr>
                <w:b/>
              </w:rPr>
              <w:t xml:space="preserve">: </w:t>
            </w:r>
            <w:r w:rsidR="00531AE9">
              <w:rPr>
                <w:b/>
              </w:rPr>
              <w:t>PL 2</w:t>
            </w:r>
          </w:p>
        </w:tc>
        <w:tc>
          <w:tcPr>
            <w:tcW w:w="5245" w:type="dxa"/>
          </w:tcPr>
          <w:p w14:paraId="6F53A521" w14:textId="1697EEE7" w:rsidR="00FE57F6" w:rsidRPr="00E85629" w:rsidRDefault="00FE57F6" w:rsidP="00C538FC">
            <w:pPr>
              <w:tabs>
                <w:tab w:val="left" w:pos="851"/>
              </w:tabs>
              <w:spacing w:before="0" w:line="240" w:lineRule="atLeast"/>
              <w:jc w:val="right"/>
              <w:rPr>
                <w:b/>
              </w:rPr>
            </w:pPr>
            <w:r>
              <w:rPr>
                <w:b/>
              </w:rPr>
              <w:t>Document</w:t>
            </w:r>
            <w:r w:rsidR="00F24B71">
              <w:rPr>
                <w:b/>
              </w:rPr>
              <w:t>o</w:t>
            </w:r>
            <w:r>
              <w:rPr>
                <w:b/>
              </w:rPr>
              <w:t xml:space="preserve"> C2</w:t>
            </w:r>
            <w:r w:rsidR="0064481D">
              <w:rPr>
                <w:b/>
              </w:rPr>
              <w:t>4</w:t>
            </w:r>
            <w:r>
              <w:rPr>
                <w:b/>
              </w:rPr>
              <w:t>/</w:t>
            </w:r>
            <w:r w:rsidR="00531AE9">
              <w:rPr>
                <w:b/>
              </w:rPr>
              <w:t>68</w:t>
            </w:r>
            <w:r>
              <w:rPr>
                <w:b/>
              </w:rPr>
              <w:t>-</w:t>
            </w:r>
            <w:r w:rsidR="00F24B71">
              <w:rPr>
                <w:b/>
              </w:rPr>
              <w:t>S</w:t>
            </w:r>
          </w:p>
        </w:tc>
      </w:tr>
      <w:tr w:rsidR="00FE57F6" w:rsidRPr="00813E5E" w14:paraId="119687DE" w14:textId="77777777" w:rsidTr="00C538FC">
        <w:trPr>
          <w:cantSplit/>
        </w:trPr>
        <w:tc>
          <w:tcPr>
            <w:tcW w:w="3969" w:type="dxa"/>
            <w:vMerge/>
          </w:tcPr>
          <w:p w14:paraId="5F9819D2" w14:textId="77777777" w:rsidR="00FE57F6" w:rsidRPr="00813E5E" w:rsidRDefault="00FE57F6" w:rsidP="00C538FC">
            <w:pPr>
              <w:tabs>
                <w:tab w:val="left" w:pos="851"/>
              </w:tabs>
              <w:spacing w:line="240" w:lineRule="atLeast"/>
              <w:rPr>
                <w:b/>
              </w:rPr>
            </w:pPr>
          </w:p>
        </w:tc>
        <w:tc>
          <w:tcPr>
            <w:tcW w:w="5245" w:type="dxa"/>
          </w:tcPr>
          <w:p w14:paraId="69237D9B" w14:textId="2D132B7A" w:rsidR="00FE57F6" w:rsidRPr="00E85629" w:rsidRDefault="00531AE9" w:rsidP="00C538FC">
            <w:pPr>
              <w:tabs>
                <w:tab w:val="left" w:pos="851"/>
              </w:tabs>
              <w:spacing w:before="0"/>
              <w:jc w:val="right"/>
              <w:rPr>
                <w:b/>
              </w:rPr>
            </w:pPr>
            <w:r>
              <w:rPr>
                <w:b/>
                <w:bCs/>
                <w:lang w:val="es-ES"/>
              </w:rPr>
              <w:t>6 de mayo de 2024</w:t>
            </w:r>
          </w:p>
        </w:tc>
      </w:tr>
      <w:tr w:rsidR="00FE57F6" w:rsidRPr="00F24B71" w14:paraId="05D62A58" w14:textId="77777777" w:rsidTr="00C538FC">
        <w:trPr>
          <w:cantSplit/>
          <w:trHeight w:val="23"/>
        </w:trPr>
        <w:tc>
          <w:tcPr>
            <w:tcW w:w="3969" w:type="dxa"/>
            <w:vMerge/>
          </w:tcPr>
          <w:p w14:paraId="56E6F9FB" w14:textId="77777777" w:rsidR="00FE57F6" w:rsidRPr="00813E5E" w:rsidRDefault="00FE57F6" w:rsidP="00C538FC">
            <w:pPr>
              <w:tabs>
                <w:tab w:val="left" w:pos="851"/>
              </w:tabs>
              <w:spacing w:line="240" w:lineRule="atLeast"/>
              <w:rPr>
                <w:b/>
              </w:rPr>
            </w:pPr>
          </w:p>
        </w:tc>
        <w:tc>
          <w:tcPr>
            <w:tcW w:w="5245" w:type="dxa"/>
          </w:tcPr>
          <w:p w14:paraId="76110412" w14:textId="77777777" w:rsidR="00FE57F6" w:rsidRPr="00F24B71" w:rsidRDefault="00F24B71" w:rsidP="00C538FC">
            <w:pPr>
              <w:tabs>
                <w:tab w:val="left" w:pos="851"/>
              </w:tabs>
              <w:spacing w:before="0" w:line="240" w:lineRule="atLeast"/>
              <w:jc w:val="right"/>
              <w:rPr>
                <w:b/>
                <w:bCs/>
              </w:rPr>
            </w:pPr>
            <w:r w:rsidRPr="00F24B71">
              <w:rPr>
                <w:rFonts w:cstheme="minorHAnsi"/>
                <w:b/>
                <w:bCs/>
                <w:lang w:val="fr-CH"/>
              </w:rPr>
              <w:t xml:space="preserve">Original: </w:t>
            </w:r>
            <w:proofErr w:type="spellStart"/>
            <w:r w:rsidRPr="00F24B71">
              <w:rPr>
                <w:rFonts w:cstheme="minorHAnsi"/>
                <w:b/>
                <w:bCs/>
                <w:lang w:val="fr-CH"/>
              </w:rPr>
              <w:t>inglés</w:t>
            </w:r>
            <w:proofErr w:type="spellEnd"/>
          </w:p>
        </w:tc>
      </w:tr>
      <w:tr w:rsidR="00FE57F6" w:rsidRPr="00813E5E" w14:paraId="24CFE0F0" w14:textId="77777777" w:rsidTr="00C538FC">
        <w:trPr>
          <w:cantSplit/>
          <w:trHeight w:val="23"/>
        </w:trPr>
        <w:tc>
          <w:tcPr>
            <w:tcW w:w="3969" w:type="dxa"/>
          </w:tcPr>
          <w:p w14:paraId="04231291" w14:textId="77777777" w:rsidR="00FE57F6" w:rsidRPr="00813E5E" w:rsidRDefault="00FE57F6" w:rsidP="00C538FC">
            <w:pPr>
              <w:tabs>
                <w:tab w:val="left" w:pos="851"/>
              </w:tabs>
              <w:spacing w:line="240" w:lineRule="atLeast"/>
              <w:rPr>
                <w:b/>
              </w:rPr>
            </w:pPr>
          </w:p>
        </w:tc>
        <w:tc>
          <w:tcPr>
            <w:tcW w:w="5245" w:type="dxa"/>
          </w:tcPr>
          <w:p w14:paraId="508BF8AD" w14:textId="77777777" w:rsidR="00FE57F6" w:rsidRDefault="00FE57F6" w:rsidP="00C538FC">
            <w:pPr>
              <w:tabs>
                <w:tab w:val="left" w:pos="851"/>
              </w:tabs>
              <w:spacing w:before="0" w:line="240" w:lineRule="atLeast"/>
              <w:jc w:val="right"/>
              <w:rPr>
                <w:b/>
              </w:rPr>
            </w:pPr>
          </w:p>
        </w:tc>
      </w:tr>
      <w:tr w:rsidR="00FE57F6" w:rsidRPr="00FE57F6" w14:paraId="3602BDC8" w14:textId="77777777" w:rsidTr="00C538FC">
        <w:trPr>
          <w:cantSplit/>
        </w:trPr>
        <w:tc>
          <w:tcPr>
            <w:tcW w:w="9214" w:type="dxa"/>
            <w:gridSpan w:val="2"/>
            <w:tcMar>
              <w:left w:w="0" w:type="dxa"/>
            </w:tcMar>
          </w:tcPr>
          <w:p w14:paraId="55F513BB" w14:textId="77777777" w:rsidR="00FE57F6" w:rsidRPr="004B5D49" w:rsidRDefault="00F24B71" w:rsidP="00C538FC">
            <w:pPr>
              <w:pStyle w:val="Source"/>
              <w:jc w:val="left"/>
              <w:rPr>
                <w:sz w:val="34"/>
                <w:szCs w:val="34"/>
                <w:lang w:val="es-ES"/>
              </w:rPr>
            </w:pPr>
            <w:r w:rsidRPr="00C538FC">
              <w:rPr>
                <w:rFonts w:cstheme="minorHAnsi"/>
                <w:sz w:val="34"/>
                <w:szCs w:val="34"/>
              </w:rPr>
              <w:t>Informe de</w:t>
            </w:r>
            <w:r w:rsidR="004B5D49">
              <w:rPr>
                <w:rFonts w:cstheme="minorHAnsi"/>
                <w:sz w:val="34"/>
                <w:szCs w:val="34"/>
              </w:rPr>
              <w:t xml:space="preserve"> </w:t>
            </w:r>
            <w:r w:rsidRPr="00C538FC">
              <w:rPr>
                <w:rFonts w:cstheme="minorHAnsi"/>
                <w:sz w:val="34"/>
                <w:szCs w:val="34"/>
              </w:rPr>
              <w:t>l</w:t>
            </w:r>
            <w:r w:rsidR="004B5D49">
              <w:rPr>
                <w:rFonts w:cstheme="minorHAnsi"/>
                <w:sz w:val="34"/>
                <w:szCs w:val="34"/>
              </w:rPr>
              <w:t>a</w:t>
            </w:r>
            <w:r w:rsidRPr="00C538FC">
              <w:rPr>
                <w:rFonts w:cstheme="minorHAnsi"/>
                <w:sz w:val="34"/>
                <w:szCs w:val="34"/>
              </w:rPr>
              <w:t xml:space="preserve"> Secretari</w:t>
            </w:r>
            <w:r w:rsidR="004B5D49">
              <w:rPr>
                <w:rFonts w:cstheme="minorHAnsi"/>
                <w:sz w:val="34"/>
                <w:szCs w:val="34"/>
              </w:rPr>
              <w:t>a</w:t>
            </w:r>
            <w:r w:rsidRPr="00C538FC">
              <w:rPr>
                <w:rFonts w:cstheme="minorHAnsi"/>
                <w:sz w:val="34"/>
                <w:szCs w:val="34"/>
              </w:rPr>
              <w:t xml:space="preserve"> General</w:t>
            </w:r>
          </w:p>
        </w:tc>
      </w:tr>
      <w:tr w:rsidR="00FE57F6" w:rsidRPr="00813E5E" w14:paraId="457B2975" w14:textId="77777777" w:rsidTr="00C538FC">
        <w:trPr>
          <w:cantSplit/>
        </w:trPr>
        <w:tc>
          <w:tcPr>
            <w:tcW w:w="9214" w:type="dxa"/>
            <w:gridSpan w:val="2"/>
            <w:tcMar>
              <w:left w:w="0" w:type="dxa"/>
            </w:tcMar>
          </w:tcPr>
          <w:p w14:paraId="22377B1F" w14:textId="231D4C99" w:rsidR="00FE57F6" w:rsidRPr="00531AE9" w:rsidRDefault="00531AE9" w:rsidP="00C538FC">
            <w:pPr>
              <w:pStyle w:val="Subtitle"/>
              <w:framePr w:hSpace="0" w:wrap="auto" w:hAnchor="text" w:xAlign="left" w:yAlign="inline"/>
              <w:rPr>
                <w:lang w:val="es-ES"/>
              </w:rPr>
            </w:pPr>
            <w:bookmarkStart w:id="1" w:name="_Hlk164670350"/>
            <w:r>
              <w:rPr>
                <w:lang w:val="es-ES"/>
              </w:rPr>
              <w:t>ACTUALIZACIÓN SOBRE LA APLICACIÓN DE LA RESOLUCIÓN 1408 DEL CONSEJO DE LA UIT SOBRE ASISTENCIA Y AYUDA A UCRANIA PARA LA RECONSTRUCCIÓN DE SU SECTOR DE TELECOMUNICACIONES</w:t>
            </w:r>
            <w:bookmarkEnd w:id="1"/>
          </w:p>
        </w:tc>
      </w:tr>
      <w:tr w:rsidR="00FE57F6" w:rsidRPr="00813E5E" w14:paraId="1E343AFA" w14:textId="77777777" w:rsidTr="00C538FC">
        <w:trPr>
          <w:cantSplit/>
        </w:trPr>
        <w:tc>
          <w:tcPr>
            <w:tcW w:w="9214" w:type="dxa"/>
            <w:gridSpan w:val="2"/>
            <w:tcBorders>
              <w:top w:val="single" w:sz="4" w:space="0" w:color="auto"/>
              <w:bottom w:val="single" w:sz="4" w:space="0" w:color="auto"/>
            </w:tcBorders>
            <w:tcMar>
              <w:left w:w="0" w:type="dxa"/>
            </w:tcMar>
          </w:tcPr>
          <w:p w14:paraId="20F23523" w14:textId="5646ADB2" w:rsidR="00FE57F6" w:rsidRPr="00F24B71" w:rsidRDefault="00F24B71" w:rsidP="00C538FC">
            <w:pPr>
              <w:spacing w:before="160"/>
              <w:rPr>
                <w:b/>
                <w:bCs/>
                <w:sz w:val="26"/>
                <w:szCs w:val="26"/>
                <w:lang w:val="es-ES"/>
              </w:rPr>
            </w:pPr>
            <w:r w:rsidRPr="00F24B71">
              <w:rPr>
                <w:b/>
                <w:bCs/>
                <w:sz w:val="26"/>
                <w:szCs w:val="26"/>
                <w:lang w:val="es-ES"/>
              </w:rPr>
              <w:t>Objetivo</w:t>
            </w:r>
          </w:p>
          <w:p w14:paraId="06ED4C12" w14:textId="6EF11D9C" w:rsidR="00FE57F6" w:rsidRPr="00F24B71" w:rsidRDefault="00531AE9" w:rsidP="00C538FC">
            <w:pPr>
              <w:rPr>
                <w:lang w:val="es-ES"/>
              </w:rPr>
            </w:pPr>
            <w:r>
              <w:rPr>
                <w:lang w:val="es-ES"/>
              </w:rPr>
              <w:t>En el presente Informe se resumen las actividades y la evolución desde la reunión de julio de 2023 del Consejo de la UIT sobre asistencia y apoyo a Ucrania para la reconstrucción de su sector de telecomunicaciones en respuesta a la Resolución 1408 modificada del Consejo de la UIT, centrándose en el seguimiento y la presentación de informes, los mecanismos de coordinación, la asistencia técnica, la movilización de recursos y las actividades de capacitación.</w:t>
            </w:r>
          </w:p>
          <w:p w14:paraId="588C0589" w14:textId="77777777" w:rsidR="00FE57F6" w:rsidRPr="00F24B71" w:rsidRDefault="00F24B71" w:rsidP="00C538FC">
            <w:pPr>
              <w:spacing w:before="160"/>
              <w:rPr>
                <w:b/>
                <w:bCs/>
                <w:sz w:val="26"/>
                <w:szCs w:val="26"/>
                <w:lang w:val="es-ES"/>
              </w:rPr>
            </w:pPr>
            <w:r w:rsidRPr="00F24B71">
              <w:rPr>
                <w:b/>
                <w:bCs/>
                <w:sz w:val="26"/>
                <w:szCs w:val="26"/>
                <w:lang w:val="es-ES"/>
              </w:rPr>
              <w:t xml:space="preserve">Acción solicitada </w:t>
            </w:r>
            <w:r w:rsidR="00677A97">
              <w:rPr>
                <w:b/>
                <w:bCs/>
                <w:sz w:val="26"/>
                <w:szCs w:val="26"/>
                <w:lang w:val="es-ES"/>
              </w:rPr>
              <w:t>al</w:t>
            </w:r>
            <w:r w:rsidRPr="00F24B71">
              <w:rPr>
                <w:b/>
                <w:bCs/>
                <w:sz w:val="26"/>
                <w:szCs w:val="26"/>
                <w:lang w:val="es-ES"/>
              </w:rPr>
              <w:t xml:space="preserve"> Consejo</w:t>
            </w:r>
          </w:p>
          <w:p w14:paraId="0EBD3F0D" w14:textId="0712D5AF" w:rsidR="00FE57F6" w:rsidRPr="00F24B71" w:rsidRDefault="00531AE9" w:rsidP="00C538FC">
            <w:pPr>
              <w:rPr>
                <w:lang w:val="es-ES"/>
              </w:rPr>
            </w:pPr>
            <w:r>
              <w:rPr>
                <w:lang w:val="es-ES"/>
              </w:rPr>
              <w:t xml:space="preserve">Se invita al Consejo a </w:t>
            </w:r>
            <w:r>
              <w:rPr>
                <w:b/>
                <w:bCs/>
                <w:lang w:val="es-ES"/>
              </w:rPr>
              <w:t>tomar nota</w:t>
            </w:r>
            <w:r>
              <w:rPr>
                <w:lang w:val="es-ES"/>
              </w:rPr>
              <w:t xml:space="preserve"> del presente Informe.</w:t>
            </w:r>
          </w:p>
          <w:p w14:paraId="0D2886E1" w14:textId="77777777" w:rsidR="00FE57F6" w:rsidRPr="00F24B71" w:rsidRDefault="00F24B71" w:rsidP="00C538FC">
            <w:pPr>
              <w:spacing w:before="160"/>
              <w:rPr>
                <w:b/>
                <w:bCs/>
                <w:sz w:val="26"/>
                <w:szCs w:val="26"/>
                <w:lang w:val="es-ES"/>
              </w:rPr>
            </w:pPr>
            <w:r w:rsidRPr="00F24B71">
              <w:rPr>
                <w:b/>
                <w:bCs/>
                <w:sz w:val="26"/>
                <w:szCs w:val="26"/>
                <w:lang w:val="es-ES"/>
              </w:rPr>
              <w:t>Vínculos pertinentes con el Plan Estratégico</w:t>
            </w:r>
          </w:p>
          <w:p w14:paraId="66CB1F35" w14:textId="2ED8E05A" w:rsidR="00FE57F6" w:rsidRPr="00F24B71" w:rsidRDefault="00531AE9" w:rsidP="00C538FC">
            <w:pPr>
              <w:rPr>
                <w:lang w:val="es-ES"/>
              </w:rPr>
            </w:pPr>
            <w:r>
              <w:rPr>
                <w:lang w:val="es-ES"/>
              </w:rPr>
              <w:t>Prestación de asistencia técnica.</w:t>
            </w:r>
          </w:p>
          <w:p w14:paraId="19791A4F" w14:textId="77777777" w:rsidR="00D43B85" w:rsidRDefault="00F24B71" w:rsidP="00C538FC">
            <w:pPr>
              <w:spacing w:before="160"/>
              <w:rPr>
                <w:b/>
                <w:bCs/>
                <w:sz w:val="26"/>
                <w:szCs w:val="26"/>
              </w:rPr>
            </w:pPr>
            <w:r w:rsidRPr="00F24B71">
              <w:rPr>
                <w:b/>
                <w:bCs/>
                <w:sz w:val="26"/>
                <w:szCs w:val="26"/>
              </w:rPr>
              <w:t>Repercusiones financieras</w:t>
            </w:r>
          </w:p>
          <w:p w14:paraId="55F30B4F" w14:textId="693D76E4" w:rsidR="00FE57F6" w:rsidRPr="00D43B85" w:rsidRDefault="00531AE9" w:rsidP="00D43B85">
            <w:pPr>
              <w:spacing w:before="240"/>
              <w:rPr>
                <w:b/>
                <w:bCs/>
                <w:szCs w:val="24"/>
              </w:rPr>
            </w:pPr>
            <w:r>
              <w:rPr>
                <w:lang w:val="es-ES"/>
              </w:rPr>
              <w:t>183 000 CHF desde 2022, de los cuales 60 000 CHF del presupuesto de la UIT, 123 000 CHF en contribuciones voluntarias monetarias y 20 000 CHF en contribuciones en especie.</w:t>
            </w:r>
          </w:p>
          <w:p w14:paraId="6805C1E5" w14:textId="77777777" w:rsidR="00FE57F6" w:rsidRPr="00813E5E" w:rsidRDefault="00FE57F6" w:rsidP="00C538FC">
            <w:pPr>
              <w:spacing w:before="160"/>
              <w:rPr>
                <w:caps/>
                <w:sz w:val="22"/>
              </w:rPr>
            </w:pPr>
            <w:r w:rsidRPr="00813E5E">
              <w:rPr>
                <w:sz w:val="22"/>
              </w:rPr>
              <w:t>____________</w:t>
            </w:r>
            <w:r>
              <w:rPr>
                <w:sz w:val="22"/>
              </w:rPr>
              <w:t>______</w:t>
            </w:r>
          </w:p>
          <w:p w14:paraId="3FEC531F" w14:textId="77777777" w:rsidR="00FE57F6" w:rsidRDefault="00F24B71" w:rsidP="00C538FC">
            <w:pPr>
              <w:spacing w:before="160"/>
              <w:rPr>
                <w:b/>
                <w:bCs/>
                <w:sz w:val="26"/>
                <w:szCs w:val="26"/>
              </w:rPr>
            </w:pPr>
            <w:r w:rsidRPr="00F24B71">
              <w:rPr>
                <w:b/>
                <w:bCs/>
                <w:sz w:val="26"/>
                <w:szCs w:val="26"/>
              </w:rPr>
              <w:t>Referencia</w:t>
            </w:r>
          </w:p>
          <w:p w14:paraId="683D9970" w14:textId="3DE73F65" w:rsidR="00FE57F6" w:rsidRDefault="006E14D6" w:rsidP="00C538FC">
            <w:pPr>
              <w:spacing w:after="160"/>
            </w:pPr>
            <w:hyperlink r:id="rId7" w:history="1">
              <w:r w:rsidR="00531AE9" w:rsidRPr="00AB42AD">
                <w:rPr>
                  <w:rStyle w:val="Hyperlink"/>
                  <w:i/>
                  <w:iCs/>
                  <w:lang w:val="es-ES"/>
                </w:rPr>
                <w:t>Resolución 1408</w:t>
              </w:r>
            </w:hyperlink>
            <w:r w:rsidR="00531AE9" w:rsidRPr="00AB42AD">
              <w:rPr>
                <w:i/>
                <w:iCs/>
                <w:lang w:val="es-ES"/>
              </w:rPr>
              <w:t xml:space="preserve"> (modificada, 2023) del Consejo;</w:t>
            </w:r>
            <w:r w:rsidR="00531AE9" w:rsidRPr="00AB42AD">
              <w:rPr>
                <w:lang w:val="es-ES"/>
              </w:rPr>
              <w:t xml:space="preserve"> </w:t>
            </w:r>
            <w:hyperlink r:id="rId8" w:history="1">
              <w:r w:rsidR="00531AE9" w:rsidRPr="00AB42AD">
                <w:rPr>
                  <w:rStyle w:val="Hyperlink"/>
                  <w:i/>
                  <w:iCs/>
                  <w:lang w:val="es-ES"/>
                </w:rPr>
                <w:t>C23/59</w:t>
              </w:r>
            </w:hyperlink>
          </w:p>
        </w:tc>
      </w:tr>
      <w:bookmarkEnd w:id="0"/>
    </w:tbl>
    <w:p w14:paraId="54C741C4" w14:textId="77777777" w:rsidR="00093EEB" w:rsidRDefault="00093EEB"/>
    <w:p w14:paraId="7B32D7D6" w14:textId="77777777" w:rsidR="001559F5" w:rsidRDefault="001559F5">
      <w:pPr>
        <w:tabs>
          <w:tab w:val="clear" w:pos="567"/>
          <w:tab w:val="clear" w:pos="1134"/>
          <w:tab w:val="clear" w:pos="1701"/>
          <w:tab w:val="clear" w:pos="2268"/>
          <w:tab w:val="clear" w:pos="2835"/>
        </w:tabs>
        <w:overflowPunct/>
        <w:autoSpaceDE/>
        <w:autoSpaceDN/>
        <w:adjustRightInd/>
        <w:spacing w:before="0"/>
        <w:textAlignment w:val="auto"/>
      </w:pPr>
      <w:r>
        <w:br w:type="page"/>
      </w:r>
    </w:p>
    <w:p w14:paraId="688F3290" w14:textId="6B73E399" w:rsidR="00927F93" w:rsidRDefault="00531AE9" w:rsidP="00531AE9">
      <w:pPr>
        <w:pStyle w:val="Heading1"/>
      </w:pPr>
      <w:bookmarkStart w:id="2" w:name="_Toc309942973"/>
      <w:r>
        <w:rPr>
          <w:lang w:val="es-ES"/>
        </w:rPr>
        <w:lastRenderedPageBreak/>
        <w:t>1</w:t>
      </w:r>
      <w:r>
        <w:rPr>
          <w:lang w:val="es-ES"/>
        </w:rPr>
        <w:tab/>
        <w:t>Introducción</w:t>
      </w:r>
      <w:bookmarkEnd w:id="2"/>
    </w:p>
    <w:p w14:paraId="65BF69EB" w14:textId="5C1B5A94" w:rsidR="00531AE9" w:rsidRDefault="00531AE9" w:rsidP="00531AE9">
      <w:r>
        <w:rPr>
          <w:lang w:val="es-ES"/>
        </w:rPr>
        <w:t xml:space="preserve">En su última reunión, celebrada en julio de 2023, el Consejo de la UIT modificó la </w:t>
      </w:r>
      <w:hyperlink r:id="rId9" w:history="1">
        <w:r w:rsidRPr="00AB42AD">
          <w:rPr>
            <w:rStyle w:val="Hyperlink"/>
            <w:lang w:val="es-ES"/>
          </w:rPr>
          <w:t>Resolución</w:t>
        </w:r>
        <w:r>
          <w:rPr>
            <w:rStyle w:val="Hyperlink"/>
            <w:lang w:val="es-ES"/>
          </w:rPr>
          <w:t> </w:t>
        </w:r>
        <w:r w:rsidRPr="00AB42AD">
          <w:rPr>
            <w:rStyle w:val="Hyperlink"/>
            <w:lang w:val="es-ES"/>
          </w:rPr>
          <w:t>1408</w:t>
        </w:r>
      </w:hyperlink>
      <w:r>
        <w:rPr>
          <w:lang w:val="es-ES"/>
        </w:rPr>
        <w:t xml:space="preserve"> sobre "</w:t>
      </w:r>
      <w:r w:rsidRPr="00AB42AD">
        <w:rPr>
          <w:b/>
          <w:bCs/>
          <w:lang w:val="es-ES"/>
        </w:rPr>
        <w:t>Asistencia y ayuda a Ucrania para la reconstrucción de su sector de telecomunicaciones</w:t>
      </w:r>
      <w:r>
        <w:rPr>
          <w:lang w:val="es-ES"/>
        </w:rPr>
        <w:t xml:space="preserve">". En el presente Informe se resumen las medidas adoptadas por la Secretaría de la UIT relativas a los </w:t>
      </w:r>
      <w:r>
        <w:rPr>
          <w:i/>
          <w:iCs/>
          <w:lang w:val="es-ES"/>
        </w:rPr>
        <w:t>resuelve</w:t>
      </w:r>
      <w:r>
        <w:rPr>
          <w:lang w:val="es-ES"/>
        </w:rPr>
        <w:t xml:space="preserve"> de esta Resolución, en particular en lo que respecta a la supervisión y presentación de informes, los mecanismos de coordinación, la facilitación de la asistencia técnica y la movilización de recursos.</w:t>
      </w:r>
    </w:p>
    <w:p w14:paraId="190CE4D9" w14:textId="77777777" w:rsidR="00531AE9" w:rsidRPr="00AB42AD" w:rsidRDefault="00531AE9" w:rsidP="00531AE9">
      <w:pPr>
        <w:pStyle w:val="Heading1"/>
        <w:rPr>
          <w:rFonts w:asciiTheme="minorHAnsi" w:hAnsiTheme="minorHAnsi" w:cstheme="minorBidi"/>
          <w:lang w:val="es-ES"/>
        </w:rPr>
      </w:pPr>
      <w:bookmarkStart w:id="3" w:name="_Toc521108113"/>
      <w:r>
        <w:rPr>
          <w:lang w:val="es-ES"/>
        </w:rPr>
        <w:t>2</w:t>
      </w:r>
      <w:r>
        <w:rPr>
          <w:lang w:val="es-ES"/>
        </w:rPr>
        <w:tab/>
        <w:t>Supervisión y presentación de informes</w:t>
      </w:r>
      <w:bookmarkEnd w:id="3"/>
    </w:p>
    <w:p w14:paraId="1EB409D6" w14:textId="558440F8" w:rsidR="00531AE9" w:rsidRPr="00AB42AD" w:rsidRDefault="00531AE9" w:rsidP="00531AE9">
      <w:pPr>
        <w:rPr>
          <w:rFonts w:asciiTheme="minorHAnsi" w:hAnsiTheme="minorHAnsi" w:cstheme="minorHAnsi"/>
          <w:szCs w:val="24"/>
          <w:lang w:val="es-ES"/>
        </w:rPr>
      </w:pPr>
      <w:r>
        <w:rPr>
          <w:lang w:val="es-ES"/>
        </w:rPr>
        <w:t xml:space="preserve">Con el fin de facilitar una asistencia técnica eficaz, se introdujo un monitoreo constante de la resiliencia digital en Ucrania. Se mantuvo actualizado un sitio web especial dedicado a la aplicación de la Resolución 1408, que puede consultarse </w:t>
      </w:r>
      <w:hyperlink r:id="rId10" w:history="1">
        <w:r w:rsidRPr="00523ED8">
          <w:rPr>
            <w:rStyle w:val="Hyperlink"/>
            <w:lang w:val="es-ES"/>
          </w:rPr>
          <w:t>aquí</w:t>
        </w:r>
      </w:hyperlink>
      <w:r>
        <w:rPr>
          <w:lang w:val="es-ES"/>
        </w:rPr>
        <w:t>.</w:t>
      </w:r>
    </w:p>
    <w:p w14:paraId="7BEA28A3" w14:textId="77777777" w:rsidR="00531AE9" w:rsidRPr="00AB42AD" w:rsidRDefault="00531AE9" w:rsidP="00531AE9">
      <w:pPr>
        <w:rPr>
          <w:rFonts w:asciiTheme="minorHAnsi" w:eastAsiaTheme="minorEastAsia" w:hAnsiTheme="minorHAnsi" w:cstheme="minorHAnsi"/>
          <w:szCs w:val="24"/>
          <w:lang w:val="es-ES"/>
        </w:rPr>
      </w:pPr>
      <w:r>
        <w:rPr>
          <w:lang w:val="es-ES"/>
        </w:rPr>
        <w:t xml:space="preserve">La UIT, en su calidad de organismo digital de las Naciones Unidas (ONU), siguió contribuyendo a la elaboración periódica del </w:t>
      </w:r>
      <w:r>
        <w:rPr>
          <w:b/>
          <w:bCs/>
          <w:lang w:val="es-ES"/>
        </w:rPr>
        <w:t>Informe de evaluación rápida de daños y necesidades (RDNA)</w:t>
      </w:r>
      <w:r>
        <w:rPr>
          <w:lang w:val="es-ES"/>
        </w:rPr>
        <w:t xml:space="preserve">, facilitado por la Comisión Europea, el Banco Mundial y las Naciones Unidas. La contribución de la UIT </w:t>
      </w:r>
      <w:proofErr w:type="gramStart"/>
      <w:r>
        <w:rPr>
          <w:lang w:val="es-ES"/>
        </w:rPr>
        <w:t>se centró principalmente en</w:t>
      </w:r>
      <w:proofErr w:type="gramEnd"/>
      <w:r>
        <w:rPr>
          <w:lang w:val="es-ES"/>
        </w:rPr>
        <w:t xml:space="preserve"> el capítulo sobre "Las telecomunicaciones y la tecnología digital". La 3ª edición del RDNA se publicó el 15 de febrero de 2024 y sirve como documento guía para que la comunidad internacional de donantes ayude en el proceso de reconstrucción de Ucrania.</w:t>
      </w:r>
      <w:r w:rsidRPr="00081489">
        <w:rPr>
          <w:rStyle w:val="FootnoteReference"/>
          <w:rFonts w:asciiTheme="minorHAnsi" w:eastAsiaTheme="minorEastAsia" w:hAnsiTheme="minorHAnsi" w:cstheme="minorHAnsi"/>
          <w:sz w:val="24"/>
          <w:szCs w:val="24"/>
          <w:vertAlign w:val="superscript"/>
          <w:lang w:val="es-ES"/>
        </w:rPr>
        <w:footnoteReference w:id="1"/>
      </w:r>
      <w:r>
        <w:rPr>
          <w:lang w:val="es-ES"/>
        </w:rPr>
        <w:t xml:space="preserve"> </w:t>
      </w:r>
    </w:p>
    <w:p w14:paraId="6125E382" w14:textId="173852F0" w:rsidR="00531AE9" w:rsidRPr="00AB42AD" w:rsidRDefault="00531AE9" w:rsidP="00531AE9">
      <w:pPr>
        <w:pStyle w:val="enumlev1"/>
        <w:rPr>
          <w:szCs w:val="24"/>
          <w:lang w:val="es-ES"/>
        </w:rPr>
      </w:pPr>
      <w:r w:rsidRPr="00DC34CA">
        <w:rPr>
          <w:lang w:val="es-ES"/>
        </w:rPr>
        <w:t>–</w:t>
      </w:r>
      <w:r>
        <w:rPr>
          <w:lang w:val="es-ES"/>
        </w:rPr>
        <w:tab/>
        <w:t xml:space="preserve">El impacto global de la guerra en las telecomunicaciones y el sector digital al 31 de diciembre de 2023 se estima en 2,1 mil millones USD en daños, 2,27 mil </w:t>
      </w:r>
      <w:r w:rsidRPr="00531AE9">
        <w:t>millones</w:t>
      </w:r>
      <w:r>
        <w:t> </w:t>
      </w:r>
      <w:r w:rsidRPr="00531AE9">
        <w:t>USD</w:t>
      </w:r>
      <w:r>
        <w:rPr>
          <w:lang w:val="es-ES"/>
        </w:rPr>
        <w:t xml:space="preserve"> en pérdidas y 4,67 mil millones USD en necesidades. </w:t>
      </w:r>
    </w:p>
    <w:p w14:paraId="0595DA75" w14:textId="4A2AFA4A" w:rsidR="00531AE9" w:rsidRPr="00AB42AD" w:rsidRDefault="00531AE9" w:rsidP="00531AE9">
      <w:pPr>
        <w:pStyle w:val="enumlev1"/>
        <w:rPr>
          <w:rFonts w:cstheme="minorHAnsi"/>
          <w:szCs w:val="24"/>
          <w:lang w:val="es-ES"/>
        </w:rPr>
      </w:pPr>
      <w:r w:rsidRPr="00DC34CA">
        <w:rPr>
          <w:lang w:val="es-ES"/>
        </w:rPr>
        <w:t>–</w:t>
      </w:r>
      <w:r w:rsidRPr="00DC34CA">
        <w:rPr>
          <w:lang w:val="es-ES"/>
        </w:rPr>
        <w:tab/>
      </w:r>
      <w:r>
        <w:rPr>
          <w:b/>
          <w:bCs/>
          <w:lang w:val="es-ES"/>
        </w:rPr>
        <w:t>El coste total de los daños ocasionados al sector se estima en 2,1 mil millones USD.</w:t>
      </w:r>
      <w:r>
        <w:rPr>
          <w:lang w:val="es-ES"/>
        </w:rPr>
        <w:t xml:space="preserve"> Esta cifra incluye daños de 950 millones USD para los operadores de banda ancha fija, 899 millones USD para los operadores móviles, 192 millones USD para los proveedores de correos y 51 millones USD para el sector de radiodifusión. </w:t>
      </w:r>
    </w:p>
    <w:p w14:paraId="60EA6104" w14:textId="77777777" w:rsidR="00531AE9" w:rsidRPr="00AB42AD" w:rsidRDefault="00531AE9" w:rsidP="00531AE9">
      <w:pPr>
        <w:pStyle w:val="enumlev1"/>
        <w:rPr>
          <w:szCs w:val="24"/>
          <w:lang w:val="es-ES"/>
        </w:rPr>
      </w:pPr>
      <w:r w:rsidRPr="00DC34CA">
        <w:rPr>
          <w:lang w:val="es-ES"/>
        </w:rPr>
        <w:t>–</w:t>
      </w:r>
      <w:r w:rsidRPr="00DC34CA">
        <w:rPr>
          <w:lang w:val="es-ES"/>
        </w:rPr>
        <w:tab/>
      </w:r>
      <w:r>
        <w:rPr>
          <w:b/>
          <w:bCs/>
          <w:lang w:val="es-ES"/>
        </w:rPr>
        <w:t>Las pérdidas en el sector se estiman en 2, 27 mil millones USD</w:t>
      </w:r>
      <w:r>
        <w:rPr>
          <w:lang w:val="es-ES"/>
        </w:rPr>
        <w:t>. Esta cifra incluye las pérdidas de ingresos debidas a las interrupciones de los servicios postales y los servicios de Internet móvil y fijo, así como el aumento de los costos de los generadores de electricidad de respaldo necesarios para la prestación ininterrumpida de servicios de Internet.</w:t>
      </w:r>
    </w:p>
    <w:p w14:paraId="1A98BE3B" w14:textId="7BF64E72" w:rsidR="00531AE9" w:rsidRPr="00AB42AD" w:rsidRDefault="00531AE9" w:rsidP="00531AE9">
      <w:pPr>
        <w:pStyle w:val="enumlev1"/>
        <w:rPr>
          <w:szCs w:val="24"/>
          <w:lang w:val="es-ES"/>
        </w:rPr>
      </w:pPr>
      <w:r w:rsidRPr="00DC34CA">
        <w:rPr>
          <w:lang w:val="es-ES"/>
        </w:rPr>
        <w:t>–</w:t>
      </w:r>
      <w:r>
        <w:rPr>
          <w:lang w:val="es-ES"/>
        </w:rPr>
        <w:tab/>
        <w:t xml:space="preserve">Las necesidades totales de recuperación y reconstrucción en el sector se estiman en </w:t>
      </w:r>
      <w:r w:rsidRPr="00AB42AD">
        <w:rPr>
          <w:b/>
          <w:bCs/>
          <w:lang w:val="es-ES"/>
        </w:rPr>
        <w:t>4,67</w:t>
      </w:r>
      <w:r>
        <w:rPr>
          <w:b/>
          <w:bCs/>
          <w:lang w:val="es-ES"/>
        </w:rPr>
        <w:t> </w:t>
      </w:r>
      <w:r w:rsidRPr="00AB42AD">
        <w:rPr>
          <w:b/>
          <w:bCs/>
          <w:lang w:val="es-ES"/>
        </w:rPr>
        <w:t>mil millones USD en 10 años.</w:t>
      </w:r>
    </w:p>
    <w:p w14:paraId="70C6A6DC" w14:textId="32CE29C3" w:rsidR="00531AE9" w:rsidRPr="00AB42AD" w:rsidRDefault="00531AE9" w:rsidP="00531AE9">
      <w:pPr>
        <w:rPr>
          <w:rFonts w:asciiTheme="minorHAnsi" w:eastAsiaTheme="minorEastAsia" w:hAnsiTheme="minorHAnsi" w:cstheme="minorBidi"/>
          <w:lang w:val="es-ES"/>
        </w:rPr>
      </w:pPr>
      <w:r>
        <w:rPr>
          <w:lang w:val="es-ES"/>
        </w:rPr>
        <w:t>La UIT sigue supervisando la situación del sector de las TIC y la radiodifusión. A los efectos de la asistencia técnica en materia de radiodifusión, la UIT elabora informes técnicos sobre la "</w:t>
      </w:r>
      <w:r>
        <w:rPr>
          <w:b/>
          <w:bCs/>
          <w:lang w:val="es-ES"/>
        </w:rPr>
        <w:t>Evaluación primaria de los costes de rehabilitación de las estaciones de radiodifusión</w:t>
      </w:r>
      <w:r>
        <w:rPr>
          <w:lang w:val="es-ES"/>
        </w:rPr>
        <w:t xml:space="preserve">", instrumento que facilita la colaboración con la comunidad internacional de donantes. La rehabilitación de las primeras estaciones de radiodifusión investigadas asciende a unos </w:t>
      </w:r>
      <w:r>
        <w:rPr>
          <w:b/>
          <w:bCs/>
          <w:lang w:val="es-ES"/>
        </w:rPr>
        <w:t>3,7 millones USD, lo que permitió empezar a proporcionar la señal de radiodifusión completa a más de 5 millones de ciudadanos</w:t>
      </w:r>
      <w:r>
        <w:rPr>
          <w:lang w:val="es-ES"/>
        </w:rPr>
        <w:t xml:space="preserve">. La reconstrucción de esas estaciones </w:t>
      </w:r>
      <w:r>
        <w:rPr>
          <w:lang w:val="es-ES"/>
        </w:rPr>
        <w:lastRenderedPageBreak/>
        <w:t xml:space="preserve">ascenderá a entre </w:t>
      </w:r>
      <w:r w:rsidRPr="00AB42AD">
        <w:rPr>
          <w:b/>
          <w:bCs/>
          <w:lang w:val="es-ES"/>
        </w:rPr>
        <w:t>5,5 y</w:t>
      </w:r>
      <w:r>
        <w:rPr>
          <w:lang w:val="es-ES"/>
        </w:rPr>
        <w:t xml:space="preserve"> </w:t>
      </w:r>
      <w:r w:rsidRPr="00AB42AD">
        <w:rPr>
          <w:b/>
          <w:bCs/>
          <w:lang w:val="es-ES"/>
        </w:rPr>
        <w:t>450 millones USD</w:t>
      </w:r>
      <w:r>
        <w:rPr>
          <w:lang w:val="es-ES"/>
        </w:rPr>
        <w:t xml:space="preserve"> cada una, y se estudiará después de que termine la guerra. </w:t>
      </w:r>
    </w:p>
    <w:p w14:paraId="0FFC466D" w14:textId="77777777" w:rsidR="00531AE9" w:rsidRPr="00AB42AD" w:rsidRDefault="00531AE9" w:rsidP="00531AE9">
      <w:pPr>
        <w:pStyle w:val="Heading1"/>
        <w:rPr>
          <w:rFonts w:asciiTheme="minorHAnsi" w:hAnsiTheme="minorHAnsi" w:cstheme="minorHAnsi"/>
          <w:szCs w:val="24"/>
          <w:lang w:val="es-ES"/>
        </w:rPr>
      </w:pPr>
      <w:bookmarkStart w:id="4" w:name="_Toc1291141038"/>
      <w:r>
        <w:rPr>
          <w:lang w:val="es-ES"/>
        </w:rPr>
        <w:t>3</w:t>
      </w:r>
      <w:r>
        <w:rPr>
          <w:lang w:val="es-ES"/>
        </w:rPr>
        <w:tab/>
        <w:t>Mecanismos de coordinación para una aplicación efectiva</w:t>
      </w:r>
      <w:bookmarkEnd w:id="4"/>
    </w:p>
    <w:p w14:paraId="5C268ADA" w14:textId="77777777" w:rsidR="00531AE9" w:rsidRPr="00AB42AD" w:rsidRDefault="00531AE9" w:rsidP="00531AE9">
      <w:pPr>
        <w:rPr>
          <w:rFonts w:asciiTheme="minorHAnsi" w:hAnsiTheme="minorHAnsi" w:cstheme="minorBidi"/>
          <w:lang w:val="es-ES"/>
        </w:rPr>
      </w:pPr>
      <w:r>
        <w:rPr>
          <w:lang w:val="es-ES"/>
        </w:rPr>
        <w:t xml:space="preserve">A nivel de la UIT, un </w:t>
      </w:r>
      <w:r>
        <w:rPr>
          <w:b/>
          <w:bCs/>
          <w:lang w:val="es-ES"/>
        </w:rPr>
        <w:t>Grupo Especial sobre la Resolución 1408</w:t>
      </w:r>
      <w:r>
        <w:rPr>
          <w:lang w:val="es-ES"/>
        </w:rPr>
        <w:t>, presidido por el Vicesecretario General y atendido por la Oficina de la UIT para Europa, sigue proporcionando la plataforma para la respuesta intersectorial a todas las cuestiones relacionadas con la aplicación de esta Resolución.</w:t>
      </w:r>
    </w:p>
    <w:p w14:paraId="4DA9C36F" w14:textId="6433A2EE" w:rsidR="00531AE9" w:rsidRPr="00AB42AD" w:rsidRDefault="00531AE9" w:rsidP="00531AE9">
      <w:pPr>
        <w:rPr>
          <w:rFonts w:asciiTheme="minorHAnsi" w:hAnsiTheme="minorHAnsi" w:cstheme="minorHAnsi"/>
          <w:szCs w:val="24"/>
          <w:lang w:val="es-ES"/>
        </w:rPr>
      </w:pPr>
      <w:r>
        <w:rPr>
          <w:lang w:val="es-ES"/>
        </w:rPr>
        <w:t>A fin de garantizar un enfoque coordinado de las actividades de la UIT en respuesta a la Resolución 1408, se han puesto en marcha los siguientes mecanismos de coordinación:</w:t>
      </w:r>
    </w:p>
    <w:p w14:paraId="04BB44EE" w14:textId="77777777" w:rsidR="00531AE9" w:rsidRPr="00AB42AD" w:rsidRDefault="00531AE9" w:rsidP="00531AE9">
      <w:pPr>
        <w:pStyle w:val="enumlev1"/>
        <w:rPr>
          <w:rFonts w:cstheme="minorHAnsi"/>
          <w:szCs w:val="24"/>
          <w:lang w:val="es-ES"/>
        </w:rPr>
      </w:pPr>
      <w:r w:rsidRPr="00DC34CA">
        <w:rPr>
          <w:lang w:val="es-ES"/>
        </w:rPr>
        <w:t>•</w:t>
      </w:r>
      <w:r>
        <w:rPr>
          <w:lang w:val="es-ES"/>
        </w:rPr>
        <w:tab/>
        <w:t xml:space="preserve">Desde septiembre de 2023, el </w:t>
      </w:r>
      <w:r>
        <w:rPr>
          <w:b/>
          <w:bCs/>
          <w:lang w:val="es-ES"/>
        </w:rPr>
        <w:t>Ministerio de Transformación Digital de Ucrania</w:t>
      </w:r>
      <w:r>
        <w:rPr>
          <w:lang w:val="es-ES"/>
        </w:rPr>
        <w:t xml:space="preserve"> actúa como Estado Miembro administrativo de la UIT. La UIT lleva a cabo periódicamente llamadas de coordinación con el coordinador oficial. </w:t>
      </w:r>
    </w:p>
    <w:p w14:paraId="1F501C81" w14:textId="77777777" w:rsidR="00531AE9" w:rsidRPr="00AB42AD" w:rsidRDefault="00531AE9" w:rsidP="00531AE9">
      <w:pPr>
        <w:pStyle w:val="enumlev1"/>
        <w:rPr>
          <w:rFonts w:cstheme="minorHAnsi"/>
          <w:szCs w:val="24"/>
          <w:lang w:val="es-ES"/>
        </w:rPr>
      </w:pPr>
      <w:r w:rsidRPr="00DC34CA">
        <w:rPr>
          <w:lang w:val="es-ES"/>
        </w:rPr>
        <w:t>•</w:t>
      </w:r>
      <w:r>
        <w:rPr>
          <w:lang w:val="es-ES"/>
        </w:rPr>
        <w:tab/>
        <w:t xml:space="preserve">El Ministerio ha designado </w:t>
      </w:r>
      <w:r>
        <w:rPr>
          <w:b/>
          <w:bCs/>
          <w:lang w:val="es-ES"/>
        </w:rPr>
        <w:t>al Servicio Estatal de Protección Especial de Comunicación e Información (SSSICP)</w:t>
      </w:r>
      <w:r>
        <w:rPr>
          <w:lang w:val="es-ES"/>
        </w:rPr>
        <w:t xml:space="preserve"> para que siga ocupándose de las cuestiones relacionadas con la evaluación de la infraestructura de radiodifusión. Junto con el SSSCIP y </w:t>
      </w:r>
      <w:r>
        <w:rPr>
          <w:b/>
          <w:bCs/>
          <w:lang w:val="es-ES"/>
        </w:rPr>
        <w:t>el organismo de radiodifusión, radiocomunicaciones y televisión</w:t>
      </w:r>
      <w:r>
        <w:rPr>
          <w:lang w:val="es-ES"/>
        </w:rPr>
        <w:t xml:space="preserve">, la UIT formó el equipo encargado de la elaboración de la "Evaluación primaria de los costos de rehabilitación de las cinco estaciones de radiodifusión". </w:t>
      </w:r>
    </w:p>
    <w:p w14:paraId="5F62439F" w14:textId="77777777" w:rsidR="00531AE9" w:rsidRPr="00AB42AD" w:rsidRDefault="00531AE9" w:rsidP="00531AE9">
      <w:pPr>
        <w:pStyle w:val="enumlev1"/>
        <w:rPr>
          <w:rFonts w:cstheme="minorHAnsi"/>
          <w:szCs w:val="24"/>
          <w:lang w:val="es-ES"/>
        </w:rPr>
      </w:pPr>
      <w:r w:rsidRPr="00DC34CA">
        <w:rPr>
          <w:lang w:val="es-ES"/>
        </w:rPr>
        <w:t>•</w:t>
      </w:r>
      <w:r>
        <w:rPr>
          <w:lang w:val="es-ES"/>
        </w:rPr>
        <w:tab/>
        <w:t xml:space="preserve">También se lleva a cabo una coordinación periódica con la </w:t>
      </w:r>
      <w:r>
        <w:rPr>
          <w:b/>
          <w:bCs/>
          <w:lang w:val="es-ES"/>
        </w:rPr>
        <w:t>Comisión Nacional para la Reglamentación Estatal</w:t>
      </w:r>
      <w:r>
        <w:rPr>
          <w:lang w:val="es-ES"/>
        </w:rPr>
        <w:t xml:space="preserve"> de las Comunicaciones Electrónicas, el Espectro de Radiofrecuencias y la Prestación de Servicios Postales, a fin de determinar las áreas de posible asistencia en el campo del entorno propicio y la regulación.</w:t>
      </w:r>
    </w:p>
    <w:p w14:paraId="57C924E5" w14:textId="77777777" w:rsidR="00531AE9" w:rsidRPr="00AB42AD" w:rsidRDefault="00531AE9" w:rsidP="00531AE9">
      <w:pPr>
        <w:pStyle w:val="enumlev1"/>
        <w:rPr>
          <w:szCs w:val="24"/>
          <w:lang w:val="es-ES"/>
        </w:rPr>
      </w:pPr>
      <w:r w:rsidRPr="00DC34CA">
        <w:rPr>
          <w:lang w:val="es-ES"/>
        </w:rPr>
        <w:t>•</w:t>
      </w:r>
      <w:r>
        <w:rPr>
          <w:lang w:val="es-ES"/>
        </w:rPr>
        <w:tab/>
        <w:t xml:space="preserve">Como miembro del </w:t>
      </w:r>
      <w:r>
        <w:rPr>
          <w:b/>
          <w:bCs/>
          <w:lang w:val="es-ES"/>
        </w:rPr>
        <w:t>Equipo de las Naciones Unidas en el país</w:t>
      </w:r>
      <w:r>
        <w:rPr>
          <w:lang w:val="es-ES"/>
        </w:rPr>
        <w:t xml:space="preserve">, la UIT sigue coordinando todas sus actividades con el sistema de las Naciones Unidas. La UIT contribuye a la aplicación del Marco de transición de las Naciones Unidas para 2024 y contribuye actualmente al proceso de elaboración del próximo Marco de Cooperación al Desarrollo Sostenible de las Naciones Unidas para 2025-2029. En 2023-2024, la UIT contribuyó a los Subgrupos de Trabajo Interministeriales sobre ODS (ODS 9 y 17) que estaban realizando el examen del marco de indicadores. </w:t>
      </w:r>
    </w:p>
    <w:p w14:paraId="5A9941E0" w14:textId="77777777" w:rsidR="00531AE9" w:rsidRPr="00AB42AD" w:rsidRDefault="00531AE9" w:rsidP="00531AE9">
      <w:pPr>
        <w:pStyle w:val="enumlev1"/>
        <w:rPr>
          <w:rFonts w:cstheme="minorHAnsi"/>
          <w:szCs w:val="24"/>
          <w:lang w:val="es-ES"/>
        </w:rPr>
      </w:pPr>
      <w:r w:rsidRPr="00DC34CA">
        <w:rPr>
          <w:lang w:val="es-ES"/>
        </w:rPr>
        <w:t>•</w:t>
      </w:r>
      <w:r>
        <w:rPr>
          <w:lang w:val="es-ES"/>
        </w:rPr>
        <w:tab/>
        <w:t xml:space="preserve">La UIT coordina periódicamente con la </w:t>
      </w:r>
      <w:r>
        <w:rPr>
          <w:b/>
          <w:bCs/>
          <w:lang w:val="es-ES"/>
        </w:rPr>
        <w:t>Comisión Europea</w:t>
      </w:r>
      <w:r>
        <w:rPr>
          <w:lang w:val="es-ES"/>
        </w:rPr>
        <w:t xml:space="preserve"> sus actividades en curso y planificadas en el ámbito de las TIC y la reconstrucción de la infraestructura de radiodifusión, teniendo en cuenta también los avances logrados por Ucrania hacia la integración europea. </w:t>
      </w:r>
    </w:p>
    <w:p w14:paraId="448122AA" w14:textId="77777777" w:rsidR="00531AE9" w:rsidRPr="00AB42AD" w:rsidRDefault="00531AE9" w:rsidP="00531AE9">
      <w:pPr>
        <w:pStyle w:val="enumlev1"/>
        <w:rPr>
          <w:rFonts w:cstheme="minorHAnsi"/>
          <w:sz w:val="28"/>
          <w:szCs w:val="28"/>
          <w:lang w:val="es-ES"/>
        </w:rPr>
      </w:pPr>
      <w:r w:rsidRPr="00DC34CA">
        <w:rPr>
          <w:lang w:val="es-ES"/>
        </w:rPr>
        <w:t>•</w:t>
      </w:r>
      <w:r>
        <w:rPr>
          <w:lang w:val="es-ES"/>
        </w:rPr>
        <w:tab/>
        <w:t xml:space="preserve">La UIT ha establecido la coordinación con el </w:t>
      </w:r>
      <w:r>
        <w:rPr>
          <w:b/>
          <w:bCs/>
          <w:lang w:val="es-ES"/>
        </w:rPr>
        <w:t>Banco Europeo de Inversiones</w:t>
      </w:r>
      <w:r>
        <w:rPr>
          <w:lang w:val="es-ES"/>
        </w:rPr>
        <w:t xml:space="preserve">, el equipo de los registros de daños y perjuicios del </w:t>
      </w:r>
      <w:r>
        <w:rPr>
          <w:b/>
          <w:bCs/>
          <w:lang w:val="es-ES"/>
        </w:rPr>
        <w:t>Consejo de Europa</w:t>
      </w:r>
      <w:r>
        <w:rPr>
          <w:lang w:val="es-ES"/>
        </w:rPr>
        <w:t xml:space="preserve"> para Ucrania y la </w:t>
      </w:r>
      <w:r>
        <w:rPr>
          <w:b/>
          <w:bCs/>
          <w:lang w:val="es-ES"/>
        </w:rPr>
        <w:t>Unión Europea de Radiodifusión</w:t>
      </w:r>
      <w:r>
        <w:rPr>
          <w:lang w:val="es-ES"/>
        </w:rPr>
        <w:t xml:space="preserve"> para armonizar las actividades relacionadas con el apoyo a Ucrania.</w:t>
      </w:r>
    </w:p>
    <w:p w14:paraId="291BAA01" w14:textId="77777777" w:rsidR="00531AE9" w:rsidRPr="00AB42AD" w:rsidRDefault="00531AE9" w:rsidP="00531AE9">
      <w:pPr>
        <w:pStyle w:val="enumlev1"/>
        <w:rPr>
          <w:rFonts w:cstheme="minorHAnsi"/>
          <w:szCs w:val="24"/>
          <w:lang w:val="es-ES"/>
        </w:rPr>
      </w:pPr>
      <w:r w:rsidRPr="00DC34CA">
        <w:rPr>
          <w:lang w:val="es-ES"/>
        </w:rPr>
        <w:t>•</w:t>
      </w:r>
      <w:r>
        <w:rPr>
          <w:lang w:val="es-ES"/>
        </w:rPr>
        <w:tab/>
        <w:t>La UIT sigue colaborando con los miembros de las Instituciones Académicas de Ucrania en actividades relacionadas con las estaciones de radiodifusión. En diciembre de 2023, la UIT contribuyó a la conferencia sobre "</w:t>
      </w:r>
      <w:r>
        <w:rPr>
          <w:b/>
          <w:bCs/>
          <w:lang w:val="es-ES"/>
        </w:rPr>
        <w:t>Tecnologías avanzadas de transformación digital relacionadas con su aplicación en el mundo y en Ucrania</w:t>
      </w:r>
      <w:r>
        <w:rPr>
          <w:lang w:val="es-ES"/>
        </w:rPr>
        <w:t>", organizada por la Universidad Estatal de Tecnologías de la Información y la Comunicación de Ucrania, como contribución a las iniciativas regionales de la UIT para Europa.</w:t>
      </w:r>
    </w:p>
    <w:p w14:paraId="25559E77" w14:textId="1FD5EB6D" w:rsidR="00531AE9" w:rsidRPr="00AB42AD" w:rsidRDefault="00531AE9" w:rsidP="00531AE9">
      <w:pPr>
        <w:pStyle w:val="Heading1"/>
        <w:rPr>
          <w:rFonts w:asciiTheme="minorHAnsi" w:hAnsiTheme="minorHAnsi" w:cstheme="minorBidi"/>
          <w:lang w:val="es-ES"/>
        </w:rPr>
      </w:pPr>
      <w:bookmarkStart w:id="5" w:name="_Toc740993895"/>
      <w:r>
        <w:rPr>
          <w:lang w:val="es-ES"/>
        </w:rPr>
        <w:lastRenderedPageBreak/>
        <w:t>4</w:t>
      </w:r>
      <w:r>
        <w:rPr>
          <w:lang w:val="es-ES"/>
        </w:rPr>
        <w:tab/>
        <w:t>Asistencia técnica</w:t>
      </w:r>
      <w:bookmarkEnd w:id="5"/>
    </w:p>
    <w:p w14:paraId="60ACF440" w14:textId="77777777" w:rsidR="00531AE9" w:rsidRPr="00837591" w:rsidRDefault="00531AE9" w:rsidP="00531AE9">
      <w:pPr>
        <w:rPr>
          <w:rFonts w:asciiTheme="minorHAnsi" w:eastAsiaTheme="minorEastAsia" w:hAnsiTheme="minorHAnsi" w:cstheme="minorHAnsi"/>
          <w:szCs w:val="24"/>
        </w:rPr>
      </w:pPr>
      <w:r>
        <w:rPr>
          <w:lang w:val="es-ES"/>
        </w:rPr>
        <w:t xml:space="preserve">Sobre la base de la evaluación de las necesidades y la coordinación con la Administración, desde la última reunión del Consejo de la UIT se han llevado a cabo una serie de actividades. Esto incluye lo siguiente: </w:t>
      </w:r>
    </w:p>
    <w:p w14:paraId="66231DDB" w14:textId="77777777" w:rsidR="00531AE9" w:rsidRPr="00AB42AD" w:rsidRDefault="00531AE9" w:rsidP="00531AE9">
      <w:pPr>
        <w:pStyle w:val="enumlev1"/>
        <w:rPr>
          <w:szCs w:val="24"/>
          <w:lang w:val="es-ES"/>
        </w:rPr>
      </w:pPr>
      <w:r w:rsidRPr="00DC34CA">
        <w:rPr>
          <w:lang w:val="es-ES"/>
        </w:rPr>
        <w:t>•</w:t>
      </w:r>
      <w:r>
        <w:rPr>
          <w:lang w:val="es-ES"/>
        </w:rPr>
        <w:tab/>
        <w:t xml:space="preserve">Desde septiembre de 2023, la UIT se ha esforzado por prestar asistencia técnica para la reconstrucción de la </w:t>
      </w:r>
      <w:r>
        <w:rPr>
          <w:b/>
          <w:bCs/>
          <w:lang w:val="es-ES"/>
        </w:rPr>
        <w:t>infraestructura de radiodifusión en Ucrania</w:t>
      </w:r>
      <w:r>
        <w:rPr>
          <w:lang w:val="es-ES"/>
        </w:rPr>
        <w:t xml:space="preserve">. </w:t>
      </w:r>
    </w:p>
    <w:p w14:paraId="6C3D35E5" w14:textId="77777777" w:rsidR="00531AE9" w:rsidRPr="00AB42AD" w:rsidRDefault="00531AE9" w:rsidP="00531AE9">
      <w:pPr>
        <w:pStyle w:val="enumlev1"/>
        <w:rPr>
          <w:szCs w:val="24"/>
          <w:lang w:val="es-ES"/>
        </w:rPr>
      </w:pPr>
      <w:r w:rsidRPr="00DC34CA">
        <w:rPr>
          <w:lang w:val="es-ES"/>
        </w:rPr>
        <w:t>•</w:t>
      </w:r>
      <w:r>
        <w:rPr>
          <w:lang w:val="es-ES"/>
        </w:rPr>
        <w:tab/>
        <w:t>De un total de 40 estaciones de radiodifusión afectadas en diferente medida por la guerra, 21 han sufrido daños importantes. El número de objetos ocupados (sin la República Autónoma de Crimea) es de 63.</w:t>
      </w:r>
    </w:p>
    <w:p w14:paraId="03497C25" w14:textId="77777777" w:rsidR="00531AE9" w:rsidRPr="00AB42AD" w:rsidRDefault="00531AE9" w:rsidP="00531AE9">
      <w:pPr>
        <w:pStyle w:val="enumlev1"/>
        <w:rPr>
          <w:szCs w:val="24"/>
          <w:lang w:val="es-ES"/>
        </w:rPr>
      </w:pPr>
      <w:r w:rsidRPr="00DC34CA">
        <w:rPr>
          <w:lang w:val="es-ES"/>
        </w:rPr>
        <w:t>•</w:t>
      </w:r>
      <w:r>
        <w:rPr>
          <w:lang w:val="es-ES"/>
        </w:rPr>
        <w:tab/>
        <w:t xml:space="preserve">La UIT ha elaborado una serie de propuestas iniciales de proyectos para la restauración o reconstrucción de las </w:t>
      </w:r>
      <w:r>
        <w:rPr>
          <w:b/>
          <w:bCs/>
          <w:lang w:val="es-ES"/>
        </w:rPr>
        <w:t>cinco estaciones de radiodifusión más críticas</w:t>
      </w:r>
      <w:r>
        <w:rPr>
          <w:lang w:val="es-ES"/>
        </w:rPr>
        <w:t xml:space="preserve"> identificadas por la Administración de Ucrania. Estas propuestas de proyectos se basan en el informe técnico elaborado "Evaluación primaria de los costos de rehabilitación de las cinco estaciones de radiodifusión identificadas: </w:t>
      </w:r>
      <w:proofErr w:type="spellStart"/>
      <w:r>
        <w:rPr>
          <w:lang w:val="es-ES"/>
        </w:rPr>
        <w:t>Kharkiv</w:t>
      </w:r>
      <w:proofErr w:type="spellEnd"/>
      <w:r>
        <w:rPr>
          <w:lang w:val="es-ES"/>
        </w:rPr>
        <w:t xml:space="preserve">, </w:t>
      </w:r>
      <w:proofErr w:type="spellStart"/>
      <w:r>
        <w:rPr>
          <w:lang w:val="es-ES"/>
        </w:rPr>
        <w:t>Bilopyllya</w:t>
      </w:r>
      <w:proofErr w:type="spellEnd"/>
      <w:r>
        <w:rPr>
          <w:lang w:val="es-ES"/>
        </w:rPr>
        <w:t xml:space="preserve">, </w:t>
      </w:r>
      <w:proofErr w:type="spellStart"/>
      <w:r>
        <w:rPr>
          <w:lang w:val="es-ES"/>
        </w:rPr>
        <w:t>Vinnytsia</w:t>
      </w:r>
      <w:proofErr w:type="spellEnd"/>
      <w:r>
        <w:rPr>
          <w:lang w:val="es-ES"/>
        </w:rPr>
        <w:t xml:space="preserve">, </w:t>
      </w:r>
      <w:proofErr w:type="spellStart"/>
      <w:r>
        <w:rPr>
          <w:lang w:val="es-ES"/>
        </w:rPr>
        <w:t>Trostyanets</w:t>
      </w:r>
      <w:proofErr w:type="spellEnd"/>
      <w:r>
        <w:rPr>
          <w:lang w:val="es-ES"/>
        </w:rPr>
        <w:t xml:space="preserve"> y </w:t>
      </w:r>
      <w:proofErr w:type="spellStart"/>
      <w:r>
        <w:rPr>
          <w:lang w:val="es-ES"/>
        </w:rPr>
        <w:t>Velyka</w:t>
      </w:r>
      <w:proofErr w:type="spellEnd"/>
      <w:r>
        <w:rPr>
          <w:lang w:val="es-ES"/>
        </w:rPr>
        <w:t xml:space="preserve"> </w:t>
      </w:r>
      <w:proofErr w:type="spellStart"/>
      <w:r>
        <w:rPr>
          <w:lang w:val="es-ES"/>
        </w:rPr>
        <w:t>Oleksandrivka</w:t>
      </w:r>
      <w:proofErr w:type="spellEnd"/>
      <w:r>
        <w:rPr>
          <w:lang w:val="es-ES"/>
        </w:rPr>
        <w:t>".</w:t>
      </w:r>
    </w:p>
    <w:p w14:paraId="352C44ED" w14:textId="77777777" w:rsidR="00531AE9" w:rsidRPr="00AB42AD" w:rsidRDefault="00531AE9" w:rsidP="00531AE9">
      <w:pPr>
        <w:pStyle w:val="enumlev1"/>
        <w:rPr>
          <w:szCs w:val="24"/>
          <w:lang w:val="es-ES"/>
        </w:rPr>
      </w:pPr>
      <w:r w:rsidRPr="00DC34CA">
        <w:rPr>
          <w:lang w:val="es-ES"/>
        </w:rPr>
        <w:t>•</w:t>
      </w:r>
      <w:r>
        <w:rPr>
          <w:lang w:val="es-ES"/>
        </w:rPr>
        <w:tab/>
        <w:t xml:space="preserve">Según la primera fase de la evaluación, los daños causados a las estaciones de radiodifusión afectan a </w:t>
      </w:r>
      <w:r>
        <w:rPr>
          <w:b/>
          <w:bCs/>
          <w:lang w:val="es-ES"/>
        </w:rPr>
        <w:t>5,1 millones de personas, lo que limita su pleno acceso a la información</w:t>
      </w:r>
      <w:r>
        <w:rPr>
          <w:lang w:val="es-ES"/>
        </w:rPr>
        <w:t xml:space="preserve">. </w:t>
      </w:r>
    </w:p>
    <w:p w14:paraId="7E5CF563" w14:textId="77777777" w:rsidR="00531AE9" w:rsidRPr="00AB42AD" w:rsidRDefault="00531AE9" w:rsidP="00531AE9">
      <w:pPr>
        <w:pStyle w:val="enumlev1"/>
        <w:rPr>
          <w:szCs w:val="24"/>
          <w:lang w:val="es-ES"/>
        </w:rPr>
      </w:pPr>
      <w:r w:rsidRPr="00DC34CA">
        <w:rPr>
          <w:lang w:val="es-ES"/>
        </w:rPr>
        <w:t>•</w:t>
      </w:r>
      <w:r>
        <w:rPr>
          <w:lang w:val="es-ES"/>
        </w:rPr>
        <w:tab/>
        <w:t xml:space="preserve">Para hacer frente al reto financiero que supone la rehabilitación de las cinco estaciones de radiodifusión a plena capacidad operativa, se invita a la comunidad internacional a considerar la posibilidad de aportar al menos </w:t>
      </w:r>
      <w:r>
        <w:rPr>
          <w:b/>
          <w:bCs/>
          <w:lang w:val="es-ES"/>
        </w:rPr>
        <w:t>3,7 millones USD</w:t>
      </w:r>
      <w:r>
        <w:rPr>
          <w:lang w:val="es-ES"/>
        </w:rPr>
        <w:t xml:space="preserve">. </w:t>
      </w:r>
    </w:p>
    <w:p w14:paraId="4F3EDE23" w14:textId="07F320BB" w:rsidR="00531AE9" w:rsidRPr="00AB42AD" w:rsidRDefault="00531AE9" w:rsidP="00531AE9">
      <w:pPr>
        <w:pStyle w:val="enumlev1"/>
        <w:rPr>
          <w:szCs w:val="24"/>
          <w:lang w:val="es-ES"/>
        </w:rPr>
      </w:pPr>
      <w:r w:rsidRPr="00DC34CA">
        <w:rPr>
          <w:lang w:val="es-ES"/>
        </w:rPr>
        <w:t>•</w:t>
      </w:r>
      <w:r>
        <w:rPr>
          <w:lang w:val="es-ES"/>
        </w:rPr>
        <w:tab/>
        <w:t>Las estimaciones asociadas con las actividades de reconstrucción a largo plazo, alineadas con un enfoque de reconstrucción mejor, oscilan entre 5,5 millones USD y 450</w:t>
      </w:r>
      <w:r w:rsidR="00F75907">
        <w:rPr>
          <w:lang w:val="es-ES"/>
        </w:rPr>
        <w:t> </w:t>
      </w:r>
      <w:r>
        <w:rPr>
          <w:lang w:val="es-ES"/>
        </w:rPr>
        <w:t>millones por estación, dependiendo del diseño conceptual de cada estación que se realice.</w:t>
      </w:r>
    </w:p>
    <w:p w14:paraId="39DCB244" w14:textId="77777777" w:rsidR="00531AE9" w:rsidRPr="00AB42AD" w:rsidRDefault="00531AE9" w:rsidP="00531AE9">
      <w:pPr>
        <w:pStyle w:val="enumlev1"/>
        <w:rPr>
          <w:szCs w:val="24"/>
          <w:lang w:val="es-ES"/>
        </w:rPr>
      </w:pPr>
      <w:r w:rsidRPr="00DC34CA">
        <w:rPr>
          <w:lang w:val="es-ES"/>
        </w:rPr>
        <w:t>•</w:t>
      </w:r>
      <w:r>
        <w:rPr>
          <w:lang w:val="es-ES"/>
        </w:rPr>
        <w:tab/>
        <w:t xml:space="preserve">Desde febrero de 2024, la UIT ha pasado a la segunda fase de evaluación, prosiguiendo la evaluación de las siguientes 5 estaciones críticas identificadas por la Administración de Ucrania, a saber, </w:t>
      </w:r>
      <w:proofErr w:type="spellStart"/>
      <w:r>
        <w:rPr>
          <w:lang w:val="es-ES"/>
        </w:rPr>
        <w:t>Kalynivka</w:t>
      </w:r>
      <w:proofErr w:type="spellEnd"/>
      <w:r>
        <w:rPr>
          <w:lang w:val="es-ES"/>
        </w:rPr>
        <w:t xml:space="preserve">, </w:t>
      </w:r>
      <w:proofErr w:type="spellStart"/>
      <w:r>
        <w:rPr>
          <w:lang w:val="es-ES"/>
        </w:rPr>
        <w:t>Vynarivka</w:t>
      </w:r>
      <w:proofErr w:type="spellEnd"/>
      <w:r>
        <w:rPr>
          <w:lang w:val="es-ES"/>
        </w:rPr>
        <w:t xml:space="preserve">, </w:t>
      </w:r>
      <w:proofErr w:type="spellStart"/>
      <w:r>
        <w:rPr>
          <w:lang w:val="es-ES"/>
        </w:rPr>
        <w:t>Luch</w:t>
      </w:r>
      <w:proofErr w:type="spellEnd"/>
      <w:r>
        <w:rPr>
          <w:lang w:val="es-ES"/>
        </w:rPr>
        <w:t xml:space="preserve">, </w:t>
      </w:r>
      <w:proofErr w:type="spellStart"/>
      <w:r>
        <w:rPr>
          <w:lang w:val="es-ES"/>
        </w:rPr>
        <w:t>Blystova</w:t>
      </w:r>
      <w:proofErr w:type="spellEnd"/>
      <w:r>
        <w:rPr>
          <w:lang w:val="es-ES"/>
        </w:rPr>
        <w:t xml:space="preserve"> y </w:t>
      </w:r>
      <w:proofErr w:type="spellStart"/>
      <w:r>
        <w:rPr>
          <w:lang w:val="es-ES"/>
        </w:rPr>
        <w:t>Antopil</w:t>
      </w:r>
      <w:proofErr w:type="spellEnd"/>
      <w:r>
        <w:rPr>
          <w:lang w:val="es-ES"/>
        </w:rPr>
        <w:t xml:space="preserve">. </w:t>
      </w:r>
    </w:p>
    <w:p w14:paraId="62AFB477" w14:textId="77777777" w:rsidR="00531AE9" w:rsidRPr="00AB42AD" w:rsidRDefault="00531AE9" w:rsidP="00531AE9">
      <w:pPr>
        <w:rPr>
          <w:rFonts w:cstheme="minorBidi"/>
          <w:lang w:val="es-ES"/>
        </w:rPr>
      </w:pPr>
      <w:r>
        <w:rPr>
          <w:lang w:val="es-ES"/>
        </w:rPr>
        <w:t xml:space="preserve">En coordinación con la </w:t>
      </w:r>
      <w:r>
        <w:rPr>
          <w:b/>
          <w:bCs/>
          <w:lang w:val="es-ES"/>
        </w:rPr>
        <w:t xml:space="preserve">Comisión Nacional para la Reglamentación Estatal </w:t>
      </w:r>
      <w:r>
        <w:rPr>
          <w:lang w:val="es-ES"/>
        </w:rPr>
        <w:t xml:space="preserve">de las Comunicaciones Electrónicas, el Espectro de Radiofrecuencias y la Prestación de Servicios Postales y el Ministerio de Transformación Digital de Ucrania, y a petición de ésta, la UIT ha propuesto actividades de capacitación para dotar a los funcionarios ucranianos que trabajan en el campo de las telecomunicaciones de las aptitudes y los conocimientos necesarios. Aprovechando la experiencia de las tres Oficinas de la UIT, </w:t>
      </w:r>
      <w:r>
        <w:rPr>
          <w:b/>
          <w:bCs/>
          <w:lang w:val="es-ES"/>
        </w:rPr>
        <w:t xml:space="preserve">la formación ejecutiva sobre la implementación de la quinta generación (5G) </w:t>
      </w:r>
      <w:r>
        <w:rPr>
          <w:lang w:val="es-ES"/>
        </w:rPr>
        <w:t xml:space="preserve">para funcionarios ucranianos se puso en marcha en la primavera de 2024. Además, en respuesta al interés de la Administración, se ofreció una </w:t>
      </w:r>
      <w:r>
        <w:rPr>
          <w:b/>
          <w:bCs/>
          <w:lang w:val="es-ES"/>
        </w:rPr>
        <w:t>serie de cursos de formación</w:t>
      </w:r>
      <w:r>
        <w:rPr>
          <w:lang w:val="es-ES"/>
        </w:rPr>
        <w:t xml:space="preserve"> a través de la Academia de la UIT. </w:t>
      </w:r>
    </w:p>
    <w:p w14:paraId="09AB2A4D" w14:textId="50C553AF" w:rsidR="00531AE9" w:rsidRPr="00AB42AD" w:rsidRDefault="00531AE9" w:rsidP="00531AE9">
      <w:pPr>
        <w:rPr>
          <w:rFonts w:cstheme="minorBidi"/>
          <w:lang w:val="es-ES"/>
        </w:rPr>
      </w:pPr>
      <w:r>
        <w:rPr>
          <w:lang w:val="es-ES"/>
        </w:rPr>
        <w:t xml:space="preserve">En el ámbito de la ciberseguridad, la UIT ofrece diversas oportunidades para reforzar las capacidades humanas de los expertos ucranianos, como formaciones en línea o el </w:t>
      </w:r>
      <w:proofErr w:type="spellStart"/>
      <w:r>
        <w:rPr>
          <w:lang w:val="es-ES"/>
        </w:rPr>
        <w:t>cibersimulacro</w:t>
      </w:r>
      <w:proofErr w:type="spellEnd"/>
      <w:r>
        <w:rPr>
          <w:lang w:val="es-ES"/>
        </w:rPr>
        <w:t xml:space="preserve"> de la UIT para Europa, Asia y el Pacífico, celebrado del 28 de noviembre al 1</w:t>
      </w:r>
      <w:r w:rsidR="00F75907">
        <w:rPr>
          <w:lang w:val="es-ES"/>
        </w:rPr>
        <w:t> </w:t>
      </w:r>
      <w:r>
        <w:rPr>
          <w:lang w:val="es-ES"/>
        </w:rPr>
        <w:t xml:space="preserve">de diciembre de 2023 en Chipre, o el </w:t>
      </w:r>
      <w:proofErr w:type="spellStart"/>
      <w:r>
        <w:rPr>
          <w:lang w:val="es-ES"/>
        </w:rPr>
        <w:t>cibersimulacro</w:t>
      </w:r>
      <w:proofErr w:type="spellEnd"/>
      <w:r>
        <w:rPr>
          <w:lang w:val="es-ES"/>
        </w:rPr>
        <w:t xml:space="preserve"> mundial, 23-24 de abril de 2024, en los Emiratos Árabes Unidos.</w:t>
      </w:r>
    </w:p>
    <w:p w14:paraId="06828320" w14:textId="77777777" w:rsidR="00531AE9" w:rsidRPr="00AB42AD" w:rsidRDefault="00531AE9" w:rsidP="00531AE9">
      <w:pPr>
        <w:rPr>
          <w:rStyle w:val="ui-provider"/>
          <w:lang w:val="es-ES"/>
        </w:rPr>
      </w:pPr>
      <w:r>
        <w:rPr>
          <w:lang w:val="es-ES"/>
        </w:rPr>
        <w:lastRenderedPageBreak/>
        <w:t xml:space="preserve">La UIT mantiene su compromiso de fomentar la digitalización en Ucrania en cooperación con asociados en el marco de la iniciativa </w:t>
      </w:r>
      <w:proofErr w:type="spellStart"/>
      <w:r>
        <w:rPr>
          <w:lang w:val="es-ES"/>
        </w:rPr>
        <w:t>GovStack</w:t>
      </w:r>
      <w:proofErr w:type="spellEnd"/>
      <w:r>
        <w:rPr>
          <w:lang w:val="es-ES"/>
        </w:rPr>
        <w:t xml:space="preserve">. </w:t>
      </w:r>
      <w:r>
        <w:rPr>
          <w:b/>
          <w:bCs/>
          <w:lang w:val="es-ES"/>
        </w:rPr>
        <w:t>El compromiso actual se centra en la Plataforma Ucraniana de Registros.</w:t>
      </w:r>
      <w:r>
        <w:rPr>
          <w:lang w:val="es-ES"/>
        </w:rPr>
        <w:t xml:space="preserve"> En colaboración con la UIT, GIZ llevó a cabo la licitación sobre el desarrollo del prototipo </w:t>
      </w:r>
      <w:proofErr w:type="spellStart"/>
      <w:r>
        <w:rPr>
          <w:b/>
          <w:bCs/>
          <w:lang w:val="es-ES"/>
        </w:rPr>
        <w:t>Diia.Engine</w:t>
      </w:r>
      <w:proofErr w:type="spellEnd"/>
      <w:r>
        <w:rPr>
          <w:lang w:val="es-ES"/>
        </w:rPr>
        <w:t xml:space="preserve"> y la etapa actual de la licitación es la selección de las propuestas de licitación. </w:t>
      </w:r>
    </w:p>
    <w:p w14:paraId="57ED0A1C" w14:textId="77777777" w:rsidR="00531AE9" w:rsidRPr="00AB42AD" w:rsidRDefault="00531AE9" w:rsidP="00531AE9">
      <w:pPr>
        <w:pStyle w:val="Heading1"/>
        <w:rPr>
          <w:rFonts w:asciiTheme="minorHAnsi" w:hAnsiTheme="minorHAnsi" w:cstheme="minorBidi"/>
          <w:lang w:val="es-ES"/>
        </w:rPr>
      </w:pPr>
      <w:bookmarkStart w:id="6" w:name="_Toc210312260"/>
      <w:r>
        <w:rPr>
          <w:lang w:val="es-ES"/>
        </w:rPr>
        <w:t>5</w:t>
      </w:r>
      <w:r>
        <w:rPr>
          <w:lang w:val="es-ES"/>
        </w:rPr>
        <w:tab/>
        <w:t>Movilización de recursos</w:t>
      </w:r>
      <w:bookmarkEnd w:id="6"/>
    </w:p>
    <w:p w14:paraId="3BA9C9CF" w14:textId="77777777" w:rsidR="00531AE9" w:rsidRPr="00AB42AD" w:rsidRDefault="00531AE9" w:rsidP="00531AE9">
      <w:pPr>
        <w:rPr>
          <w:rFonts w:asciiTheme="minorHAnsi" w:hAnsiTheme="minorHAnsi" w:cstheme="minorBidi"/>
          <w:lang w:val="es-ES"/>
        </w:rPr>
      </w:pPr>
      <w:r>
        <w:rPr>
          <w:lang w:val="es-ES"/>
        </w:rPr>
        <w:t xml:space="preserve">Con el fin de facilitar la asistencia técnica al país, la UIT sigue alentando a los Estados Miembros y a los asociados a comprometerse a comprometerse a aportar compromisos y recursos financieros adaptados a las necesidades de Ucrania con un número de acciones estratégicas: </w:t>
      </w:r>
    </w:p>
    <w:p w14:paraId="7BAFEAC7" w14:textId="4AE2CB5A" w:rsidR="00531AE9" w:rsidRPr="00AB42AD" w:rsidRDefault="00531AE9" w:rsidP="00531AE9">
      <w:pPr>
        <w:pStyle w:val="enumlev1"/>
        <w:rPr>
          <w:rFonts w:eastAsia="SimSun"/>
          <w:szCs w:val="24"/>
          <w:lang w:val="es-ES"/>
        </w:rPr>
      </w:pPr>
      <w:r w:rsidRPr="00DC34CA">
        <w:rPr>
          <w:lang w:val="es-ES"/>
        </w:rPr>
        <w:t>•</w:t>
      </w:r>
      <w:r>
        <w:rPr>
          <w:lang w:val="es-ES"/>
        </w:rPr>
        <w:tab/>
        <w:t>La UIT sigue aplicando la metodología Partner2Connect y el conjunto de promesas de contribuciones destinadas a apoyar a Ucrania. Durante la reunión de 2023 del Consejo, la UIT contribuyó al desayuno de donantes organizado por la República de Polonia. Se había previsto celebrar sesiones especiales durante la reunión de la UIT de la Conferencia Europea de Administraciones de Correos y Telecomunicaciones (CEPT) (7</w:t>
      </w:r>
      <w:r w:rsidR="00F75907">
        <w:rPr>
          <w:lang w:val="es-ES"/>
        </w:rPr>
        <w:noBreakHyphen/>
      </w:r>
      <w:r>
        <w:rPr>
          <w:lang w:val="es-ES"/>
        </w:rPr>
        <w:t>9 de mayo de 2024, Gdansk) y la Conferencia de Recuperación de Ucrania (11-12 de junio de 2024, Berlín).</w:t>
      </w:r>
    </w:p>
    <w:p w14:paraId="26CED9AB" w14:textId="0F0AA790" w:rsidR="00531AE9" w:rsidRPr="00DC34CA" w:rsidRDefault="00531AE9" w:rsidP="00531AE9">
      <w:pPr>
        <w:pStyle w:val="enumlev1"/>
        <w:rPr>
          <w:rFonts w:eastAsia="SimSun" w:cstheme="minorHAnsi"/>
          <w:szCs w:val="24"/>
          <w:lang w:val="es-ES"/>
        </w:rPr>
      </w:pPr>
      <w:r w:rsidRPr="00DC34CA">
        <w:rPr>
          <w:lang w:val="es-ES"/>
        </w:rPr>
        <w:t>•</w:t>
      </w:r>
      <w:r>
        <w:rPr>
          <w:lang w:val="es-ES"/>
        </w:rPr>
        <w:tab/>
        <w:t>A partir de 2024, la dotación global de compromisos recaudados asciende a más de 740</w:t>
      </w:r>
      <w:r w:rsidR="00F75907">
        <w:rPr>
          <w:lang w:val="es-ES"/>
        </w:rPr>
        <w:t> </w:t>
      </w:r>
      <w:r>
        <w:rPr>
          <w:lang w:val="es-ES"/>
        </w:rPr>
        <w:t xml:space="preserve">millones USD. La lista de promesas está disponible </w:t>
      </w:r>
      <w:hyperlink r:id="rId11" w:history="1">
        <w:r w:rsidRPr="00AB42AD">
          <w:rPr>
            <w:rStyle w:val="Hyperlink"/>
            <w:lang w:val="es-ES"/>
          </w:rPr>
          <w:t>aquí</w:t>
        </w:r>
      </w:hyperlink>
      <w:r>
        <w:rPr>
          <w:lang w:val="es-ES"/>
        </w:rPr>
        <w:t>.</w:t>
      </w:r>
    </w:p>
    <w:p w14:paraId="688134E2" w14:textId="3CD0A92D" w:rsidR="00531AE9" w:rsidRPr="00AB42AD" w:rsidRDefault="00531AE9" w:rsidP="00531AE9">
      <w:pPr>
        <w:pStyle w:val="enumlev1"/>
        <w:rPr>
          <w:szCs w:val="24"/>
          <w:lang w:val="es-ES"/>
        </w:rPr>
      </w:pPr>
      <w:r w:rsidRPr="00DC34CA">
        <w:rPr>
          <w:lang w:val="es-ES"/>
        </w:rPr>
        <w:t>•</w:t>
      </w:r>
      <w:r>
        <w:rPr>
          <w:lang w:val="es-ES"/>
        </w:rPr>
        <w:tab/>
        <w:t>La UIT está llevando a cabo una mayor movilización de las contribuciones al Fondo Fiduciario Especial dedicado a la aplicación de la Resolución 1408. Por el momento, el Fondo se benefició de las contribuciones de Japón (100 000 CHF) y la República Checa (23</w:t>
      </w:r>
      <w:r w:rsidR="00F75907">
        <w:rPr>
          <w:lang w:val="es-ES"/>
        </w:rPr>
        <w:t> </w:t>
      </w:r>
      <w:r>
        <w:rPr>
          <w:lang w:val="es-ES"/>
        </w:rPr>
        <w:t>000</w:t>
      </w:r>
      <w:r w:rsidR="00F75907">
        <w:rPr>
          <w:lang w:val="es-ES"/>
        </w:rPr>
        <w:t xml:space="preserve"> </w:t>
      </w:r>
      <w:r>
        <w:rPr>
          <w:lang w:val="es-ES"/>
        </w:rPr>
        <w:t>CHF).</w:t>
      </w:r>
    </w:p>
    <w:p w14:paraId="3FD6B20B" w14:textId="77777777" w:rsidR="00531AE9" w:rsidRPr="00AB42AD" w:rsidRDefault="00531AE9" w:rsidP="00531AE9">
      <w:pPr>
        <w:pStyle w:val="enumlev1"/>
        <w:rPr>
          <w:rFonts w:eastAsia="SimSun"/>
          <w:szCs w:val="24"/>
          <w:lang w:val="es-ES"/>
        </w:rPr>
      </w:pPr>
      <w:r w:rsidRPr="00DC34CA">
        <w:rPr>
          <w:lang w:val="es-ES"/>
        </w:rPr>
        <w:t>•</w:t>
      </w:r>
      <w:r>
        <w:rPr>
          <w:lang w:val="es-ES"/>
        </w:rPr>
        <w:tab/>
        <w:t xml:space="preserve">La UIT ha atribuido anualmente 20 000 CHF del presupuesto operativo para poder continuar los trabajos de implementación. </w:t>
      </w:r>
    </w:p>
    <w:p w14:paraId="2A793813" w14:textId="77777777" w:rsidR="00531AE9" w:rsidRPr="00AB42AD" w:rsidRDefault="00531AE9" w:rsidP="00531AE9">
      <w:pPr>
        <w:pStyle w:val="enumlev1"/>
        <w:rPr>
          <w:rFonts w:cstheme="minorHAnsi"/>
          <w:szCs w:val="24"/>
          <w:lang w:val="es-ES"/>
        </w:rPr>
      </w:pPr>
      <w:r w:rsidRPr="00DC34CA">
        <w:rPr>
          <w:lang w:val="es-ES"/>
        </w:rPr>
        <w:t>•</w:t>
      </w:r>
      <w:r>
        <w:rPr>
          <w:lang w:val="es-ES"/>
        </w:rPr>
        <w:tab/>
        <w:t xml:space="preserve">La UIT continúa las negociaciones bilaterales periódicas con los Estados Miembros y asociados a fin de salvaguardar los recursos financieros necesarios para la continuación de las actividades de la UIT relacionadas con la Resolución 1408 y la rehabilitación de la infraestructura de radiodifusión necesaria de conformidad con la evaluación primaria de cinco estaciones de radiodifusión. </w:t>
      </w:r>
    </w:p>
    <w:p w14:paraId="0768EFD9" w14:textId="77777777" w:rsidR="00531AE9" w:rsidRPr="00AB42AD" w:rsidRDefault="00531AE9" w:rsidP="00531AE9">
      <w:pPr>
        <w:pStyle w:val="Heading1"/>
        <w:rPr>
          <w:rFonts w:asciiTheme="minorHAnsi" w:hAnsiTheme="minorHAnsi" w:cstheme="minorBidi"/>
          <w:lang w:val="es-ES"/>
        </w:rPr>
      </w:pPr>
      <w:bookmarkStart w:id="7" w:name="_Toc2037035869"/>
      <w:r>
        <w:rPr>
          <w:lang w:val="es-ES"/>
        </w:rPr>
        <w:t>6</w:t>
      </w:r>
      <w:r>
        <w:rPr>
          <w:lang w:val="es-ES"/>
        </w:rPr>
        <w:tab/>
        <w:t>Conclusiones</w:t>
      </w:r>
      <w:bookmarkEnd w:id="7"/>
    </w:p>
    <w:p w14:paraId="5FC5FB1F" w14:textId="553CFCF3" w:rsidR="00531AE9" w:rsidRPr="00AB42AD" w:rsidRDefault="00531AE9" w:rsidP="00531AE9">
      <w:pPr>
        <w:rPr>
          <w:rFonts w:asciiTheme="minorHAnsi" w:hAnsiTheme="minorHAnsi" w:cstheme="minorHAnsi"/>
          <w:szCs w:val="24"/>
          <w:lang w:val="es-ES"/>
        </w:rPr>
      </w:pPr>
      <w:r>
        <w:rPr>
          <w:lang w:val="es-ES"/>
        </w:rPr>
        <w:t xml:space="preserve">La UIT ha seguido fomentando las actividades destinadas a la aplicación de la Resolución 1408 mediante el fortalecimiento de las asociaciones y el establecimiento de mecanismos bien coordinados para avanzar en la realización de actividades y la movilización de recursos financieros. </w:t>
      </w:r>
    </w:p>
    <w:p w14:paraId="493FC34E" w14:textId="77777777" w:rsidR="00531AE9" w:rsidRPr="00AB42AD" w:rsidRDefault="00531AE9" w:rsidP="00531AE9">
      <w:pPr>
        <w:rPr>
          <w:rFonts w:asciiTheme="minorHAnsi" w:hAnsiTheme="minorHAnsi" w:cstheme="minorHAnsi"/>
          <w:szCs w:val="24"/>
          <w:lang w:val="es-ES"/>
        </w:rPr>
      </w:pPr>
      <w:r>
        <w:rPr>
          <w:lang w:val="es-ES"/>
        </w:rPr>
        <w:t>Se invita amablemente a todas las partes interesadas a apoyar la cooperación mundial y las actividades de la UIT en respuesta a la Resolución 1408, en particular:</w:t>
      </w:r>
    </w:p>
    <w:p w14:paraId="2E346885" w14:textId="77777777" w:rsidR="00531AE9" w:rsidRPr="00AB42AD" w:rsidRDefault="00531AE9" w:rsidP="00531AE9">
      <w:pPr>
        <w:pStyle w:val="enumlev1"/>
        <w:rPr>
          <w:szCs w:val="24"/>
          <w:lang w:val="es-ES"/>
        </w:rPr>
      </w:pPr>
      <w:r w:rsidRPr="00DC34CA">
        <w:rPr>
          <w:lang w:val="es-ES"/>
        </w:rPr>
        <w:t>•</w:t>
      </w:r>
      <w:r>
        <w:rPr>
          <w:lang w:val="es-ES"/>
        </w:rPr>
        <w:tab/>
        <w:t xml:space="preserve">comprometerse a proporcionar asistencia técnica y apoyo financiero a Ucrania para la reconstrucción de su sector de telecomunicaciones, en particular la infraestructura de radiodifusión. </w:t>
      </w:r>
    </w:p>
    <w:p w14:paraId="2B9A8059" w14:textId="77777777" w:rsidR="00531AE9" w:rsidRPr="00AB42AD" w:rsidRDefault="00531AE9" w:rsidP="00531AE9">
      <w:pPr>
        <w:pStyle w:val="enumlev1"/>
        <w:rPr>
          <w:rFonts w:cstheme="minorHAnsi"/>
          <w:szCs w:val="24"/>
          <w:lang w:val="es-ES"/>
        </w:rPr>
      </w:pPr>
      <w:r w:rsidRPr="00DC34CA">
        <w:rPr>
          <w:lang w:val="es-ES"/>
        </w:rPr>
        <w:lastRenderedPageBreak/>
        <w:t>•</w:t>
      </w:r>
      <w:r>
        <w:rPr>
          <w:lang w:val="es-ES"/>
        </w:rPr>
        <w:tab/>
        <w:t xml:space="preserve">unirse a la iniciativa Partner2Connect y hacer promesas centradas en Ucrania a través del sistema en línea disponible </w:t>
      </w:r>
      <w:hyperlink r:id="rId12" w:history="1">
        <w:r w:rsidRPr="00AB42AD">
          <w:rPr>
            <w:rStyle w:val="Hyperlink"/>
            <w:lang w:val="es-ES"/>
          </w:rPr>
          <w:t>aquí</w:t>
        </w:r>
      </w:hyperlink>
      <w:r>
        <w:rPr>
          <w:lang w:val="es-ES"/>
        </w:rPr>
        <w:t>.</w:t>
      </w:r>
    </w:p>
    <w:p w14:paraId="2BF7092D" w14:textId="77777777" w:rsidR="00F75907" w:rsidRDefault="00531AE9" w:rsidP="00411C49">
      <w:pPr>
        <w:pStyle w:val="Reasons"/>
      </w:pPr>
      <w:r w:rsidRPr="00DC34CA">
        <w:rPr>
          <w:lang w:val="es-ES"/>
        </w:rPr>
        <w:t>•</w:t>
      </w:r>
      <w:r>
        <w:rPr>
          <w:lang w:val="es-ES"/>
        </w:rPr>
        <w:tab/>
        <w:t xml:space="preserve">aportar una contribución financiera al Fondo Fiduciario Especial, que permita la continuación y ampliación de la aplicación de la Resolución 1408. </w:t>
      </w:r>
    </w:p>
    <w:p w14:paraId="3F27D76B" w14:textId="77777777" w:rsidR="00F75907" w:rsidRDefault="00F75907">
      <w:pPr>
        <w:jc w:val="center"/>
      </w:pPr>
      <w:r>
        <w:t>______________</w:t>
      </w:r>
    </w:p>
    <w:p w14:paraId="613A9B7D" w14:textId="767FF610" w:rsidR="00531AE9" w:rsidRPr="00AB42AD" w:rsidRDefault="00531AE9" w:rsidP="00531AE9">
      <w:pPr>
        <w:pStyle w:val="enumlev1"/>
        <w:rPr>
          <w:szCs w:val="24"/>
          <w:lang w:val="es-ES"/>
        </w:rPr>
      </w:pPr>
    </w:p>
    <w:sectPr w:rsidR="00531AE9" w:rsidRPr="00AB42AD" w:rsidSect="00C538FC">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91C5" w14:textId="77777777" w:rsidR="00531AE9" w:rsidRDefault="00531AE9">
      <w:r>
        <w:separator/>
      </w:r>
    </w:p>
  </w:endnote>
  <w:endnote w:type="continuationSeparator" w:id="0">
    <w:p w14:paraId="4B4EB4CC" w14:textId="77777777" w:rsidR="00531AE9" w:rsidRDefault="0053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9476D48" w14:textId="77777777" w:rsidTr="00E31DCE">
      <w:trPr>
        <w:jc w:val="center"/>
      </w:trPr>
      <w:tc>
        <w:tcPr>
          <w:tcW w:w="1803" w:type="dxa"/>
          <w:vAlign w:val="center"/>
        </w:tcPr>
        <w:p w14:paraId="76BBAA17" w14:textId="47246383" w:rsidR="003273A4" w:rsidRDefault="00531AE9" w:rsidP="003273A4">
          <w:pPr>
            <w:pStyle w:val="Header"/>
            <w:jc w:val="left"/>
            <w:rPr>
              <w:noProof/>
            </w:rPr>
          </w:pPr>
          <w:r>
            <w:rPr>
              <w:noProof/>
            </w:rPr>
            <w:t>2400711</w:t>
          </w:r>
        </w:p>
      </w:tc>
      <w:tc>
        <w:tcPr>
          <w:tcW w:w="8261" w:type="dxa"/>
        </w:tcPr>
        <w:p w14:paraId="18791C82" w14:textId="7DCC9B1F" w:rsidR="003273A4" w:rsidRPr="00E06FD5" w:rsidRDefault="003273A4" w:rsidP="003273A4">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4481D">
            <w:rPr>
              <w:bCs/>
            </w:rPr>
            <w:t>4</w:t>
          </w:r>
          <w:r w:rsidRPr="00623AE3">
            <w:rPr>
              <w:bCs/>
            </w:rPr>
            <w:t>/</w:t>
          </w:r>
          <w:r w:rsidR="00531AE9">
            <w:rPr>
              <w:bCs/>
            </w:rPr>
            <w:t>68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4385CFD"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B98B5B1" w14:textId="77777777" w:rsidTr="00E31DCE">
      <w:trPr>
        <w:jc w:val="center"/>
      </w:trPr>
      <w:tc>
        <w:tcPr>
          <w:tcW w:w="1803" w:type="dxa"/>
          <w:vAlign w:val="center"/>
        </w:tcPr>
        <w:p w14:paraId="07585FCA" w14:textId="77777777" w:rsidR="00F24B71" w:rsidRDefault="00F24B71" w:rsidP="00F24B71">
          <w:pPr>
            <w:pStyle w:val="Header"/>
            <w:jc w:val="left"/>
            <w:rPr>
              <w:noProof/>
            </w:rPr>
          </w:pPr>
          <w:r w:rsidRPr="0064481D">
            <w:rPr>
              <w:color w:val="0563C1"/>
              <w:szCs w:val="14"/>
            </w:rPr>
            <w:t>www.itu.int/council</w:t>
          </w:r>
        </w:p>
      </w:tc>
      <w:tc>
        <w:tcPr>
          <w:tcW w:w="8261" w:type="dxa"/>
        </w:tcPr>
        <w:p w14:paraId="645F6AFF" w14:textId="46FDC675" w:rsidR="00F24B71" w:rsidRPr="00E06FD5" w:rsidRDefault="00F24B71" w:rsidP="00F24B71">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4481D">
            <w:rPr>
              <w:bCs/>
            </w:rPr>
            <w:t>4</w:t>
          </w:r>
          <w:r w:rsidRPr="00623AE3">
            <w:rPr>
              <w:bCs/>
            </w:rPr>
            <w:t>/</w:t>
          </w:r>
          <w:r w:rsidR="00531AE9">
            <w:rPr>
              <w:bCs/>
            </w:rPr>
            <w:t>68</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C7F2735"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A809" w14:textId="77777777" w:rsidR="00531AE9" w:rsidRDefault="00531AE9">
      <w:r>
        <w:t>____________________</w:t>
      </w:r>
    </w:p>
  </w:footnote>
  <w:footnote w:type="continuationSeparator" w:id="0">
    <w:p w14:paraId="73747F50" w14:textId="77777777" w:rsidR="00531AE9" w:rsidRDefault="00531AE9">
      <w:r>
        <w:continuationSeparator/>
      </w:r>
    </w:p>
  </w:footnote>
  <w:footnote w:id="1">
    <w:p w14:paraId="69E33198" w14:textId="332C6938" w:rsidR="00531AE9" w:rsidRPr="00F14DD9" w:rsidRDefault="00531AE9" w:rsidP="00531AE9">
      <w:pPr>
        <w:pStyle w:val="FootnoteText"/>
      </w:pPr>
      <w:r>
        <w:rPr>
          <w:rStyle w:val="FootnoteReference"/>
          <w:lang w:val="es-ES"/>
        </w:rPr>
        <w:footnoteRef/>
      </w:r>
      <w:r>
        <w:rPr>
          <w:lang w:val="es-ES"/>
        </w:rPr>
        <w:tab/>
      </w:r>
      <w:hyperlink r:id="rId1" w:history="1">
        <w:r w:rsidRPr="008D3183">
          <w:rPr>
            <w:rStyle w:val="Hyperlink"/>
            <w:sz w:val="20"/>
            <w:lang w:val="es-ES"/>
          </w:rPr>
          <w:t>https://ukraine.un.org/sites/default/files/2024-02/UA%20RDNA3%20report%20EN.pdf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784011" w14:paraId="47C434EA" w14:textId="77777777" w:rsidTr="00E31DCE">
      <w:trPr>
        <w:trHeight w:val="1104"/>
        <w:jc w:val="center"/>
      </w:trPr>
      <w:tc>
        <w:tcPr>
          <w:tcW w:w="4390" w:type="dxa"/>
          <w:vAlign w:val="center"/>
        </w:tcPr>
        <w:p w14:paraId="57BE1324" w14:textId="77777777" w:rsidR="001559F5" w:rsidRPr="009621F8" w:rsidRDefault="0064481D" w:rsidP="001559F5">
          <w:pPr>
            <w:pStyle w:val="Header"/>
            <w:jc w:val="left"/>
            <w:rPr>
              <w:rFonts w:ascii="Arial" w:hAnsi="Arial" w:cs="Arial"/>
              <w:b/>
              <w:bCs/>
              <w:color w:val="009CD6"/>
              <w:sz w:val="36"/>
              <w:szCs w:val="36"/>
            </w:rPr>
          </w:pPr>
          <w:bookmarkStart w:id="8" w:name="_Hlk133422111"/>
          <w:r>
            <w:rPr>
              <w:noProof/>
            </w:rPr>
            <w:drawing>
              <wp:inline distT="0" distB="0" distL="0" distR="0" wp14:anchorId="52614199" wp14:editId="781E67DD">
                <wp:extent cx="2368800" cy="558000"/>
                <wp:effectExtent l="0" t="0" r="0" b="0"/>
                <wp:docPr id="120596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800" cy="558000"/>
                        </a:xfrm>
                        <a:prstGeom prst="rect">
                          <a:avLst/>
                        </a:prstGeom>
                        <a:noFill/>
                        <a:ln>
                          <a:noFill/>
                        </a:ln>
                      </pic:spPr>
                    </pic:pic>
                  </a:graphicData>
                </a:graphic>
              </wp:inline>
            </w:drawing>
          </w:r>
        </w:p>
      </w:tc>
      <w:tc>
        <w:tcPr>
          <w:tcW w:w="5630" w:type="dxa"/>
        </w:tcPr>
        <w:p w14:paraId="31F13EF2" w14:textId="77777777" w:rsidR="001559F5" w:rsidRDefault="001559F5" w:rsidP="001559F5">
          <w:pPr>
            <w:pStyle w:val="Header"/>
            <w:jc w:val="right"/>
            <w:rPr>
              <w:rFonts w:ascii="Arial" w:hAnsi="Arial" w:cs="Arial"/>
              <w:b/>
              <w:bCs/>
              <w:color w:val="009CD6"/>
              <w:szCs w:val="18"/>
            </w:rPr>
          </w:pPr>
        </w:p>
        <w:p w14:paraId="0F088EDA" w14:textId="77777777" w:rsidR="001559F5" w:rsidRDefault="001559F5" w:rsidP="001559F5">
          <w:pPr>
            <w:pStyle w:val="Header"/>
            <w:jc w:val="right"/>
            <w:rPr>
              <w:rFonts w:ascii="Arial" w:hAnsi="Arial" w:cs="Arial"/>
              <w:b/>
              <w:bCs/>
              <w:color w:val="009CD6"/>
              <w:szCs w:val="18"/>
            </w:rPr>
          </w:pPr>
        </w:p>
        <w:p w14:paraId="565CF8DE" w14:textId="77777777" w:rsidR="001559F5" w:rsidRPr="00784011" w:rsidRDefault="001559F5" w:rsidP="001559F5">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
  <w:p w14:paraId="4D2ECDCC"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1838EF5" wp14:editId="6F1028A3">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E01C9"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D29"/>
    <w:multiLevelType w:val="hybridMultilevel"/>
    <w:tmpl w:val="A72CC4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744E47"/>
    <w:multiLevelType w:val="hybridMultilevel"/>
    <w:tmpl w:val="5EC0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8D1B8E"/>
    <w:multiLevelType w:val="hybridMultilevel"/>
    <w:tmpl w:val="BAD61FB4"/>
    <w:lvl w:ilvl="0" w:tplc="DD1E8B8A">
      <w:start w:val="2"/>
      <w:numFmt w:val="bullet"/>
      <w:lvlText w:val="-"/>
      <w:lvlJc w:val="left"/>
      <w:pPr>
        <w:ind w:left="720" w:hanging="360"/>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C1B7603"/>
    <w:multiLevelType w:val="hybridMultilevel"/>
    <w:tmpl w:val="0802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098743">
    <w:abstractNumId w:val="0"/>
  </w:num>
  <w:num w:numId="2" w16cid:durableId="1438137902">
    <w:abstractNumId w:val="1"/>
  </w:num>
  <w:num w:numId="3" w16cid:durableId="624388028">
    <w:abstractNumId w:val="3"/>
  </w:num>
  <w:num w:numId="4" w16cid:durableId="1447771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1D"/>
    <w:rsid w:val="000007D1"/>
    <w:rsid w:val="00093EEB"/>
    <w:rsid w:val="000B0D00"/>
    <w:rsid w:val="000B7C15"/>
    <w:rsid w:val="000D1D0F"/>
    <w:rsid w:val="000F5290"/>
    <w:rsid w:val="0010165C"/>
    <w:rsid w:val="00146BFB"/>
    <w:rsid w:val="001559F5"/>
    <w:rsid w:val="001D03A0"/>
    <w:rsid w:val="001F14A2"/>
    <w:rsid w:val="002801AA"/>
    <w:rsid w:val="002C4676"/>
    <w:rsid w:val="002C70B0"/>
    <w:rsid w:val="002F3CC4"/>
    <w:rsid w:val="003273A4"/>
    <w:rsid w:val="00473962"/>
    <w:rsid w:val="004B5D49"/>
    <w:rsid w:val="00513630"/>
    <w:rsid w:val="00523ED8"/>
    <w:rsid w:val="00531AE9"/>
    <w:rsid w:val="00560125"/>
    <w:rsid w:val="00585553"/>
    <w:rsid w:val="005A25B2"/>
    <w:rsid w:val="005B34D9"/>
    <w:rsid w:val="005D0CCF"/>
    <w:rsid w:val="005F3BCB"/>
    <w:rsid w:val="005F410F"/>
    <w:rsid w:val="0060149A"/>
    <w:rsid w:val="00601924"/>
    <w:rsid w:val="006447EA"/>
    <w:rsid w:val="0064481D"/>
    <w:rsid w:val="0064731F"/>
    <w:rsid w:val="00664572"/>
    <w:rsid w:val="006710F6"/>
    <w:rsid w:val="00677A97"/>
    <w:rsid w:val="006C1B56"/>
    <w:rsid w:val="006D4761"/>
    <w:rsid w:val="006E14D6"/>
    <w:rsid w:val="00726872"/>
    <w:rsid w:val="00760F1C"/>
    <w:rsid w:val="007657F0"/>
    <w:rsid w:val="0077252D"/>
    <w:rsid w:val="007955DA"/>
    <w:rsid w:val="007E5DD3"/>
    <w:rsid w:val="007F350B"/>
    <w:rsid w:val="00820BE4"/>
    <w:rsid w:val="008451E8"/>
    <w:rsid w:val="00913B9C"/>
    <w:rsid w:val="00927F93"/>
    <w:rsid w:val="00956E77"/>
    <w:rsid w:val="009F4811"/>
    <w:rsid w:val="00AA390C"/>
    <w:rsid w:val="00B0200A"/>
    <w:rsid w:val="00B574DB"/>
    <w:rsid w:val="00B826C2"/>
    <w:rsid w:val="00B8298E"/>
    <w:rsid w:val="00BD0723"/>
    <w:rsid w:val="00BD2518"/>
    <w:rsid w:val="00BF1D1C"/>
    <w:rsid w:val="00C20C59"/>
    <w:rsid w:val="00C2727F"/>
    <w:rsid w:val="00C538FC"/>
    <w:rsid w:val="00C55B1F"/>
    <w:rsid w:val="00CB421D"/>
    <w:rsid w:val="00CF1A67"/>
    <w:rsid w:val="00D2750E"/>
    <w:rsid w:val="00D43B85"/>
    <w:rsid w:val="00D50A36"/>
    <w:rsid w:val="00D62446"/>
    <w:rsid w:val="00DA4EA2"/>
    <w:rsid w:val="00DC3D3E"/>
    <w:rsid w:val="00DE2C90"/>
    <w:rsid w:val="00DE3B24"/>
    <w:rsid w:val="00E06947"/>
    <w:rsid w:val="00E34072"/>
    <w:rsid w:val="00E3592D"/>
    <w:rsid w:val="00E50D76"/>
    <w:rsid w:val="00E92DE8"/>
    <w:rsid w:val="00EB1212"/>
    <w:rsid w:val="00ED65AB"/>
    <w:rsid w:val="00F12850"/>
    <w:rsid w:val="00F24B71"/>
    <w:rsid w:val="00F33BF4"/>
    <w:rsid w:val="00F7105E"/>
    <w:rsid w:val="00F75907"/>
    <w:rsid w:val="00F75F57"/>
    <w:rsid w:val="00F82FEE"/>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271FD"/>
  <w15:docId w15:val="{19AABEA5-5120-4023-B43A-3E68776C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531AE9"/>
    <w:rPr>
      <w:rFonts w:ascii="Calibri" w:hAnsi="Calibri"/>
      <w:sz w:val="24"/>
      <w:lang w:val="es-ES_tradnl" w:eastAsia="en-US"/>
    </w:rPr>
  </w:style>
  <w:style w:type="paragraph" w:styleId="ListParagraph">
    <w:name w:val="List Paragraph"/>
    <w:aliases w:val="List Paragraph1,Dot pt,F5 List Paragraph,No Spacing1,List Paragraph Char Char Char,Indicator Text,Colorful List - Accent 11,Numbered Para 1,Bullet 1,Bullet Points,MAIN CONTENT,List Paragraph11,List Paragraph12,List Paragraph2,OBC Bullet,L"/>
    <w:basedOn w:val="Normal"/>
    <w:link w:val="ListParagraphChar"/>
    <w:uiPriority w:val="34"/>
    <w:qFormat/>
    <w:rsid w:val="00531AE9"/>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ListParagraphChar">
    <w:name w:val="List Paragraph Char"/>
    <w:aliases w:val="List Paragraph1 Char,Dot pt Char,F5 List Paragraph Char,No Spacing1 Char,List Paragraph Char Char Char Char,Indicator Text Char,Colorful List - Accent 11 Char,Numbered Para 1 Char,Bullet 1 Char,Bullet Points Char,MAIN CONTENT Char"/>
    <w:link w:val="ListParagraph"/>
    <w:uiPriority w:val="34"/>
    <w:locked/>
    <w:rsid w:val="00531AE9"/>
    <w:rPr>
      <w:rFonts w:asciiTheme="minorHAnsi" w:eastAsiaTheme="minorEastAsia" w:hAnsiTheme="minorHAnsi" w:cstheme="minorBidi"/>
      <w:sz w:val="22"/>
      <w:szCs w:val="22"/>
    </w:rPr>
  </w:style>
  <w:style w:type="character" w:customStyle="1" w:styleId="ui-provider">
    <w:name w:val="ui-provider"/>
    <w:basedOn w:val="DefaultParagraphFont"/>
    <w:rsid w:val="00531AE9"/>
  </w:style>
  <w:style w:type="paragraph" w:styleId="CommentText">
    <w:name w:val="annotation text"/>
    <w:basedOn w:val="Normal"/>
    <w:link w:val="CommentTextChar"/>
    <w:unhideWhenUsed/>
    <w:rsid w:val="00531AE9"/>
    <w:rPr>
      <w:sz w:val="20"/>
      <w:lang w:val="en-GB"/>
    </w:rPr>
  </w:style>
  <w:style w:type="character" w:customStyle="1" w:styleId="CommentTextChar">
    <w:name w:val="Comment Text Char"/>
    <w:basedOn w:val="DefaultParagraphFont"/>
    <w:link w:val="CommentText"/>
    <w:rsid w:val="00531AE9"/>
    <w:rPr>
      <w:rFonts w:ascii="Calibri" w:hAnsi="Calibri"/>
      <w:lang w:val="en-GB" w:eastAsia="en-US"/>
    </w:rPr>
  </w:style>
  <w:style w:type="character" w:styleId="CommentReference">
    <w:name w:val="annotation reference"/>
    <w:basedOn w:val="DefaultParagraphFont"/>
    <w:semiHidden/>
    <w:unhideWhenUsed/>
    <w:rsid w:val="00531AE9"/>
    <w:rPr>
      <w:sz w:val="16"/>
      <w:szCs w:val="16"/>
    </w:rPr>
  </w:style>
  <w:style w:type="paragraph" w:styleId="Revision">
    <w:name w:val="Revision"/>
    <w:hidden/>
    <w:uiPriority w:val="99"/>
    <w:semiHidden/>
    <w:rsid w:val="00531AE9"/>
    <w:rPr>
      <w:rFonts w:ascii="Calibri" w:hAnsi="Calibri"/>
      <w:sz w:val="24"/>
      <w:lang w:val="es-ES_tradnl" w:eastAsia="en-US"/>
    </w:rPr>
  </w:style>
  <w:style w:type="character" w:styleId="UnresolvedMention">
    <w:name w:val="Unresolved Mention"/>
    <w:basedOn w:val="DefaultParagraphFont"/>
    <w:uiPriority w:val="99"/>
    <w:semiHidden/>
    <w:unhideWhenUsed/>
    <w:rsid w:val="0052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059/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tu.int/md/S23-CL-C-0122/es" TargetMode="External"/><Relationship Id="rId12" Type="http://schemas.openxmlformats.org/officeDocument/2006/relationships/hyperlink" Target="https://www.itu.int/partner2connect-pledg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4" Type="http://schemas.openxmlformats.org/officeDocument/2006/relationships/webSettings" Target="webSettings.xml"/><Relationship Id="rId9" Type="http://schemas.openxmlformats.org/officeDocument/2006/relationships/hyperlink" Target="https://www.itu.int/md/S23-CL-C-0122/e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ukraine.un.org/sites/default/files/2024-02/UA%20RDNA3%20report%20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2130</Words>
  <Characters>12266</Characters>
  <Application>Microsoft Office Word</Application>
  <DocSecurity>0</DocSecurity>
  <Lines>102</Lines>
  <Paragraphs>28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14368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2024 de la UIT</dc:subject>
  <dc:creator>Spanish</dc:creator>
  <cp:keywords>C2024, C24, Council-24</cp:keywords>
  <dc:description/>
  <cp:lastModifiedBy>Brouard, Ricarda</cp:lastModifiedBy>
  <cp:revision>2</cp:revision>
  <cp:lastPrinted>2006-03-24T09:51:00Z</cp:lastPrinted>
  <dcterms:created xsi:type="dcterms:W3CDTF">2024-05-24T09:13:00Z</dcterms:created>
  <dcterms:modified xsi:type="dcterms:W3CDTF">2024-05-24T09:13:00Z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