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EEFB4EA" w14:textId="77777777" w:rsidTr="00F363FE">
        <w:tc>
          <w:tcPr>
            <w:tcW w:w="6512" w:type="dxa"/>
          </w:tcPr>
          <w:p w14:paraId="408B3602" w14:textId="6EDEED81"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44107">
              <w:rPr>
                <w:rFonts w:hint="cs"/>
                <w:b/>
                <w:bCs/>
                <w:rtl/>
                <w:lang w:bidi="ar-EG"/>
              </w:rPr>
              <w:t xml:space="preserve"> </w:t>
            </w:r>
            <w:r w:rsidR="00D44107">
              <w:rPr>
                <w:b/>
                <w:bCs/>
                <w:lang w:bidi="ar-EG"/>
              </w:rPr>
              <w:t>PL 2</w:t>
            </w:r>
          </w:p>
        </w:tc>
        <w:tc>
          <w:tcPr>
            <w:tcW w:w="3117" w:type="dxa"/>
          </w:tcPr>
          <w:p w14:paraId="37A3B8A7" w14:textId="24671CD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B004CB">
              <w:rPr>
                <w:b/>
                <w:bCs/>
                <w:lang w:bidi="ar-EG"/>
              </w:rPr>
              <w:t>68</w:t>
            </w:r>
            <w:r w:rsidRPr="007B0AA0">
              <w:rPr>
                <w:b/>
                <w:bCs/>
                <w:lang w:bidi="ar-EG"/>
              </w:rPr>
              <w:t>-A</w:t>
            </w:r>
          </w:p>
        </w:tc>
      </w:tr>
      <w:tr w:rsidR="007B0AA0" w14:paraId="45D85C7B" w14:textId="77777777" w:rsidTr="00F363FE">
        <w:tc>
          <w:tcPr>
            <w:tcW w:w="6512" w:type="dxa"/>
          </w:tcPr>
          <w:p w14:paraId="6CFC2B1B" w14:textId="77777777" w:rsidR="007B0AA0" w:rsidRPr="007B0AA0" w:rsidRDefault="007B0AA0" w:rsidP="00F363FE">
            <w:pPr>
              <w:spacing w:before="60" w:after="60" w:line="260" w:lineRule="exact"/>
              <w:rPr>
                <w:b/>
                <w:bCs/>
                <w:rtl/>
                <w:lang w:bidi="ar-EG"/>
              </w:rPr>
            </w:pPr>
          </w:p>
        </w:tc>
        <w:tc>
          <w:tcPr>
            <w:tcW w:w="3117" w:type="dxa"/>
          </w:tcPr>
          <w:p w14:paraId="210E8A32" w14:textId="1E90A9FB" w:rsidR="007B0AA0" w:rsidRPr="007B0AA0" w:rsidRDefault="00B004CB"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5A17F5BA" w14:textId="77777777" w:rsidTr="00F363FE">
        <w:tc>
          <w:tcPr>
            <w:tcW w:w="6512" w:type="dxa"/>
          </w:tcPr>
          <w:p w14:paraId="1860BCFE" w14:textId="77777777" w:rsidR="007B0AA0" w:rsidRPr="007B0AA0" w:rsidRDefault="007B0AA0" w:rsidP="00F363FE">
            <w:pPr>
              <w:spacing w:before="60" w:after="60" w:line="260" w:lineRule="exact"/>
              <w:rPr>
                <w:b/>
                <w:bCs/>
                <w:rtl/>
                <w:lang w:bidi="ar-EG"/>
              </w:rPr>
            </w:pPr>
          </w:p>
        </w:tc>
        <w:tc>
          <w:tcPr>
            <w:tcW w:w="3117" w:type="dxa"/>
          </w:tcPr>
          <w:p w14:paraId="523F1BBD" w14:textId="3DCFA7E0"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004CB">
              <w:rPr>
                <w:rFonts w:hint="cs"/>
                <w:b/>
                <w:bCs/>
                <w:rtl/>
                <w:lang w:bidi="ar-EG"/>
              </w:rPr>
              <w:t>بالإنكليزية</w:t>
            </w:r>
          </w:p>
        </w:tc>
      </w:tr>
      <w:tr w:rsidR="007B0AA0" w14:paraId="21AD057D" w14:textId="77777777" w:rsidTr="00F363FE">
        <w:tc>
          <w:tcPr>
            <w:tcW w:w="6512" w:type="dxa"/>
          </w:tcPr>
          <w:p w14:paraId="643AD921" w14:textId="77777777" w:rsidR="007B0AA0" w:rsidRDefault="007B0AA0" w:rsidP="00F363FE">
            <w:pPr>
              <w:spacing w:before="60" w:after="60" w:line="260" w:lineRule="exact"/>
              <w:rPr>
                <w:lang w:bidi="ar-EG"/>
              </w:rPr>
            </w:pPr>
          </w:p>
        </w:tc>
        <w:tc>
          <w:tcPr>
            <w:tcW w:w="3117" w:type="dxa"/>
          </w:tcPr>
          <w:p w14:paraId="40A8AACB" w14:textId="77777777" w:rsidR="007B0AA0" w:rsidRDefault="007B0AA0" w:rsidP="00F363FE">
            <w:pPr>
              <w:spacing w:before="60" w:after="60" w:line="260" w:lineRule="exact"/>
              <w:rPr>
                <w:rtl/>
                <w:lang w:bidi="ar-EG"/>
              </w:rPr>
            </w:pPr>
          </w:p>
        </w:tc>
      </w:tr>
      <w:tr w:rsidR="007B0AA0" w14:paraId="0C7FAAB6" w14:textId="77777777" w:rsidTr="00EE7446">
        <w:tc>
          <w:tcPr>
            <w:tcW w:w="9629" w:type="dxa"/>
            <w:gridSpan w:val="2"/>
          </w:tcPr>
          <w:p w14:paraId="05B85ACA" w14:textId="37C5364F" w:rsidR="007B0AA0" w:rsidRDefault="00B004CB" w:rsidP="007B0AA0">
            <w:pPr>
              <w:pStyle w:val="Source"/>
              <w:jc w:val="left"/>
              <w:rPr>
                <w:rtl/>
                <w:lang w:bidi="ar-EG"/>
              </w:rPr>
            </w:pPr>
            <w:r>
              <w:rPr>
                <w:rFonts w:hint="cs"/>
                <w:rtl/>
                <w:lang w:bidi="ar-EG"/>
              </w:rPr>
              <w:t>تقرير من الأمينة العامة</w:t>
            </w:r>
          </w:p>
        </w:tc>
      </w:tr>
      <w:tr w:rsidR="007B0AA0" w14:paraId="50CD4BD4" w14:textId="77777777" w:rsidTr="007B0AA0">
        <w:tc>
          <w:tcPr>
            <w:tcW w:w="9629" w:type="dxa"/>
            <w:gridSpan w:val="2"/>
            <w:tcBorders>
              <w:bottom w:val="single" w:sz="4" w:space="0" w:color="auto"/>
            </w:tcBorders>
          </w:tcPr>
          <w:p w14:paraId="18C4CBDB" w14:textId="57464052" w:rsidR="007B0AA0" w:rsidRDefault="00B004CB" w:rsidP="007B0AA0">
            <w:pPr>
              <w:pStyle w:val="Subtitle0"/>
            </w:pPr>
            <w:bookmarkStart w:id="0" w:name="_Hlk108797253"/>
            <w:bookmarkStart w:id="1" w:name="_Hlk164670350"/>
            <w:r w:rsidRPr="00965D17">
              <w:rPr>
                <w:rtl/>
              </w:rPr>
              <w:t>معلومات محدَّثة عن تنفيذ القرار 1408 الصادر عن مجلس الاتحاد بشأن تقديم المساعدة والدعم إلى أوكرانيا لإعادة بناء قطاع اتصالاتها</w:t>
            </w:r>
            <w:bookmarkEnd w:id="0"/>
            <w:bookmarkEnd w:id="1"/>
          </w:p>
        </w:tc>
      </w:tr>
      <w:tr w:rsidR="007B0AA0" w14:paraId="5CCEC3F7" w14:textId="77777777" w:rsidTr="007B0AA0">
        <w:tc>
          <w:tcPr>
            <w:tcW w:w="9629" w:type="dxa"/>
            <w:gridSpan w:val="2"/>
            <w:tcBorders>
              <w:top w:val="single" w:sz="4" w:space="0" w:color="auto"/>
              <w:bottom w:val="single" w:sz="4" w:space="0" w:color="auto"/>
            </w:tcBorders>
          </w:tcPr>
          <w:p w14:paraId="6EE2D17D" w14:textId="5EF7273B" w:rsidR="007B0AA0" w:rsidRPr="00EF4520" w:rsidRDefault="007B0AA0" w:rsidP="00EF4520">
            <w:pPr>
              <w:rPr>
                <w:b/>
                <w:bCs/>
                <w:rtl/>
              </w:rPr>
            </w:pPr>
            <w:r w:rsidRPr="00EF4520">
              <w:rPr>
                <w:rFonts w:hint="cs"/>
                <w:b/>
                <w:bCs/>
                <w:rtl/>
              </w:rPr>
              <w:t>الغرض</w:t>
            </w:r>
          </w:p>
          <w:p w14:paraId="3185A36D" w14:textId="77777777" w:rsidR="00B004CB" w:rsidRPr="00EF4520" w:rsidRDefault="00B004CB" w:rsidP="00EF4520">
            <w:r w:rsidRPr="00EF4520">
              <w:rPr>
                <w:rFonts w:hint="cs"/>
                <w:rtl/>
              </w:rPr>
              <w:t>يعرض</w:t>
            </w:r>
            <w:r w:rsidRPr="00EF4520">
              <w:rPr>
                <w:rtl/>
              </w:rPr>
              <w:t xml:space="preserve"> هذا التقرير الأنشطة والتطورات منذ انعقاد دورة المج</w:t>
            </w:r>
            <w:r w:rsidRPr="00EF4520">
              <w:rPr>
                <w:rFonts w:hint="cs"/>
                <w:rtl/>
              </w:rPr>
              <w:t>ل</w:t>
            </w:r>
            <w:r w:rsidRPr="00EF4520">
              <w:rPr>
                <w:rtl/>
              </w:rPr>
              <w:t xml:space="preserve">س في يوليو 2023 بشأن تقديم المساعدة والدعم إلى أوكرانيا لإعادة بناء قطاع اتصالاتها استجابةً </w:t>
            </w:r>
            <w:r w:rsidRPr="00EF4520">
              <w:rPr>
                <w:rFonts w:hint="cs"/>
                <w:rtl/>
              </w:rPr>
              <w:t>ل</w:t>
            </w:r>
            <w:r w:rsidRPr="00EF4520">
              <w:rPr>
                <w:rtl/>
              </w:rPr>
              <w:t xml:space="preserve">لقرار 1408 </w:t>
            </w:r>
            <w:r w:rsidRPr="00EF4520">
              <w:rPr>
                <w:rFonts w:hint="cs"/>
                <w:rtl/>
              </w:rPr>
              <w:t xml:space="preserve">الصادر عن مجلس الاتحاد، مع </w:t>
            </w:r>
            <w:r w:rsidRPr="00EF4520">
              <w:rPr>
                <w:rtl/>
              </w:rPr>
              <w:t xml:space="preserve">التركيز بشكل خاص على </w:t>
            </w:r>
            <w:r w:rsidRPr="00EF4520">
              <w:rPr>
                <w:rFonts w:hint="cs"/>
                <w:rtl/>
              </w:rPr>
              <w:t>الرصد والإبلاغ</w:t>
            </w:r>
            <w:r w:rsidRPr="00EF4520">
              <w:rPr>
                <w:rtl/>
              </w:rPr>
              <w:t xml:space="preserve"> وآليات التنسيق، </w:t>
            </w:r>
            <w:r w:rsidRPr="00EF4520">
              <w:rPr>
                <w:rFonts w:hint="cs"/>
                <w:rtl/>
              </w:rPr>
              <w:t>و</w:t>
            </w:r>
            <w:r w:rsidRPr="00EF4520">
              <w:rPr>
                <w:rtl/>
              </w:rPr>
              <w:t>المساعدة التقنية، وتعبئة الموارد</w:t>
            </w:r>
            <w:r w:rsidRPr="00EF4520">
              <w:rPr>
                <w:rFonts w:hint="cs"/>
                <w:rtl/>
              </w:rPr>
              <w:t xml:space="preserve"> وأنشطة بناء القدرات.</w:t>
            </w:r>
          </w:p>
          <w:p w14:paraId="6EDB5C78" w14:textId="77777777" w:rsidR="00B004CB" w:rsidRPr="00EF4520" w:rsidRDefault="00B004CB" w:rsidP="00EF4520">
            <w:pPr>
              <w:rPr>
                <w:b/>
                <w:bCs/>
                <w:rtl/>
              </w:rPr>
            </w:pPr>
            <w:r w:rsidRPr="00EF4520">
              <w:rPr>
                <w:rFonts w:hint="cs"/>
                <w:b/>
                <w:bCs/>
                <w:rtl/>
              </w:rPr>
              <w:t>الإجراء المطلوب من قبل المجلس</w:t>
            </w:r>
          </w:p>
          <w:p w14:paraId="7077598F" w14:textId="420CF75F" w:rsidR="00B004CB" w:rsidRPr="00EF4520" w:rsidRDefault="00B004CB" w:rsidP="00EF4520">
            <w:pPr>
              <w:rPr>
                <w:rtl/>
              </w:rPr>
            </w:pPr>
            <w:r w:rsidRPr="00EF4520">
              <w:rPr>
                <w:rtl/>
              </w:rPr>
              <w:t>ي</w:t>
            </w:r>
            <w:r w:rsidR="00EF4520">
              <w:rPr>
                <w:rFonts w:hint="cs"/>
                <w:rtl/>
              </w:rPr>
              <w:t>ُ</w:t>
            </w:r>
            <w:r w:rsidRPr="00EF4520">
              <w:rPr>
                <w:rtl/>
              </w:rPr>
              <w:t xml:space="preserve">دعى المجلس إلى </w:t>
            </w:r>
            <w:r w:rsidRPr="00EF4520">
              <w:rPr>
                <w:b/>
                <w:bCs/>
                <w:rtl/>
              </w:rPr>
              <w:t>العلم</w:t>
            </w:r>
            <w:r w:rsidRPr="00EF4520">
              <w:rPr>
                <w:rtl/>
              </w:rPr>
              <w:t xml:space="preserve"> بهذا التقرير.</w:t>
            </w:r>
          </w:p>
          <w:p w14:paraId="2DB3A76E" w14:textId="2EA66F6A" w:rsidR="00B004CB" w:rsidRPr="00EF4520" w:rsidRDefault="00EF4520" w:rsidP="00EF4520">
            <w:pPr>
              <w:rPr>
                <w:b/>
                <w:bCs/>
                <w:rtl/>
              </w:rPr>
            </w:pPr>
            <w:r>
              <w:rPr>
                <w:rFonts w:hint="cs"/>
                <w:b/>
                <w:bCs/>
                <w:rtl/>
                <w:lang w:bidi="ar-EG"/>
              </w:rPr>
              <w:t xml:space="preserve">روابط ذات صلة </w:t>
            </w:r>
            <w:r w:rsidR="00B004CB" w:rsidRPr="00EF4520">
              <w:rPr>
                <w:b/>
                <w:bCs/>
                <w:rtl/>
              </w:rPr>
              <w:t>بالخطة ال</w:t>
            </w:r>
            <w:r w:rsidR="00B004CB" w:rsidRPr="00EF4520">
              <w:rPr>
                <w:rFonts w:hint="cs"/>
                <w:b/>
                <w:bCs/>
                <w:rtl/>
              </w:rPr>
              <w:t>ا</w:t>
            </w:r>
            <w:r w:rsidR="00B004CB" w:rsidRPr="00EF4520">
              <w:rPr>
                <w:b/>
                <w:bCs/>
                <w:rtl/>
              </w:rPr>
              <w:t>ستراتيجية</w:t>
            </w:r>
          </w:p>
          <w:p w14:paraId="602AF0C3" w14:textId="77777777" w:rsidR="00B004CB" w:rsidRPr="00EF4520" w:rsidRDefault="00B004CB" w:rsidP="00EF4520">
            <w:pPr>
              <w:rPr>
                <w:rtl/>
              </w:rPr>
            </w:pPr>
            <w:r w:rsidRPr="00EF4520">
              <w:rPr>
                <w:rtl/>
              </w:rPr>
              <w:t>تقديم المساعدة التقنية</w:t>
            </w:r>
            <w:r w:rsidRPr="00EF4520">
              <w:rPr>
                <w:rFonts w:hint="cs"/>
                <w:rtl/>
              </w:rPr>
              <w:t>.</w:t>
            </w:r>
          </w:p>
          <w:p w14:paraId="6A6365D1" w14:textId="77777777" w:rsidR="00B004CB" w:rsidRPr="00EF4520" w:rsidRDefault="00B004CB" w:rsidP="00EF4520">
            <w:pPr>
              <w:rPr>
                <w:b/>
                <w:bCs/>
                <w:rtl/>
              </w:rPr>
            </w:pPr>
            <w:r w:rsidRPr="00EF4520">
              <w:rPr>
                <w:rFonts w:hint="cs"/>
                <w:b/>
                <w:bCs/>
                <w:rtl/>
              </w:rPr>
              <w:t>الآثار المالية</w:t>
            </w:r>
          </w:p>
          <w:p w14:paraId="0246023C" w14:textId="227A7E1E" w:rsidR="00B004CB" w:rsidRPr="003E4BAC" w:rsidRDefault="00B004CB" w:rsidP="00EF4520">
            <w:pPr>
              <w:rPr>
                <w:spacing w:val="-4"/>
                <w:rtl/>
              </w:rPr>
            </w:pPr>
            <w:r w:rsidRPr="003E4BAC">
              <w:rPr>
                <w:spacing w:val="-4"/>
                <w:rtl/>
              </w:rPr>
              <w:t>000</w:t>
            </w:r>
            <w:r w:rsidR="00EF4520" w:rsidRPr="003E4BAC">
              <w:rPr>
                <w:spacing w:val="-4"/>
              </w:rPr>
              <w:t> </w:t>
            </w:r>
            <w:r w:rsidRPr="003E4BAC">
              <w:rPr>
                <w:rFonts w:hint="cs"/>
                <w:spacing w:val="-4"/>
                <w:rtl/>
              </w:rPr>
              <w:t>183</w:t>
            </w:r>
            <w:r w:rsidRPr="003E4BAC">
              <w:rPr>
                <w:spacing w:val="-4"/>
                <w:rtl/>
              </w:rPr>
              <w:t xml:space="preserve"> فرنك سويسري منذ عام 2022، بما في ذلك 000</w:t>
            </w:r>
            <w:r w:rsidR="00EF4520" w:rsidRPr="003E4BAC">
              <w:rPr>
                <w:spacing w:val="-4"/>
              </w:rPr>
              <w:t> </w:t>
            </w:r>
            <w:r w:rsidRPr="003E4BAC">
              <w:rPr>
                <w:spacing w:val="-4"/>
                <w:rtl/>
              </w:rPr>
              <w:t>60 فرنك سويسري من ميزانية الاتحاد، و000</w:t>
            </w:r>
            <w:r w:rsidR="00EF4520" w:rsidRPr="003E4BAC">
              <w:rPr>
                <w:spacing w:val="-4"/>
              </w:rPr>
              <w:t> </w:t>
            </w:r>
            <w:r w:rsidRPr="003E4BAC">
              <w:rPr>
                <w:spacing w:val="-4"/>
                <w:rtl/>
              </w:rPr>
              <w:t>123 فرنك</w:t>
            </w:r>
            <w:r w:rsidR="00EF4520" w:rsidRPr="003E4BAC">
              <w:rPr>
                <w:rFonts w:hint="cs"/>
                <w:spacing w:val="-4"/>
                <w:rtl/>
              </w:rPr>
              <w:t> </w:t>
            </w:r>
            <w:r w:rsidRPr="003E4BAC">
              <w:rPr>
                <w:spacing w:val="-4"/>
                <w:rtl/>
              </w:rPr>
              <w:t xml:space="preserve">سويسري في شكل مساهمات </w:t>
            </w:r>
            <w:r w:rsidRPr="003E4BAC">
              <w:rPr>
                <w:rFonts w:hint="cs"/>
                <w:spacing w:val="-4"/>
                <w:rtl/>
              </w:rPr>
              <w:t>طوعية نقدية</w:t>
            </w:r>
            <w:r w:rsidRPr="003E4BAC">
              <w:rPr>
                <w:spacing w:val="-4"/>
                <w:rtl/>
              </w:rPr>
              <w:t>، و000</w:t>
            </w:r>
            <w:r w:rsidR="00EF4520" w:rsidRPr="003E4BAC">
              <w:rPr>
                <w:spacing w:val="-4"/>
              </w:rPr>
              <w:t> </w:t>
            </w:r>
            <w:r w:rsidRPr="003E4BAC">
              <w:rPr>
                <w:spacing w:val="-4"/>
                <w:rtl/>
              </w:rPr>
              <w:t>20 فرنك سويسري في شكل مساهمة عينية</w:t>
            </w:r>
            <w:r w:rsidRPr="003E4BAC">
              <w:rPr>
                <w:rFonts w:hint="cs"/>
                <w:spacing w:val="-4"/>
                <w:rtl/>
              </w:rPr>
              <w:t>.</w:t>
            </w:r>
          </w:p>
          <w:p w14:paraId="484A257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F8D5D64" w14:textId="77777777" w:rsidR="007B0AA0" w:rsidRPr="007B0AA0" w:rsidRDefault="007B0AA0" w:rsidP="007B0AA0">
            <w:pPr>
              <w:rPr>
                <w:b/>
                <w:bCs/>
                <w:rtl/>
              </w:rPr>
            </w:pPr>
            <w:r w:rsidRPr="007B0AA0">
              <w:rPr>
                <w:rFonts w:hint="cs"/>
                <w:b/>
                <w:bCs/>
                <w:rtl/>
              </w:rPr>
              <w:t>المراجع</w:t>
            </w:r>
          </w:p>
          <w:p w14:paraId="4D44A084" w14:textId="72E924D1" w:rsidR="007B0AA0" w:rsidRDefault="00D0617D" w:rsidP="00A40FC1">
            <w:pPr>
              <w:spacing w:after="120"/>
              <w:rPr>
                <w:rtl/>
              </w:rPr>
            </w:pPr>
            <w:hyperlink r:id="rId8" w:history="1">
              <w:r w:rsidR="00B004CB" w:rsidRPr="00FB473A">
                <w:rPr>
                  <w:rStyle w:val="Hyperlink"/>
                  <w:i/>
                  <w:iCs/>
                  <w:rtl/>
                </w:rPr>
                <w:t>قرار</w:t>
              </w:r>
              <w:r w:rsidR="00B004CB" w:rsidRPr="00FB473A">
                <w:rPr>
                  <w:rStyle w:val="Hyperlink"/>
                  <w:rFonts w:hint="cs"/>
                  <w:i/>
                  <w:iCs/>
                  <w:rtl/>
                </w:rPr>
                <w:t xml:space="preserve"> المجلس 1408</w:t>
              </w:r>
            </w:hyperlink>
            <w:r w:rsidR="00B004CB">
              <w:rPr>
                <w:rFonts w:hint="cs"/>
                <w:i/>
                <w:iCs/>
                <w:rtl/>
              </w:rPr>
              <w:t xml:space="preserve"> (المعدّل في 2023)؛ الوثيقة </w:t>
            </w:r>
            <w:hyperlink r:id="rId9" w:history="1">
              <w:r w:rsidR="00B004CB" w:rsidRPr="007E1090">
                <w:rPr>
                  <w:rStyle w:val="Hyperlink"/>
                  <w:i/>
                  <w:iCs/>
                </w:rPr>
                <w:t>C23/59</w:t>
              </w:r>
            </w:hyperlink>
          </w:p>
        </w:tc>
      </w:tr>
    </w:tbl>
    <w:p w14:paraId="0340B6AC" w14:textId="77777777" w:rsidR="00E61BE8" w:rsidRDefault="00E61BE8" w:rsidP="00E61BE8">
      <w:pPr>
        <w:rPr>
          <w:rtl/>
          <w:lang w:bidi="ar-EG"/>
        </w:rPr>
      </w:pPr>
    </w:p>
    <w:p w14:paraId="64AC9316" w14:textId="77777777" w:rsidR="00F50E3F" w:rsidRDefault="00F50E3F" w:rsidP="00F87DB0">
      <w:pPr>
        <w:rPr>
          <w:rtl/>
          <w:lang w:bidi="ar-EG"/>
        </w:rPr>
      </w:pPr>
      <w:r>
        <w:rPr>
          <w:rtl/>
          <w:lang w:bidi="ar-EG"/>
        </w:rPr>
        <w:br w:type="page"/>
      </w:r>
    </w:p>
    <w:p w14:paraId="0D5F6C42" w14:textId="77777777" w:rsidR="00B004CB" w:rsidRPr="00EF4520" w:rsidRDefault="00B004CB" w:rsidP="00EF4520">
      <w:pPr>
        <w:pStyle w:val="Heading1"/>
      </w:pPr>
      <w:r w:rsidRPr="00EF4520">
        <w:lastRenderedPageBreak/>
        <w:t>1</w:t>
      </w:r>
      <w:r w:rsidRPr="00EF4520">
        <w:rPr>
          <w:rtl/>
        </w:rPr>
        <w:tab/>
      </w:r>
      <w:r w:rsidRPr="00EF4520">
        <w:rPr>
          <w:rFonts w:hint="cs"/>
          <w:rtl/>
        </w:rPr>
        <w:t>مقدمة</w:t>
      </w:r>
    </w:p>
    <w:p w14:paraId="20C8E331" w14:textId="0095DAAA" w:rsidR="00B004CB" w:rsidRPr="00EF4520" w:rsidRDefault="00B004CB" w:rsidP="00EF4520">
      <w:pPr>
        <w:rPr>
          <w:spacing w:val="4"/>
          <w:lang w:val="ar-SA" w:eastAsia="zh-TW" w:bidi="en-GB"/>
        </w:rPr>
      </w:pPr>
      <w:r w:rsidRPr="00EF4520">
        <w:rPr>
          <w:spacing w:val="4"/>
          <w:rtl/>
        </w:rPr>
        <w:t xml:space="preserve">اعتمد مجلس الاتحاد في </w:t>
      </w:r>
      <w:r w:rsidRPr="00EF4520">
        <w:rPr>
          <w:rFonts w:hint="cs"/>
          <w:spacing w:val="4"/>
          <w:rtl/>
        </w:rPr>
        <w:t>دورته</w:t>
      </w:r>
      <w:r w:rsidRPr="00EF4520">
        <w:rPr>
          <w:spacing w:val="4"/>
          <w:rtl/>
        </w:rPr>
        <w:t xml:space="preserve"> الأخير</w:t>
      </w:r>
      <w:r w:rsidRPr="00EF4520">
        <w:rPr>
          <w:rFonts w:hint="cs"/>
          <w:spacing w:val="4"/>
          <w:rtl/>
        </w:rPr>
        <w:t>ة</w:t>
      </w:r>
      <w:r w:rsidRPr="00EF4520">
        <w:rPr>
          <w:spacing w:val="4"/>
          <w:rtl/>
        </w:rPr>
        <w:t xml:space="preserve">، </w:t>
      </w:r>
      <w:r w:rsidRPr="00EF4520">
        <w:rPr>
          <w:rFonts w:hint="cs"/>
          <w:spacing w:val="4"/>
          <w:rtl/>
        </w:rPr>
        <w:t>التي عُقدت</w:t>
      </w:r>
      <w:r w:rsidRPr="00EF4520">
        <w:rPr>
          <w:spacing w:val="4"/>
          <w:rtl/>
        </w:rPr>
        <w:t xml:space="preserve"> في يوليو</w:t>
      </w:r>
      <w:r w:rsidRPr="00EF4520">
        <w:rPr>
          <w:rFonts w:hint="cs"/>
          <w:spacing w:val="4"/>
          <w:rtl/>
        </w:rPr>
        <w:t xml:space="preserve"> </w:t>
      </w:r>
      <w:r w:rsidRPr="00EF4520">
        <w:rPr>
          <w:spacing w:val="4"/>
          <w:rtl/>
        </w:rPr>
        <w:t xml:space="preserve">2023، </w:t>
      </w:r>
      <w:hyperlink r:id="rId10" w:history="1">
        <w:r w:rsidRPr="00EF4520">
          <w:rPr>
            <w:rStyle w:val="Hyperlink"/>
            <w:spacing w:val="4"/>
            <w:rtl/>
          </w:rPr>
          <w:t>القرار 1408</w:t>
        </w:r>
      </w:hyperlink>
      <w:r w:rsidRPr="00EF4520">
        <w:rPr>
          <w:spacing w:val="4"/>
          <w:rtl/>
        </w:rPr>
        <w:t xml:space="preserve"> بشأن "</w:t>
      </w:r>
      <w:r w:rsidRPr="00EF4520">
        <w:rPr>
          <w:b/>
          <w:bCs/>
          <w:spacing w:val="4"/>
          <w:rtl/>
        </w:rPr>
        <w:t>تقديم المساعدة والدعم إلى أوكرانيا لإعادة بناء قطاع اتصالاتها</w:t>
      </w:r>
      <w:r w:rsidRPr="00EF4520">
        <w:rPr>
          <w:spacing w:val="4"/>
          <w:rtl/>
        </w:rPr>
        <w:t>". ويوجز هذا التقرير الإجراءات التي لا</w:t>
      </w:r>
      <w:r w:rsidR="0003235B">
        <w:rPr>
          <w:rFonts w:hint="cs"/>
          <w:spacing w:val="4"/>
          <w:rtl/>
        </w:rPr>
        <w:t> </w:t>
      </w:r>
      <w:r w:rsidRPr="00EF4520">
        <w:rPr>
          <w:spacing w:val="4"/>
          <w:rtl/>
        </w:rPr>
        <w:t>تزال أمانة الاتحاد تتخذها لتنفيذ أحكام الفقرة "</w:t>
      </w:r>
      <w:r w:rsidRPr="00EF4520">
        <w:rPr>
          <w:i/>
          <w:iCs/>
          <w:spacing w:val="4"/>
          <w:rtl/>
        </w:rPr>
        <w:t>يقرر</w:t>
      </w:r>
      <w:r w:rsidRPr="00EF4520">
        <w:rPr>
          <w:spacing w:val="4"/>
          <w:rtl/>
        </w:rPr>
        <w:t xml:space="preserve">" من هذا القرار، </w:t>
      </w:r>
      <w:r w:rsidRPr="00EF4520">
        <w:rPr>
          <w:rFonts w:hint="cs"/>
          <w:spacing w:val="4"/>
          <w:rtl/>
        </w:rPr>
        <w:t xml:space="preserve">مع </w:t>
      </w:r>
      <w:r w:rsidRPr="00EF4520">
        <w:rPr>
          <w:spacing w:val="4"/>
          <w:rtl/>
        </w:rPr>
        <w:t xml:space="preserve">التركيز بشكل خاص على </w:t>
      </w:r>
      <w:r w:rsidRPr="00EF4520">
        <w:rPr>
          <w:rFonts w:hint="cs"/>
          <w:spacing w:val="4"/>
          <w:rtl/>
        </w:rPr>
        <w:t>الرصد</w:t>
      </w:r>
      <w:r w:rsidRPr="00EF4520">
        <w:rPr>
          <w:spacing w:val="4"/>
          <w:rtl/>
        </w:rPr>
        <w:t xml:space="preserve"> والإبلاغ، وآليات التنسيق، وتيسير المساعدة التقنية، وتعبئة الموارد</w:t>
      </w:r>
      <w:r w:rsidRPr="00EF4520">
        <w:rPr>
          <w:rFonts w:hint="cs"/>
          <w:spacing w:val="4"/>
          <w:rtl/>
        </w:rPr>
        <w:t xml:space="preserve"> وأنشطة بناء القدرات.</w:t>
      </w:r>
    </w:p>
    <w:p w14:paraId="55C07FA7" w14:textId="77777777" w:rsidR="00B004CB" w:rsidRPr="006C208B" w:rsidRDefault="00B004CB" w:rsidP="00B004CB">
      <w:pPr>
        <w:pStyle w:val="Heading1"/>
        <w:textDirection w:val="tbRlV"/>
      </w:pPr>
      <w:bookmarkStart w:id="2" w:name="_Toc521108113"/>
      <w:r w:rsidRPr="006C208B">
        <w:rPr>
          <w:rtl/>
        </w:rPr>
        <w:t>2</w:t>
      </w:r>
      <w:r w:rsidRPr="006C208B">
        <w:rPr>
          <w:rtl/>
        </w:rPr>
        <w:tab/>
        <w:t>الرصد والإبلاغ</w:t>
      </w:r>
      <w:bookmarkEnd w:id="2"/>
    </w:p>
    <w:p w14:paraId="54EE13FE" w14:textId="77777777" w:rsidR="00B004CB" w:rsidRPr="00B5177A" w:rsidRDefault="00B004CB" w:rsidP="00B004CB">
      <w:pPr>
        <w:textDirection w:val="tbRlV"/>
        <w:rPr>
          <w:lang w:val="ar-SA" w:eastAsia="zh-TW" w:bidi="en-GB"/>
        </w:rPr>
      </w:pPr>
      <w:r w:rsidRPr="00B5177A">
        <w:rPr>
          <w:rtl/>
        </w:rPr>
        <w:t xml:space="preserve">بهدف تيسير المساعدة التقنية الفعالة، أُقرَّت عملية رصد مستمر لمستوى المرونة الرقمية في أوكرانيا. </w:t>
      </w:r>
      <w:r>
        <w:rPr>
          <w:rFonts w:hint="cs"/>
          <w:rtl/>
        </w:rPr>
        <w:t xml:space="preserve">واستمر تحديث </w:t>
      </w:r>
      <w:r w:rsidRPr="00B5177A">
        <w:rPr>
          <w:rtl/>
        </w:rPr>
        <w:t xml:space="preserve">موقع إلكتروني خاص مكرَّس لتنفيذ القرار 1408، </w:t>
      </w:r>
      <w:r>
        <w:rPr>
          <w:rFonts w:hint="cs"/>
          <w:rtl/>
        </w:rPr>
        <w:t>وهو متاح</w:t>
      </w:r>
      <w:r w:rsidRPr="00B5177A">
        <w:rPr>
          <w:rtl/>
        </w:rPr>
        <w:t xml:space="preserve"> </w:t>
      </w:r>
      <w:hyperlink r:id="rId11" w:history="1">
        <w:r w:rsidRPr="006C208B">
          <w:rPr>
            <w:rStyle w:val="Hyperlink"/>
            <w:rtl/>
          </w:rPr>
          <w:t>هنا</w:t>
        </w:r>
      </w:hyperlink>
      <w:r w:rsidRPr="00816F23">
        <w:rPr>
          <w:rtl/>
        </w:rPr>
        <w:t>.</w:t>
      </w:r>
    </w:p>
    <w:p w14:paraId="4C81C772" w14:textId="3A88CF49" w:rsidR="00B004CB" w:rsidRPr="00A976AE" w:rsidRDefault="00B004CB" w:rsidP="00EF4520">
      <w:pPr>
        <w:rPr>
          <w:rtl/>
          <w:lang w:val="en-GB" w:eastAsia="zh-TW"/>
        </w:rPr>
      </w:pPr>
      <w:r w:rsidRPr="00286DB7">
        <w:rPr>
          <w:rtl/>
        </w:rPr>
        <w:t xml:space="preserve">واصل الاتحاد، بصفته وكالة الأمم المتحدة </w:t>
      </w:r>
      <w:r w:rsidR="00EF4520" w:rsidRPr="00286DB7">
        <w:t>(UN)</w:t>
      </w:r>
      <w:r w:rsidR="00EF4520" w:rsidRPr="00286DB7">
        <w:rPr>
          <w:rFonts w:hint="cs"/>
          <w:rtl/>
          <w:lang w:bidi="ar-EG"/>
        </w:rPr>
        <w:t xml:space="preserve"> </w:t>
      </w:r>
      <w:r w:rsidRPr="00286DB7">
        <w:rPr>
          <w:rtl/>
        </w:rPr>
        <w:t xml:space="preserve">المعنية </w:t>
      </w:r>
      <w:r w:rsidRPr="00286DB7">
        <w:rPr>
          <w:rFonts w:hint="cs"/>
          <w:rtl/>
        </w:rPr>
        <w:t>بالتكنولوجيا الرقمية</w:t>
      </w:r>
      <w:r w:rsidRPr="00286DB7">
        <w:rPr>
          <w:rtl/>
        </w:rPr>
        <w:t>، المساهمة في الممارسة المنتظمة</w:t>
      </w:r>
      <w:r w:rsidRPr="00286DB7">
        <w:rPr>
          <w:b/>
          <w:bCs/>
          <w:rtl/>
        </w:rPr>
        <w:t xml:space="preserve"> لتقرير </w:t>
      </w:r>
      <w:r w:rsidRPr="00286DB7">
        <w:rPr>
          <w:rFonts w:hint="cs"/>
          <w:b/>
          <w:bCs/>
          <w:rtl/>
        </w:rPr>
        <w:t>التقييم السريع للأضرار والاحتياجات</w:t>
      </w:r>
      <w:r w:rsidRPr="00286DB7">
        <w:rPr>
          <w:b/>
          <w:bCs/>
          <w:rtl/>
        </w:rPr>
        <w:t xml:space="preserve"> </w:t>
      </w:r>
      <w:r w:rsidRPr="00286DB7">
        <w:rPr>
          <w:b/>
          <w:bCs/>
        </w:rPr>
        <w:t>RDNA)</w:t>
      </w:r>
      <w:r w:rsidRPr="00286DB7">
        <w:rPr>
          <w:b/>
          <w:bCs/>
          <w:rtl/>
        </w:rPr>
        <w:t>)</w:t>
      </w:r>
      <w:r w:rsidRPr="00286DB7">
        <w:rPr>
          <w:rtl/>
        </w:rPr>
        <w:t xml:space="preserve"> الذي تيسره المفوضية الأوروبية والبنك الدولي والأمم المتحدة. وركزت مساهمة الاتحاد أساساً على الفصل المتعلق "بالاتصالات </w:t>
      </w:r>
      <w:r w:rsidRPr="00286DB7">
        <w:rPr>
          <w:rFonts w:hint="cs"/>
          <w:rtl/>
        </w:rPr>
        <w:t>والتكنولوجيا الرقمية</w:t>
      </w:r>
      <w:r w:rsidRPr="00286DB7">
        <w:rPr>
          <w:rtl/>
        </w:rPr>
        <w:t xml:space="preserve">". وصدرت الطبعة الثالثة من </w:t>
      </w:r>
      <w:r w:rsidRPr="00286DB7">
        <w:rPr>
          <w:rFonts w:hint="cs"/>
          <w:rtl/>
        </w:rPr>
        <w:t>التقرير</w:t>
      </w:r>
      <w:r w:rsidRPr="00286DB7">
        <w:rPr>
          <w:rtl/>
        </w:rPr>
        <w:t xml:space="preserve"> </w:t>
      </w:r>
      <w:r w:rsidRPr="00286DB7">
        <w:t>RDNA</w:t>
      </w:r>
      <w:r w:rsidRPr="0069229A">
        <w:rPr>
          <w:rStyle w:val="FootnoteReference"/>
          <w:rtl/>
        </w:rPr>
        <w:footnoteReference w:id="1"/>
      </w:r>
      <w:r w:rsidRPr="00286DB7">
        <w:rPr>
          <w:rFonts w:hint="cs"/>
          <w:rtl/>
        </w:rPr>
        <w:t xml:space="preserve"> </w:t>
      </w:r>
      <w:r w:rsidRPr="00286DB7">
        <w:rPr>
          <w:rtl/>
        </w:rPr>
        <w:t>في 15 فبراير</w:t>
      </w:r>
      <w:r w:rsidR="000F0FFC">
        <w:rPr>
          <w:rFonts w:hint="cs"/>
          <w:rtl/>
        </w:rPr>
        <w:t> </w:t>
      </w:r>
      <w:r w:rsidRPr="00286DB7">
        <w:rPr>
          <w:rtl/>
        </w:rPr>
        <w:t>2024 وهي بمثابة وثيقة توجيهية لمجتمع المانحين الدوليين للمساعدة في عملية إعادة إعمار أوكرانيا.</w:t>
      </w:r>
    </w:p>
    <w:p w14:paraId="29CD47E4" w14:textId="77777777" w:rsidR="00B004CB" w:rsidRPr="005A2880" w:rsidRDefault="00B004CB" w:rsidP="00EF4520">
      <w:pPr>
        <w:pStyle w:val="enumlev1"/>
        <w:rPr>
          <w:lang w:val="en-GB" w:eastAsia="zh-TW" w:bidi="en-GB"/>
        </w:rPr>
      </w:pPr>
      <w:r>
        <w:rPr>
          <w:rtl/>
        </w:rPr>
        <w:t>‒</w:t>
      </w:r>
      <w:r>
        <w:rPr>
          <w:rtl/>
        </w:rPr>
        <w:tab/>
      </w:r>
      <w:r w:rsidRPr="00B5177A">
        <w:rPr>
          <w:rtl/>
        </w:rPr>
        <w:t xml:space="preserve">يقدر الأثر الإجمالي للحرب على قطاع الاتصالات </w:t>
      </w:r>
      <w:r>
        <w:rPr>
          <w:rFonts w:hint="cs"/>
          <w:rtl/>
        </w:rPr>
        <w:t>والقطاع الرقمي</w:t>
      </w:r>
      <w:r w:rsidRPr="00B5177A">
        <w:rPr>
          <w:rtl/>
        </w:rPr>
        <w:t xml:space="preserve"> حتى 31 ديسمبر 2023 بنحو 2,1 مليار دولار أمريكي </w:t>
      </w:r>
      <w:r>
        <w:rPr>
          <w:rFonts w:hint="cs"/>
          <w:rtl/>
        </w:rPr>
        <w:t>من حيث الأضرار</w:t>
      </w:r>
      <w:r w:rsidRPr="00B5177A">
        <w:rPr>
          <w:rtl/>
        </w:rPr>
        <w:t xml:space="preserve">، و2,27 مليار دولار أمريكي </w:t>
      </w:r>
      <w:r>
        <w:rPr>
          <w:rFonts w:hint="cs"/>
          <w:rtl/>
        </w:rPr>
        <w:t>من حيث</w:t>
      </w:r>
      <w:r w:rsidRPr="00B5177A">
        <w:rPr>
          <w:rtl/>
        </w:rPr>
        <w:t xml:space="preserve"> الخسائر، و4,67 مليار دولار أمريكي </w:t>
      </w:r>
      <w:r>
        <w:rPr>
          <w:rFonts w:hint="cs"/>
          <w:rtl/>
        </w:rPr>
        <w:t>من</w:t>
      </w:r>
      <w:r w:rsidRPr="00B5177A">
        <w:rPr>
          <w:rtl/>
        </w:rPr>
        <w:t xml:space="preserve"> </w:t>
      </w:r>
      <w:r>
        <w:rPr>
          <w:rFonts w:hint="cs"/>
          <w:rtl/>
        </w:rPr>
        <w:t xml:space="preserve">حيث </w:t>
      </w:r>
      <w:r w:rsidRPr="00B5177A">
        <w:rPr>
          <w:rtl/>
        </w:rPr>
        <w:t>الاحتياجات</w:t>
      </w:r>
      <w:r>
        <w:rPr>
          <w:rFonts w:hint="cs"/>
          <w:rtl/>
        </w:rPr>
        <w:t>.</w:t>
      </w:r>
    </w:p>
    <w:p w14:paraId="434BC9BF" w14:textId="77777777" w:rsidR="00B004CB" w:rsidRPr="002D29BC" w:rsidRDefault="00B004CB" w:rsidP="00EF4520">
      <w:pPr>
        <w:pStyle w:val="enumlev1"/>
        <w:rPr>
          <w:spacing w:val="-2"/>
          <w:lang w:val="ar-SA" w:eastAsia="zh-TW" w:bidi="en-GB"/>
        </w:rPr>
      </w:pPr>
      <w:r w:rsidRPr="002D29BC">
        <w:rPr>
          <w:spacing w:val="-2"/>
          <w:rtl/>
        </w:rPr>
        <w:t>‒</w:t>
      </w:r>
      <w:r w:rsidRPr="002D29BC">
        <w:rPr>
          <w:spacing w:val="-2"/>
          <w:rtl/>
        </w:rPr>
        <w:tab/>
      </w:r>
      <w:r w:rsidRPr="002D29BC">
        <w:rPr>
          <w:b/>
          <w:bCs/>
          <w:spacing w:val="-2"/>
          <w:rtl/>
        </w:rPr>
        <w:t>وتقدر التكلفة الإجمالية للأضرار التي لحقت بالقطاع بنحو 2,1 مليار دولار أمريكي.</w:t>
      </w:r>
      <w:r w:rsidRPr="002D29BC">
        <w:rPr>
          <w:spacing w:val="-2"/>
          <w:rtl/>
        </w:rPr>
        <w:t xml:space="preserve"> ويشمل هذا الرقم الأضرار التي بلغت 950 مليون دولار أمريكي بين مشغلي النطاق العريض الثابت، و899 مليون دولار أمريكي بين مشغلي الاتصالات المتنقلة، و192 مليون دولار أمريكي بين مقدمي الخدمات البريدية، و51 مليون دولار أمريكي في قطاع الإذاعة. </w:t>
      </w:r>
    </w:p>
    <w:p w14:paraId="4D878F02" w14:textId="77777777" w:rsidR="00B004CB" w:rsidRPr="00B5177A" w:rsidRDefault="00B004CB" w:rsidP="00EF4520">
      <w:pPr>
        <w:pStyle w:val="enumlev1"/>
        <w:rPr>
          <w:lang w:val="ar-SA" w:eastAsia="zh-TW" w:bidi="en-GB"/>
        </w:rPr>
      </w:pPr>
      <w:r>
        <w:rPr>
          <w:rtl/>
        </w:rPr>
        <w:t>‒</w:t>
      </w:r>
      <w:r>
        <w:rPr>
          <w:rtl/>
        </w:rPr>
        <w:tab/>
      </w:r>
      <w:r w:rsidRPr="003A38EF">
        <w:rPr>
          <w:b/>
          <w:bCs/>
          <w:rtl/>
        </w:rPr>
        <w:t>وتقدر التكلفة الإجمالية للأضرار التي لحقت بالقطاع بنحو 2,27 مليار دولار أمريكي</w:t>
      </w:r>
      <w:r w:rsidRPr="00B5177A">
        <w:rPr>
          <w:rtl/>
        </w:rPr>
        <w:t>. ويشمل هذا الرقم خسائر الإيرادات الناجمة عن انقطاع الخدمات البريدية وخدمات الإنترنت المتنقلة والثابتة، فضلا</w:t>
      </w:r>
      <w:r>
        <w:rPr>
          <w:rFonts w:hint="cs"/>
          <w:rtl/>
        </w:rPr>
        <w:t>ً</w:t>
      </w:r>
      <w:r w:rsidRPr="00B5177A">
        <w:rPr>
          <w:rtl/>
        </w:rPr>
        <w:t xml:space="preserve"> عن زيادة تكاليف مولدات الكهرباء الاحتياطية اللازمة لتوفير خدمة الإنترنت دون انقطاع.</w:t>
      </w:r>
    </w:p>
    <w:p w14:paraId="64862BC5" w14:textId="77777777" w:rsidR="00B004CB" w:rsidRPr="00A976AE" w:rsidRDefault="00B004CB" w:rsidP="00EF4520">
      <w:pPr>
        <w:pStyle w:val="enumlev1"/>
        <w:rPr>
          <w:lang w:val="en-GB" w:eastAsia="zh-TW" w:bidi="en-GB"/>
        </w:rPr>
      </w:pPr>
      <w:r>
        <w:rPr>
          <w:rtl/>
        </w:rPr>
        <w:t>‒</w:t>
      </w:r>
      <w:r>
        <w:rPr>
          <w:rtl/>
        </w:rPr>
        <w:tab/>
      </w:r>
      <w:r>
        <w:rPr>
          <w:rFonts w:hint="cs"/>
          <w:rtl/>
        </w:rPr>
        <w:t>ويقدر إجمالي احتياجات التعافي وإعادة الإعمار</w:t>
      </w:r>
      <w:r w:rsidRPr="00B5177A">
        <w:rPr>
          <w:rtl/>
        </w:rPr>
        <w:t xml:space="preserve"> في القطاع بنحو </w:t>
      </w:r>
      <w:r w:rsidRPr="00B5177A">
        <w:rPr>
          <w:b/>
          <w:bCs/>
          <w:rtl/>
        </w:rPr>
        <w:t>4,67 مليار دولار أمريكي على مدى 10 سنوات</w:t>
      </w:r>
      <w:r w:rsidRPr="00B5177A">
        <w:rPr>
          <w:rtl/>
        </w:rPr>
        <w:t>.</w:t>
      </w:r>
    </w:p>
    <w:p w14:paraId="0A4A21ED" w14:textId="12D539FF" w:rsidR="00B004CB" w:rsidRPr="002A6323" w:rsidRDefault="00B004CB" w:rsidP="00B004CB">
      <w:pPr>
        <w:textDirection w:val="tbRlV"/>
        <w:rPr>
          <w:spacing w:val="-2"/>
          <w:lang w:val="ar-SA" w:eastAsia="zh-TW" w:bidi="en-GB"/>
        </w:rPr>
      </w:pPr>
      <w:r w:rsidRPr="002A6323">
        <w:rPr>
          <w:spacing w:val="-2"/>
          <w:rtl/>
        </w:rPr>
        <w:t>ويواصل الاتحاد رصد حالة قطاع تكنولوجيا المعلومات والاتصالات وقطاع الإذاعة. ولأغراض المساعدة التقنية في مجال الإذاعة، يضع الاتحاد تقارير تقنية بشأن "</w:t>
      </w:r>
      <w:r w:rsidRPr="002A6323">
        <w:rPr>
          <w:b/>
          <w:bCs/>
          <w:spacing w:val="-2"/>
          <w:rtl/>
        </w:rPr>
        <w:t>التقييم الأولي لتكاليف إعادة تأهيل المحطات الإذاعية</w:t>
      </w:r>
      <w:r w:rsidRPr="002A6323">
        <w:rPr>
          <w:spacing w:val="-2"/>
          <w:rtl/>
        </w:rPr>
        <w:t xml:space="preserve">"، </w:t>
      </w:r>
      <w:r w:rsidRPr="002A6323">
        <w:rPr>
          <w:rFonts w:hint="cs"/>
          <w:spacing w:val="-2"/>
          <w:rtl/>
        </w:rPr>
        <w:t>باعتباره</w:t>
      </w:r>
      <w:r w:rsidRPr="002A6323">
        <w:rPr>
          <w:spacing w:val="-2"/>
          <w:rtl/>
        </w:rPr>
        <w:t xml:space="preserve"> أداة للتواصل مع مجتمع المانحين الدوليين. وتبلغ</w:t>
      </w:r>
      <w:r w:rsidRPr="002A6323">
        <w:rPr>
          <w:rFonts w:hint="cs"/>
          <w:spacing w:val="-2"/>
          <w:rtl/>
        </w:rPr>
        <w:t xml:space="preserve"> تكلفة</w:t>
      </w:r>
      <w:r w:rsidRPr="002A6323">
        <w:rPr>
          <w:spacing w:val="-2"/>
          <w:rtl/>
        </w:rPr>
        <w:t xml:space="preserve"> إعادة تأهيل المحطات الإذاعية التي تم التحقيق فيها </w:t>
      </w:r>
      <w:r w:rsidRPr="002A6323">
        <w:rPr>
          <w:rFonts w:hint="cs"/>
          <w:spacing w:val="-2"/>
          <w:rtl/>
        </w:rPr>
        <w:t xml:space="preserve">أولاً </w:t>
      </w:r>
      <w:r w:rsidRPr="002A6323">
        <w:rPr>
          <w:spacing w:val="-2"/>
          <w:rtl/>
        </w:rPr>
        <w:t xml:space="preserve">حوالي </w:t>
      </w:r>
      <w:r w:rsidRPr="002A6323">
        <w:rPr>
          <w:b/>
          <w:bCs/>
          <w:spacing w:val="-2"/>
          <w:rtl/>
        </w:rPr>
        <w:t xml:space="preserve">3,7 مليون دولار أمريكي، </w:t>
      </w:r>
      <w:r w:rsidRPr="002A6323">
        <w:rPr>
          <w:rFonts w:hint="cs"/>
          <w:b/>
          <w:bCs/>
          <w:spacing w:val="-2"/>
          <w:rtl/>
        </w:rPr>
        <w:t>مما</w:t>
      </w:r>
      <w:r w:rsidR="002A6323" w:rsidRPr="002A6323">
        <w:rPr>
          <w:rFonts w:hint="eastAsia"/>
          <w:b/>
          <w:bCs/>
          <w:spacing w:val="-2"/>
          <w:rtl/>
        </w:rPr>
        <w:t> </w:t>
      </w:r>
      <w:r w:rsidRPr="002A6323">
        <w:rPr>
          <w:rFonts w:hint="cs"/>
          <w:b/>
          <w:bCs/>
          <w:spacing w:val="-2"/>
          <w:rtl/>
        </w:rPr>
        <w:t>يسمح</w:t>
      </w:r>
      <w:r w:rsidRPr="002A6323">
        <w:rPr>
          <w:b/>
          <w:bCs/>
          <w:spacing w:val="-2"/>
          <w:rtl/>
        </w:rPr>
        <w:t xml:space="preserve"> </w:t>
      </w:r>
      <w:r w:rsidRPr="002A6323">
        <w:rPr>
          <w:rFonts w:hint="cs"/>
          <w:b/>
          <w:bCs/>
          <w:spacing w:val="-2"/>
          <w:rtl/>
        </w:rPr>
        <w:t>ببدء</w:t>
      </w:r>
      <w:r w:rsidRPr="002A6323">
        <w:rPr>
          <w:b/>
          <w:bCs/>
          <w:spacing w:val="-2"/>
          <w:rtl/>
        </w:rPr>
        <w:t xml:space="preserve"> توفير الإشارة الإذاعية الكاملة لأكثر من 5 ملايين مواطن</w:t>
      </w:r>
      <w:r w:rsidRPr="002A6323">
        <w:rPr>
          <w:spacing w:val="-2"/>
          <w:rtl/>
        </w:rPr>
        <w:t xml:space="preserve">. </w:t>
      </w:r>
      <w:r w:rsidRPr="002A6323">
        <w:rPr>
          <w:rFonts w:hint="cs"/>
          <w:spacing w:val="-2"/>
          <w:rtl/>
        </w:rPr>
        <w:t>وستتراوح تكلفة</w:t>
      </w:r>
      <w:r w:rsidRPr="002A6323">
        <w:rPr>
          <w:spacing w:val="-2"/>
          <w:rtl/>
        </w:rPr>
        <w:t xml:space="preserve"> إعادة بناء هذه المحطات بين </w:t>
      </w:r>
      <w:r w:rsidRPr="002A6323">
        <w:rPr>
          <w:b/>
          <w:bCs/>
          <w:spacing w:val="-2"/>
          <w:rtl/>
        </w:rPr>
        <w:t>5,5</w:t>
      </w:r>
      <w:r w:rsidR="002A6323" w:rsidRPr="002A6323">
        <w:rPr>
          <w:rFonts w:hint="cs"/>
          <w:b/>
          <w:bCs/>
          <w:spacing w:val="-2"/>
          <w:rtl/>
        </w:rPr>
        <w:t> </w:t>
      </w:r>
      <w:r w:rsidRPr="002A6323">
        <w:rPr>
          <w:b/>
          <w:bCs/>
          <w:spacing w:val="-2"/>
          <w:rtl/>
        </w:rPr>
        <w:t>مليون دولار أمريكي</w:t>
      </w:r>
      <w:r w:rsidRPr="002A6323">
        <w:rPr>
          <w:spacing w:val="-2"/>
          <w:rtl/>
        </w:rPr>
        <w:t xml:space="preserve"> و</w:t>
      </w:r>
      <w:r w:rsidRPr="002A6323">
        <w:rPr>
          <w:b/>
          <w:bCs/>
          <w:spacing w:val="-2"/>
          <w:rtl/>
        </w:rPr>
        <w:t>450 مليون دولار أمريكي</w:t>
      </w:r>
      <w:r w:rsidRPr="002A6323">
        <w:rPr>
          <w:spacing w:val="-2"/>
          <w:rtl/>
        </w:rPr>
        <w:t xml:space="preserve"> لكل محطة وسي</w:t>
      </w:r>
      <w:r w:rsidRPr="002A6323">
        <w:rPr>
          <w:rFonts w:hint="cs"/>
          <w:spacing w:val="-2"/>
          <w:rtl/>
        </w:rPr>
        <w:t>ُ</w:t>
      </w:r>
      <w:r w:rsidRPr="002A6323">
        <w:rPr>
          <w:spacing w:val="-2"/>
          <w:rtl/>
        </w:rPr>
        <w:t>نظر فيها بعد انتهاء الحرب.</w:t>
      </w:r>
    </w:p>
    <w:p w14:paraId="59043027" w14:textId="77777777" w:rsidR="00B004CB" w:rsidRPr="0053259E" w:rsidRDefault="00B004CB" w:rsidP="00B004CB">
      <w:pPr>
        <w:pStyle w:val="Heading1"/>
        <w:textDirection w:val="tbRlV"/>
      </w:pPr>
      <w:bookmarkStart w:id="3" w:name="_Toc1291141038"/>
      <w:r w:rsidRPr="0053259E">
        <w:rPr>
          <w:rtl/>
        </w:rPr>
        <w:t>3</w:t>
      </w:r>
      <w:r w:rsidRPr="0053259E">
        <w:rPr>
          <w:rtl/>
        </w:rPr>
        <w:tab/>
        <w:t>آليات التنسيق لضمان فعالية التنفيذ</w:t>
      </w:r>
      <w:bookmarkEnd w:id="3"/>
    </w:p>
    <w:p w14:paraId="10B824B5" w14:textId="77777777" w:rsidR="00B004CB" w:rsidRPr="00B5177A" w:rsidRDefault="00B004CB" w:rsidP="00B004CB">
      <w:pPr>
        <w:keepNext/>
        <w:keepLines/>
        <w:textDirection w:val="tbRlV"/>
        <w:rPr>
          <w:lang w:val="ar-SA" w:eastAsia="zh-TW" w:bidi="en-GB"/>
        </w:rPr>
      </w:pPr>
      <w:r w:rsidRPr="00B5177A">
        <w:rPr>
          <w:rtl/>
        </w:rPr>
        <w:t xml:space="preserve">على مستوى الاتحاد، يواصل </w:t>
      </w:r>
      <w:r w:rsidRPr="00B5177A">
        <w:rPr>
          <w:b/>
          <w:bCs/>
          <w:rtl/>
        </w:rPr>
        <w:t>فريق مهام خاص معني بالقرار 1408</w:t>
      </w:r>
      <w:r w:rsidRPr="00B5177A">
        <w:rPr>
          <w:rtl/>
        </w:rPr>
        <w:t xml:space="preserve"> برئاسة نائب الأمين</w:t>
      </w:r>
      <w:r>
        <w:rPr>
          <w:rFonts w:hint="cs"/>
          <w:rtl/>
        </w:rPr>
        <w:t>ة</w:t>
      </w:r>
      <w:r w:rsidRPr="00B5177A">
        <w:rPr>
          <w:rtl/>
        </w:rPr>
        <w:t xml:space="preserve"> العام</w:t>
      </w:r>
      <w:r>
        <w:rPr>
          <w:rFonts w:hint="cs"/>
          <w:rtl/>
        </w:rPr>
        <w:t>ة</w:t>
      </w:r>
      <w:r w:rsidRPr="00B5177A">
        <w:rPr>
          <w:rtl/>
        </w:rPr>
        <w:t xml:space="preserve"> ويخدمه مكتب الاتحاد لأوروبا، توفير منصة للاستجابة المشتركة بين القطاعات لجميع القضايا المتعلقة بتنفيذ هذا القرار.</w:t>
      </w:r>
    </w:p>
    <w:p w14:paraId="0364F3BF" w14:textId="77777777" w:rsidR="00B004CB" w:rsidRPr="00B5177A" w:rsidRDefault="00B004CB" w:rsidP="00B004CB">
      <w:pPr>
        <w:textDirection w:val="tbRlV"/>
        <w:rPr>
          <w:lang w:val="ar-SA" w:eastAsia="zh-TW" w:bidi="en-GB"/>
        </w:rPr>
      </w:pPr>
      <w:r>
        <w:rPr>
          <w:rFonts w:hint="cs"/>
          <w:rtl/>
          <w:lang w:val="en-GB"/>
        </w:rPr>
        <w:t>و</w:t>
      </w:r>
      <w:r w:rsidRPr="00B5177A">
        <w:rPr>
          <w:rtl/>
        </w:rPr>
        <w:t>بهدف ضمان تنسيق النهج الذي تنتهجه الأنشطة التي ينفذها الاتحاد استجابةً للقرار 1408، اتُّخذت مجموعة من الإجراءات على النحو التالي:</w:t>
      </w:r>
    </w:p>
    <w:p w14:paraId="52E79E82" w14:textId="5BE7A3AC" w:rsidR="00B004CB" w:rsidRPr="00B5177A" w:rsidRDefault="00B004CB" w:rsidP="002D29BC">
      <w:pPr>
        <w:pStyle w:val="enumlev1"/>
        <w:rPr>
          <w:lang w:val="ar-SA" w:eastAsia="zh-TW" w:bidi="en-GB"/>
        </w:rPr>
      </w:pPr>
      <w:r>
        <w:sym w:font="Symbol" w:char="F0B7"/>
      </w:r>
      <w:r>
        <w:rPr>
          <w:rtl/>
        </w:rPr>
        <w:tab/>
      </w:r>
      <w:r w:rsidRPr="00B5177A">
        <w:rPr>
          <w:rtl/>
        </w:rPr>
        <w:t xml:space="preserve">منذ سبتمبر 2023، تعمل </w:t>
      </w:r>
      <w:r w:rsidRPr="00B5177A">
        <w:rPr>
          <w:b/>
          <w:bCs/>
          <w:rtl/>
        </w:rPr>
        <w:t>وزارة التحول الرقمي في أوكرانيا</w:t>
      </w:r>
      <w:r w:rsidRPr="00B5177A">
        <w:rPr>
          <w:rtl/>
        </w:rPr>
        <w:t xml:space="preserve"> </w:t>
      </w:r>
      <w:r>
        <w:rPr>
          <w:rFonts w:hint="cs"/>
          <w:rtl/>
        </w:rPr>
        <w:t>بوصفها إدارة ال</w:t>
      </w:r>
      <w:r w:rsidRPr="00B5177A">
        <w:rPr>
          <w:rtl/>
        </w:rPr>
        <w:t xml:space="preserve">دولة </w:t>
      </w:r>
      <w:r>
        <w:rPr>
          <w:rFonts w:hint="cs"/>
          <w:rtl/>
        </w:rPr>
        <w:t>ال</w:t>
      </w:r>
      <w:r w:rsidRPr="00B5177A">
        <w:rPr>
          <w:rtl/>
        </w:rPr>
        <w:t xml:space="preserve">عضو في الاتحاد. </w:t>
      </w:r>
      <w:r>
        <w:rPr>
          <w:rFonts w:hint="cs"/>
          <w:rtl/>
        </w:rPr>
        <w:t>و</w:t>
      </w:r>
      <w:r w:rsidRPr="00B5177A">
        <w:rPr>
          <w:rtl/>
        </w:rPr>
        <w:t>يجري الاتحاد نداءات تنسيق منتظمة مع جهة الاتصال الرسمية.</w:t>
      </w:r>
    </w:p>
    <w:p w14:paraId="1AB8BCF1" w14:textId="607EE64F" w:rsidR="00B004CB" w:rsidRPr="00B5177A" w:rsidRDefault="00B004CB" w:rsidP="002D29BC">
      <w:pPr>
        <w:pStyle w:val="enumlev1"/>
        <w:rPr>
          <w:lang w:val="ar-SA" w:eastAsia="zh-TW" w:bidi="en-GB"/>
        </w:rPr>
      </w:pPr>
      <w:r>
        <w:sym w:font="Symbol" w:char="F0B7"/>
      </w:r>
      <w:r>
        <w:rPr>
          <w:rtl/>
        </w:rPr>
        <w:tab/>
      </w:r>
      <w:r w:rsidRPr="00B5177A">
        <w:rPr>
          <w:rtl/>
        </w:rPr>
        <w:t>عي</w:t>
      </w:r>
      <w:r>
        <w:rPr>
          <w:rFonts w:hint="cs"/>
          <w:rtl/>
        </w:rPr>
        <w:t>ّ</w:t>
      </w:r>
      <w:r w:rsidRPr="00B5177A">
        <w:rPr>
          <w:rtl/>
        </w:rPr>
        <w:t xml:space="preserve">نت </w:t>
      </w:r>
      <w:r>
        <w:rPr>
          <w:rFonts w:hint="cs"/>
          <w:rtl/>
        </w:rPr>
        <w:t xml:space="preserve">الوزارة </w:t>
      </w:r>
      <w:r w:rsidRPr="002B1446">
        <w:rPr>
          <w:b/>
          <w:bCs/>
          <w:color w:val="000000"/>
          <w:rtl/>
        </w:rPr>
        <w:t>دائرة الدولة للاتصالات الخاصة وحماية المعلومات</w:t>
      </w:r>
      <w:r w:rsidRPr="008C1BF8">
        <w:rPr>
          <w:b/>
          <w:bCs/>
          <w:color w:val="000000"/>
          <w:rtl/>
        </w:rPr>
        <w:t xml:space="preserve"> </w:t>
      </w:r>
      <w:r w:rsidRPr="00B5177A">
        <w:rPr>
          <w:b/>
          <w:bCs/>
        </w:rPr>
        <w:t>(SSSICP</w:t>
      </w:r>
      <w:r>
        <w:rPr>
          <w:b/>
          <w:bCs/>
        </w:rPr>
        <w:t>)</w:t>
      </w:r>
      <w:r w:rsidRPr="00B5177A">
        <w:rPr>
          <w:rtl/>
        </w:rPr>
        <w:t xml:space="preserve"> لمواصلة تغطية المسائل المتعلقة بتقييم البنية التحتية الإذاعية. وشكل الاتحاد، </w:t>
      </w:r>
      <w:r>
        <w:rPr>
          <w:rFonts w:hint="cs"/>
          <w:rtl/>
        </w:rPr>
        <w:t>بالتعاون</w:t>
      </w:r>
      <w:r w:rsidRPr="00B5177A">
        <w:rPr>
          <w:rtl/>
        </w:rPr>
        <w:t xml:space="preserve"> مع</w:t>
      </w:r>
      <w:r>
        <w:rPr>
          <w:rFonts w:hint="cs"/>
          <w:rtl/>
        </w:rPr>
        <w:t xml:space="preserve"> دائرة الدولة للاتصالات الخاصة وحماية المعلومات</w:t>
      </w:r>
      <w:r w:rsidRPr="00B5177A">
        <w:rPr>
          <w:rtl/>
        </w:rPr>
        <w:t xml:space="preserve"> </w:t>
      </w:r>
      <w:r w:rsidRPr="00B5177A">
        <w:rPr>
          <w:b/>
          <w:bCs/>
          <w:rtl/>
        </w:rPr>
        <w:t>و</w:t>
      </w:r>
      <w:r>
        <w:rPr>
          <w:rFonts w:hint="cs"/>
          <w:b/>
          <w:bCs/>
          <w:rtl/>
        </w:rPr>
        <w:t xml:space="preserve">هيئة </w:t>
      </w:r>
      <w:r w:rsidRPr="00B5177A">
        <w:rPr>
          <w:b/>
          <w:bCs/>
          <w:rtl/>
        </w:rPr>
        <w:t xml:space="preserve">الإذاعة والاتصالات الراديوية </w:t>
      </w:r>
      <w:r>
        <w:rPr>
          <w:rFonts w:hint="cs"/>
          <w:b/>
          <w:bCs/>
          <w:rtl/>
        </w:rPr>
        <w:t>و</w:t>
      </w:r>
      <w:r w:rsidRPr="00B5177A">
        <w:rPr>
          <w:b/>
          <w:bCs/>
          <w:rtl/>
        </w:rPr>
        <w:t>التلفزيون</w:t>
      </w:r>
      <w:r w:rsidRPr="00B5177A">
        <w:rPr>
          <w:rtl/>
        </w:rPr>
        <w:t xml:space="preserve">، </w:t>
      </w:r>
      <w:r>
        <w:rPr>
          <w:rFonts w:hint="cs"/>
          <w:rtl/>
        </w:rPr>
        <w:t>الفريق المكلف</w:t>
      </w:r>
      <w:r w:rsidRPr="00B5177A">
        <w:rPr>
          <w:rtl/>
        </w:rPr>
        <w:t xml:space="preserve"> بإعداد "التقييم الأولي لتكاليف إعادة تأهيل المحطات الإذاعية الخمس".</w:t>
      </w:r>
    </w:p>
    <w:p w14:paraId="3C35299D" w14:textId="77777777" w:rsidR="00B004CB" w:rsidRPr="00B5177A" w:rsidRDefault="00B004CB" w:rsidP="002D29BC">
      <w:pPr>
        <w:pStyle w:val="enumlev1"/>
        <w:rPr>
          <w:lang w:val="ar-SA" w:eastAsia="zh-TW" w:bidi="en-GB"/>
        </w:rPr>
      </w:pPr>
      <w:r>
        <w:lastRenderedPageBreak/>
        <w:sym w:font="Symbol" w:char="F0B7"/>
      </w:r>
      <w:r>
        <w:rPr>
          <w:rtl/>
        </w:rPr>
        <w:tab/>
      </w:r>
      <w:r>
        <w:rPr>
          <w:rFonts w:hint="cs"/>
          <w:rtl/>
        </w:rPr>
        <w:t>و</w:t>
      </w:r>
      <w:r w:rsidRPr="00B5177A">
        <w:rPr>
          <w:rtl/>
        </w:rPr>
        <w:t xml:space="preserve">يجري </w:t>
      </w:r>
      <w:r>
        <w:rPr>
          <w:rFonts w:hint="cs"/>
          <w:rtl/>
        </w:rPr>
        <w:t xml:space="preserve">أيضاً </w:t>
      </w:r>
      <w:r w:rsidRPr="00B5177A">
        <w:rPr>
          <w:rtl/>
        </w:rPr>
        <w:t>تنسيق منتظم مع</w:t>
      </w:r>
      <w:r w:rsidRPr="00B5177A">
        <w:rPr>
          <w:b/>
          <w:bCs/>
          <w:rtl/>
        </w:rPr>
        <w:t xml:space="preserve"> اللجنة الوطنية </w:t>
      </w:r>
      <w:r>
        <w:rPr>
          <w:rFonts w:hint="cs"/>
          <w:b/>
          <w:bCs/>
          <w:rtl/>
        </w:rPr>
        <w:t>للتنظيم الحكومي</w:t>
      </w:r>
      <w:r w:rsidRPr="00B5177A">
        <w:rPr>
          <w:rtl/>
        </w:rPr>
        <w:t xml:space="preserve"> للاتصالات الإلكترونية وطيف الترددات الراديوية </w:t>
      </w:r>
      <w:r>
        <w:rPr>
          <w:rFonts w:hint="cs"/>
          <w:rtl/>
        </w:rPr>
        <w:t>وتقديم</w:t>
      </w:r>
      <w:r w:rsidRPr="00B5177A">
        <w:rPr>
          <w:rtl/>
        </w:rPr>
        <w:t xml:space="preserve"> الخدمات البريدية، </w:t>
      </w:r>
      <w:r>
        <w:rPr>
          <w:rFonts w:hint="cs"/>
          <w:rtl/>
        </w:rPr>
        <w:t>ل</w:t>
      </w:r>
      <w:r w:rsidRPr="00B5177A">
        <w:rPr>
          <w:rtl/>
        </w:rPr>
        <w:t>تحديد مجالات المساعدة المحتملة في مجال البيئة التمكينية والتنظيم.</w:t>
      </w:r>
    </w:p>
    <w:p w14:paraId="5E8A517D" w14:textId="25CE1F23" w:rsidR="00B004CB" w:rsidRPr="00B5177A" w:rsidRDefault="00B004CB" w:rsidP="002D29BC">
      <w:pPr>
        <w:pStyle w:val="enumlev1"/>
        <w:rPr>
          <w:lang w:val="ar-SA" w:eastAsia="zh-TW" w:bidi="en-GB"/>
        </w:rPr>
      </w:pPr>
      <w:r>
        <w:sym w:font="Symbol" w:char="F0B7"/>
      </w:r>
      <w:r>
        <w:rPr>
          <w:rtl/>
        </w:rPr>
        <w:tab/>
      </w:r>
      <w:r>
        <w:rPr>
          <w:rFonts w:hint="cs"/>
          <w:rtl/>
        </w:rPr>
        <w:t>و</w:t>
      </w:r>
      <w:r w:rsidRPr="00B5177A">
        <w:rPr>
          <w:rtl/>
        </w:rPr>
        <w:t xml:space="preserve">يواصل الاتحاد، بصفته </w:t>
      </w:r>
      <w:r w:rsidRPr="00B5177A">
        <w:rPr>
          <w:b/>
          <w:bCs/>
          <w:rtl/>
        </w:rPr>
        <w:t xml:space="preserve">عضواً في </w:t>
      </w:r>
      <w:r>
        <w:rPr>
          <w:rFonts w:hint="cs"/>
          <w:b/>
          <w:bCs/>
          <w:rtl/>
        </w:rPr>
        <w:t>فريق الأمم المتحدة القطري</w:t>
      </w:r>
      <w:r>
        <w:rPr>
          <w:rFonts w:hint="cs"/>
          <w:rtl/>
        </w:rPr>
        <w:t>،</w:t>
      </w:r>
      <w:r w:rsidRPr="00B5177A">
        <w:rPr>
          <w:rtl/>
        </w:rPr>
        <w:t xml:space="preserve"> تنسيق جميع أعماله مع منظومة الأمم المتحدة. ويس</w:t>
      </w:r>
      <w:r>
        <w:rPr>
          <w:rFonts w:hint="cs"/>
          <w:rtl/>
        </w:rPr>
        <w:t>ا</w:t>
      </w:r>
      <w:r w:rsidRPr="00B5177A">
        <w:rPr>
          <w:rtl/>
        </w:rPr>
        <w:t xml:space="preserve">هم الاتحاد في تنفيذ الإطار الانتقالي للأمم المتحدة لعام 2024 </w:t>
      </w:r>
      <w:r>
        <w:rPr>
          <w:rFonts w:hint="cs"/>
          <w:rtl/>
        </w:rPr>
        <w:t>ويساهم حالياً</w:t>
      </w:r>
      <w:r w:rsidRPr="00B5177A">
        <w:rPr>
          <w:rtl/>
        </w:rPr>
        <w:t xml:space="preserve"> في عملية وضع الإطار المقبل للتعاون في مجال التنمية المستدامة للأمم المتحدة للفترة 202</w:t>
      </w:r>
      <w:r>
        <w:rPr>
          <w:rFonts w:hint="cs"/>
          <w:rtl/>
        </w:rPr>
        <w:t>5</w:t>
      </w:r>
      <w:r w:rsidRPr="00B5177A">
        <w:rPr>
          <w:rtl/>
        </w:rPr>
        <w:t>-202</w:t>
      </w:r>
      <w:r>
        <w:rPr>
          <w:rFonts w:hint="cs"/>
          <w:rtl/>
        </w:rPr>
        <w:t>9</w:t>
      </w:r>
      <w:r w:rsidRPr="00B5177A">
        <w:rPr>
          <w:rtl/>
        </w:rPr>
        <w:t>. وفي</w:t>
      </w:r>
      <w:r>
        <w:rPr>
          <w:rFonts w:hint="cs"/>
          <w:rtl/>
        </w:rPr>
        <w:t xml:space="preserve"> الفترة</w:t>
      </w:r>
      <w:r w:rsidR="002D29BC">
        <w:rPr>
          <w:rFonts w:hint="cs"/>
          <w:rtl/>
        </w:rPr>
        <w:t xml:space="preserve"> </w:t>
      </w:r>
      <w:r w:rsidRPr="00B5177A">
        <w:rPr>
          <w:rtl/>
        </w:rPr>
        <w:t>202</w:t>
      </w:r>
      <w:r>
        <w:rPr>
          <w:rFonts w:hint="cs"/>
          <w:rtl/>
        </w:rPr>
        <w:t>3</w:t>
      </w:r>
      <w:r w:rsidRPr="00B5177A">
        <w:rPr>
          <w:rtl/>
        </w:rPr>
        <w:t>-202</w:t>
      </w:r>
      <w:r>
        <w:rPr>
          <w:rFonts w:hint="cs"/>
          <w:rtl/>
        </w:rPr>
        <w:t>4</w:t>
      </w:r>
      <w:r w:rsidRPr="00B5177A">
        <w:rPr>
          <w:rtl/>
        </w:rPr>
        <w:t>، ساهم الاتحاد في</w:t>
      </w:r>
      <w:r w:rsidR="004F4239">
        <w:rPr>
          <w:rFonts w:hint="cs"/>
          <w:rtl/>
        </w:rPr>
        <w:t> </w:t>
      </w:r>
      <w:r w:rsidRPr="00B5177A">
        <w:rPr>
          <w:rtl/>
        </w:rPr>
        <w:t>أفرقة العمل الفرعية المشتركة بين الوزارات المعنية بأهداف التنمية المستدامة (الهدفان 9 و17) التي تقوم باستعراض إطار</w:t>
      </w:r>
      <w:r w:rsidR="004F4239">
        <w:rPr>
          <w:rFonts w:hint="cs"/>
          <w:rtl/>
        </w:rPr>
        <w:t> </w:t>
      </w:r>
      <w:r w:rsidRPr="00B5177A">
        <w:rPr>
          <w:rtl/>
        </w:rPr>
        <w:t>المؤشرات.</w:t>
      </w:r>
    </w:p>
    <w:p w14:paraId="7B64FFFF" w14:textId="77777777" w:rsidR="00B004CB" w:rsidRPr="00B5177A" w:rsidRDefault="00B004CB" w:rsidP="002D29BC">
      <w:pPr>
        <w:pStyle w:val="enumlev1"/>
        <w:rPr>
          <w:lang w:val="ar-SA" w:eastAsia="zh-TW" w:bidi="en-GB"/>
        </w:rPr>
      </w:pPr>
      <w:r>
        <w:sym w:font="Symbol" w:char="F0B7"/>
      </w:r>
      <w:r>
        <w:rPr>
          <w:rtl/>
        </w:rPr>
        <w:tab/>
      </w:r>
      <w:r>
        <w:rPr>
          <w:rFonts w:hint="cs"/>
          <w:rtl/>
        </w:rPr>
        <w:t>ويقوم</w:t>
      </w:r>
      <w:r w:rsidRPr="00B5177A">
        <w:rPr>
          <w:rtl/>
        </w:rPr>
        <w:t xml:space="preserve"> الاتحاد </w:t>
      </w:r>
      <w:r>
        <w:rPr>
          <w:rFonts w:hint="cs"/>
          <w:rtl/>
        </w:rPr>
        <w:t>بالتنسيق المنتظم</w:t>
      </w:r>
      <w:r w:rsidRPr="00B5177A">
        <w:rPr>
          <w:rtl/>
        </w:rPr>
        <w:t xml:space="preserve"> مع </w:t>
      </w:r>
      <w:r w:rsidRPr="00D42912">
        <w:rPr>
          <w:b/>
          <w:bCs/>
          <w:rtl/>
        </w:rPr>
        <w:t>المفوضية الأوروبية</w:t>
      </w:r>
      <w:r w:rsidRPr="00B5177A">
        <w:rPr>
          <w:rtl/>
        </w:rPr>
        <w:t xml:space="preserve"> بشأن أنشطته الجارية والمخططة في مجال تكنولوجيا المعلومات والاتصالات وإعادة بناء البنية التحتية الإذاعية، مع مراعاة التقدم الذي تحرزه أوكرانيا نحو التكامل الأوروبي </w:t>
      </w:r>
    </w:p>
    <w:p w14:paraId="6CBDE6CD" w14:textId="77777777" w:rsidR="00B004CB" w:rsidRDefault="00B004CB" w:rsidP="002D29BC">
      <w:pPr>
        <w:pStyle w:val="enumlev1"/>
        <w:rPr>
          <w:lang w:val="en-GB" w:eastAsia="zh-TW" w:bidi="en-GB"/>
        </w:rPr>
      </w:pPr>
      <w:r>
        <w:sym w:font="Symbol" w:char="F0B7"/>
      </w:r>
      <w:r>
        <w:rPr>
          <w:rtl/>
        </w:rPr>
        <w:tab/>
      </w:r>
      <w:r w:rsidRPr="00B5177A">
        <w:rPr>
          <w:rtl/>
        </w:rPr>
        <w:t xml:space="preserve">وأقام الاتحاد التنسيق مع </w:t>
      </w:r>
      <w:r w:rsidRPr="00B5177A">
        <w:rPr>
          <w:b/>
          <w:bCs/>
          <w:rtl/>
        </w:rPr>
        <w:t xml:space="preserve">مصرف الاستثمار الأوروبي </w:t>
      </w:r>
      <w:r w:rsidRPr="004B305A">
        <w:rPr>
          <w:rtl/>
        </w:rPr>
        <w:t>و</w:t>
      </w:r>
      <w:r w:rsidRPr="004B305A">
        <w:rPr>
          <w:rFonts w:hint="cs"/>
          <w:rtl/>
        </w:rPr>
        <w:t>ال</w:t>
      </w:r>
      <w:r w:rsidRPr="004B305A">
        <w:rPr>
          <w:rtl/>
        </w:rPr>
        <w:t>فريق</w:t>
      </w:r>
      <w:r w:rsidRPr="004B305A">
        <w:rPr>
          <w:rFonts w:hint="cs"/>
          <w:rtl/>
        </w:rPr>
        <w:t xml:space="preserve"> المعني </w:t>
      </w:r>
      <w:r>
        <w:rPr>
          <w:rFonts w:hint="cs"/>
          <w:rtl/>
        </w:rPr>
        <w:t>بسجلات الأضرار</w:t>
      </w:r>
      <w:r w:rsidRPr="004B305A">
        <w:rPr>
          <w:rFonts w:hint="cs"/>
          <w:rtl/>
        </w:rPr>
        <w:t xml:space="preserve"> في</w:t>
      </w:r>
      <w:r w:rsidRPr="00277B16">
        <w:rPr>
          <w:rFonts w:hint="cs"/>
          <w:rtl/>
        </w:rPr>
        <w:t xml:space="preserve"> </w:t>
      </w:r>
      <w:r w:rsidRPr="0009543F">
        <w:rPr>
          <w:rFonts w:hint="cs"/>
          <w:rtl/>
        </w:rPr>
        <w:t>أوكرانيا التابع</w:t>
      </w:r>
      <w:r w:rsidRPr="00B5177A">
        <w:rPr>
          <w:b/>
          <w:bCs/>
          <w:rtl/>
        </w:rPr>
        <w:t xml:space="preserve"> </w:t>
      </w:r>
      <w:r>
        <w:rPr>
          <w:rFonts w:hint="cs"/>
          <w:b/>
          <w:bCs/>
          <w:rtl/>
        </w:rPr>
        <w:t>ل</w:t>
      </w:r>
      <w:r w:rsidRPr="00B5177A">
        <w:rPr>
          <w:b/>
          <w:bCs/>
          <w:rtl/>
        </w:rPr>
        <w:t>مجلس أوروبا</w:t>
      </w:r>
      <w:r w:rsidRPr="00B5177A">
        <w:rPr>
          <w:rtl/>
        </w:rPr>
        <w:t xml:space="preserve"> </w:t>
      </w:r>
      <w:r w:rsidRPr="00B5177A">
        <w:rPr>
          <w:b/>
          <w:bCs/>
          <w:rtl/>
        </w:rPr>
        <w:t>والاتحاد الإذاعي الأوروبي</w:t>
      </w:r>
      <w:r w:rsidRPr="00B5177A">
        <w:rPr>
          <w:rtl/>
        </w:rPr>
        <w:t xml:space="preserve"> </w:t>
      </w:r>
      <w:r>
        <w:rPr>
          <w:rFonts w:hint="cs"/>
          <w:rtl/>
        </w:rPr>
        <w:t>لتنسيق</w:t>
      </w:r>
      <w:r w:rsidRPr="00B5177A">
        <w:rPr>
          <w:rtl/>
        </w:rPr>
        <w:t xml:space="preserve"> الأنشطة </w:t>
      </w:r>
      <w:r>
        <w:rPr>
          <w:rFonts w:hint="cs"/>
          <w:rtl/>
        </w:rPr>
        <w:t>المتعلقة</w:t>
      </w:r>
      <w:r w:rsidRPr="00B5177A">
        <w:rPr>
          <w:rtl/>
        </w:rPr>
        <w:t xml:space="preserve"> بدعم أوكرانيا.</w:t>
      </w:r>
    </w:p>
    <w:p w14:paraId="20B6E0D8" w14:textId="26B67F12" w:rsidR="00B004CB" w:rsidRPr="004F4239" w:rsidRDefault="00B004CB" w:rsidP="002D29BC">
      <w:pPr>
        <w:pStyle w:val="enumlev1"/>
        <w:rPr>
          <w:spacing w:val="-2"/>
          <w:lang w:val="ar-SA" w:eastAsia="zh-TW" w:bidi="en-GB"/>
        </w:rPr>
      </w:pPr>
      <w:r w:rsidRPr="004F4239">
        <w:rPr>
          <w:spacing w:val="-2"/>
        </w:rPr>
        <w:sym w:font="Symbol" w:char="F0B7"/>
      </w:r>
      <w:r w:rsidRPr="004F4239">
        <w:rPr>
          <w:spacing w:val="-2"/>
          <w:rtl/>
        </w:rPr>
        <w:tab/>
        <w:t xml:space="preserve">ويواصل الاتحاد العمل مع أعضاء الهيئات الأكاديمية الأوكرانية بشأن الأنشطة المتعلقة </w:t>
      </w:r>
      <w:r w:rsidRPr="004F4239">
        <w:rPr>
          <w:rFonts w:hint="cs"/>
          <w:spacing w:val="-2"/>
          <w:rtl/>
        </w:rPr>
        <w:t>بالمحطات الإذاعية</w:t>
      </w:r>
      <w:r w:rsidRPr="004F4239">
        <w:rPr>
          <w:spacing w:val="-2"/>
          <w:rtl/>
        </w:rPr>
        <w:t>. وفي</w:t>
      </w:r>
      <w:r w:rsidR="002D29BC" w:rsidRPr="004F4239">
        <w:rPr>
          <w:rFonts w:hint="cs"/>
          <w:spacing w:val="-2"/>
          <w:rtl/>
        </w:rPr>
        <w:t> </w:t>
      </w:r>
      <w:r w:rsidRPr="004F4239">
        <w:rPr>
          <w:spacing w:val="-2"/>
          <w:rtl/>
        </w:rPr>
        <w:t xml:space="preserve">ديسمبر 2023، ساهم الاتحاد في </w:t>
      </w:r>
      <w:r w:rsidRPr="004F4239">
        <w:rPr>
          <w:b/>
          <w:bCs/>
          <w:spacing w:val="-2"/>
          <w:rtl/>
        </w:rPr>
        <w:t>المؤتمر بشأن "تكنولوجيات التحول الرقمي المتقدمة المتصلة بتنفيذها في</w:t>
      </w:r>
      <w:r w:rsidR="002D29BC" w:rsidRPr="004F4239">
        <w:rPr>
          <w:rFonts w:hint="cs"/>
          <w:b/>
          <w:bCs/>
          <w:spacing w:val="-2"/>
          <w:rtl/>
        </w:rPr>
        <w:t> </w:t>
      </w:r>
      <w:r w:rsidRPr="004F4239">
        <w:rPr>
          <w:b/>
          <w:bCs/>
          <w:spacing w:val="-2"/>
          <w:rtl/>
        </w:rPr>
        <w:t>العالم وفي</w:t>
      </w:r>
      <w:r w:rsidR="004F4239">
        <w:rPr>
          <w:rFonts w:hint="cs"/>
          <w:b/>
          <w:bCs/>
          <w:spacing w:val="-2"/>
          <w:rtl/>
        </w:rPr>
        <w:t> </w:t>
      </w:r>
      <w:r w:rsidRPr="004F4239">
        <w:rPr>
          <w:b/>
          <w:bCs/>
          <w:spacing w:val="-2"/>
          <w:rtl/>
        </w:rPr>
        <w:t>أوكرانيا</w:t>
      </w:r>
      <w:r w:rsidRPr="004F4239">
        <w:rPr>
          <w:spacing w:val="-2"/>
          <w:rtl/>
        </w:rPr>
        <w:t xml:space="preserve">" الذي نظمته </w:t>
      </w:r>
      <w:r w:rsidRPr="004F4239">
        <w:rPr>
          <w:rFonts w:hint="cs"/>
          <w:spacing w:val="-2"/>
          <w:rtl/>
        </w:rPr>
        <w:t>الجامعة الحكومية</w:t>
      </w:r>
      <w:r w:rsidRPr="004F4239">
        <w:rPr>
          <w:spacing w:val="-2"/>
          <w:rtl/>
        </w:rPr>
        <w:t xml:space="preserve"> </w:t>
      </w:r>
      <w:r w:rsidRPr="004F4239">
        <w:rPr>
          <w:rFonts w:hint="cs"/>
          <w:spacing w:val="-2"/>
          <w:rtl/>
        </w:rPr>
        <w:t>ل</w:t>
      </w:r>
      <w:r w:rsidRPr="004F4239">
        <w:rPr>
          <w:spacing w:val="-2"/>
          <w:rtl/>
        </w:rPr>
        <w:t>تكنولوجيا المعلومات والاتصالات في أوكرانيا كمساهمة في</w:t>
      </w:r>
      <w:r w:rsidR="002D29BC" w:rsidRPr="004F4239">
        <w:rPr>
          <w:rFonts w:hint="cs"/>
          <w:spacing w:val="-2"/>
          <w:rtl/>
        </w:rPr>
        <w:t> </w:t>
      </w:r>
      <w:r w:rsidRPr="004F4239">
        <w:rPr>
          <w:spacing w:val="-2"/>
          <w:rtl/>
        </w:rPr>
        <w:t>مبادرات الاتحاد الإقليمية</w:t>
      </w:r>
      <w:r w:rsidR="004F4239">
        <w:rPr>
          <w:rFonts w:hint="cs"/>
          <w:spacing w:val="-2"/>
          <w:rtl/>
        </w:rPr>
        <w:t> </w:t>
      </w:r>
      <w:r w:rsidRPr="004F4239">
        <w:rPr>
          <w:spacing w:val="-2"/>
          <w:rtl/>
        </w:rPr>
        <w:t>لأوروبا.</w:t>
      </w:r>
    </w:p>
    <w:p w14:paraId="22DC87C0" w14:textId="67A285CB" w:rsidR="00B004CB" w:rsidRPr="002D29BC" w:rsidRDefault="00B004CB" w:rsidP="002D29BC">
      <w:pPr>
        <w:pStyle w:val="Heading1"/>
      </w:pPr>
      <w:bookmarkStart w:id="4" w:name="_Toc740993895"/>
      <w:r w:rsidRPr="00D42912">
        <w:rPr>
          <w:rtl/>
        </w:rPr>
        <w:t>4</w:t>
      </w:r>
      <w:r w:rsidRPr="00D42912">
        <w:rPr>
          <w:rtl/>
        </w:rPr>
        <w:tab/>
        <w:t>المساعدة التقنية</w:t>
      </w:r>
      <w:bookmarkEnd w:id="4"/>
    </w:p>
    <w:p w14:paraId="01509CF5" w14:textId="140E54B0" w:rsidR="00B004CB" w:rsidRPr="00B5177A" w:rsidRDefault="00B004CB" w:rsidP="002D29BC">
      <w:pPr>
        <w:rPr>
          <w:lang w:val="ar-SA" w:eastAsia="zh-TW" w:bidi="en-GB"/>
        </w:rPr>
      </w:pPr>
      <w:r w:rsidRPr="00B5177A">
        <w:rPr>
          <w:rtl/>
        </w:rPr>
        <w:t>ن</w:t>
      </w:r>
      <w:r>
        <w:rPr>
          <w:rFonts w:hint="cs"/>
          <w:rtl/>
        </w:rPr>
        <w:t>ُ</w:t>
      </w:r>
      <w:r w:rsidRPr="00B5177A">
        <w:rPr>
          <w:rtl/>
        </w:rPr>
        <w:t>فذت سلسلة من الإجراءات منذ دورة مجلس الاتحاد الأخيرة</w:t>
      </w:r>
      <w:r>
        <w:rPr>
          <w:rFonts w:hint="cs"/>
          <w:rtl/>
        </w:rPr>
        <w:t xml:space="preserve"> بناءً على</w:t>
      </w:r>
      <w:r w:rsidRPr="00B5177A">
        <w:rPr>
          <w:rtl/>
        </w:rPr>
        <w:t xml:space="preserve"> تقييم الاحتياجات والتنسيق مع الإدارة. </w:t>
      </w:r>
      <w:r>
        <w:rPr>
          <w:rFonts w:hint="cs"/>
          <w:rtl/>
        </w:rPr>
        <w:t>وتشمل هذه الإجراءات ما يلي</w:t>
      </w:r>
      <w:r w:rsidRPr="00B5177A">
        <w:t>:</w:t>
      </w:r>
    </w:p>
    <w:p w14:paraId="0CA20C11" w14:textId="73F833AB" w:rsidR="00B004CB" w:rsidRPr="00A81278" w:rsidRDefault="00B004CB" w:rsidP="006A7321">
      <w:pPr>
        <w:pStyle w:val="enumlev1"/>
        <w:rPr>
          <w:lang w:val="en-GB" w:eastAsia="zh-TW" w:bidi="en-GB"/>
        </w:rPr>
      </w:pPr>
      <w:r>
        <w:sym w:font="Symbol" w:char="F0B7"/>
      </w:r>
      <w:r>
        <w:rPr>
          <w:rtl/>
        </w:rPr>
        <w:tab/>
      </w:r>
      <w:r w:rsidRPr="00B5177A">
        <w:rPr>
          <w:rtl/>
        </w:rPr>
        <w:t xml:space="preserve">منذ سبتمبر 2023، بذل الاتحاد جهوداً لتوفير المساعدة التقنية لإعادة بناء </w:t>
      </w:r>
      <w:r w:rsidRPr="00B5177A">
        <w:rPr>
          <w:b/>
          <w:bCs/>
          <w:rtl/>
        </w:rPr>
        <w:t>البنية التحتية الإذاعية في أوكرانيا</w:t>
      </w:r>
      <w:r w:rsidRPr="00B5177A">
        <w:rPr>
          <w:rtl/>
        </w:rPr>
        <w:t>.</w:t>
      </w:r>
    </w:p>
    <w:p w14:paraId="3FB5B055" w14:textId="77777777" w:rsidR="00B004CB" w:rsidRPr="00B5177A" w:rsidRDefault="00B004CB" w:rsidP="006A7321">
      <w:pPr>
        <w:pStyle w:val="enumlev1"/>
        <w:rPr>
          <w:lang w:val="ar-SA" w:eastAsia="zh-TW" w:bidi="en-GB"/>
        </w:rPr>
      </w:pPr>
      <w:r>
        <w:sym w:font="Symbol" w:char="F0B7"/>
      </w:r>
      <w:r>
        <w:rPr>
          <w:rtl/>
        </w:rPr>
        <w:tab/>
      </w:r>
      <w:r w:rsidRPr="00B5177A">
        <w:rPr>
          <w:rtl/>
        </w:rPr>
        <w:t xml:space="preserve">ومن بين ما مجموعه 40 محطة إذاعية تأثرت بدرجات </w:t>
      </w:r>
      <w:r>
        <w:rPr>
          <w:rFonts w:hint="cs"/>
          <w:rtl/>
        </w:rPr>
        <w:t>متفاوتة بسبب</w:t>
      </w:r>
      <w:r w:rsidRPr="00B5177A">
        <w:rPr>
          <w:rtl/>
        </w:rPr>
        <w:t xml:space="preserve"> الحرب، </w:t>
      </w:r>
      <w:r>
        <w:rPr>
          <w:rFonts w:hint="cs"/>
          <w:rtl/>
        </w:rPr>
        <w:t>تعرضت</w:t>
      </w:r>
      <w:r w:rsidRPr="00B5177A">
        <w:rPr>
          <w:rtl/>
        </w:rPr>
        <w:t xml:space="preserve"> 21 محطة </w:t>
      </w:r>
      <w:r>
        <w:rPr>
          <w:rFonts w:hint="cs"/>
          <w:rtl/>
        </w:rPr>
        <w:t>ل</w:t>
      </w:r>
      <w:r w:rsidRPr="00B5177A">
        <w:rPr>
          <w:rtl/>
        </w:rPr>
        <w:t xml:space="preserve">أضرار </w:t>
      </w:r>
      <w:r>
        <w:rPr>
          <w:rFonts w:hint="cs"/>
          <w:rtl/>
        </w:rPr>
        <w:t>جسيمة</w:t>
      </w:r>
      <w:r w:rsidRPr="00B5177A">
        <w:rPr>
          <w:rtl/>
        </w:rPr>
        <w:t xml:space="preserve">. وعدد الأشياء </w:t>
      </w:r>
      <w:r>
        <w:rPr>
          <w:rFonts w:hint="cs"/>
          <w:rtl/>
        </w:rPr>
        <w:t>المحتلة</w:t>
      </w:r>
      <w:r w:rsidRPr="00B5177A">
        <w:rPr>
          <w:rtl/>
        </w:rPr>
        <w:t xml:space="preserve"> (بدون جمهورية القرم المتمتعة بالحكم الذاتي) هو 63.</w:t>
      </w:r>
    </w:p>
    <w:p w14:paraId="383A8F26" w14:textId="77777777" w:rsidR="00B004CB" w:rsidRPr="00C1397A" w:rsidRDefault="00B004CB" w:rsidP="006A7321">
      <w:pPr>
        <w:pStyle w:val="enumlev1"/>
        <w:rPr>
          <w:spacing w:val="-2"/>
          <w:lang w:val="ar-SA" w:eastAsia="zh-TW" w:bidi="en-GB"/>
        </w:rPr>
      </w:pPr>
      <w:r w:rsidRPr="00C1397A">
        <w:rPr>
          <w:spacing w:val="-2"/>
        </w:rPr>
        <w:sym w:font="Symbol" w:char="F0B7"/>
      </w:r>
      <w:r w:rsidRPr="00C1397A">
        <w:rPr>
          <w:spacing w:val="-2"/>
          <w:rtl/>
        </w:rPr>
        <w:tab/>
      </w:r>
      <w:r w:rsidRPr="00C1397A">
        <w:rPr>
          <w:rFonts w:hint="cs"/>
          <w:spacing w:val="-2"/>
          <w:rtl/>
        </w:rPr>
        <w:t>و</w:t>
      </w:r>
      <w:r w:rsidRPr="00C1397A">
        <w:rPr>
          <w:spacing w:val="-2"/>
          <w:rtl/>
        </w:rPr>
        <w:t xml:space="preserve">وضع الاتحاد سلسلة من مقترحات المشاريع الأولية لاستعادة أو إعادة بناء </w:t>
      </w:r>
      <w:r w:rsidRPr="00C1397A">
        <w:rPr>
          <w:rFonts w:hint="cs"/>
          <w:b/>
          <w:bCs/>
          <w:spacing w:val="-2"/>
          <w:rtl/>
        </w:rPr>
        <w:t>ال</w:t>
      </w:r>
      <w:r w:rsidRPr="00C1397A">
        <w:rPr>
          <w:b/>
          <w:bCs/>
          <w:spacing w:val="-2"/>
          <w:rtl/>
        </w:rPr>
        <w:t xml:space="preserve">محطات </w:t>
      </w:r>
      <w:r w:rsidRPr="00C1397A">
        <w:rPr>
          <w:rFonts w:hint="cs"/>
          <w:b/>
          <w:bCs/>
          <w:spacing w:val="-2"/>
          <w:rtl/>
        </w:rPr>
        <w:t>ال</w:t>
      </w:r>
      <w:r w:rsidRPr="00C1397A">
        <w:rPr>
          <w:b/>
          <w:bCs/>
          <w:spacing w:val="-2"/>
          <w:rtl/>
        </w:rPr>
        <w:t>إذاعية</w:t>
      </w:r>
      <w:r w:rsidRPr="00C1397A">
        <w:rPr>
          <w:rFonts w:hint="cs"/>
          <w:b/>
          <w:bCs/>
          <w:spacing w:val="-2"/>
          <w:rtl/>
        </w:rPr>
        <w:t xml:space="preserve"> الرئيسية</w:t>
      </w:r>
      <w:r w:rsidRPr="00C1397A">
        <w:rPr>
          <w:b/>
          <w:bCs/>
          <w:spacing w:val="-2"/>
          <w:rtl/>
        </w:rPr>
        <w:t xml:space="preserve"> </w:t>
      </w:r>
      <w:r w:rsidRPr="00C1397A">
        <w:rPr>
          <w:rFonts w:hint="cs"/>
          <w:b/>
          <w:bCs/>
          <w:spacing w:val="-2"/>
          <w:rtl/>
        </w:rPr>
        <w:t xml:space="preserve">الخمس </w:t>
      </w:r>
      <w:r w:rsidRPr="00C1397A">
        <w:rPr>
          <w:rFonts w:hint="cs"/>
          <w:spacing w:val="-2"/>
          <w:rtl/>
        </w:rPr>
        <w:t>التي</w:t>
      </w:r>
      <w:r w:rsidRPr="00C1397A">
        <w:rPr>
          <w:rFonts w:hint="cs"/>
          <w:b/>
          <w:bCs/>
          <w:spacing w:val="-2"/>
          <w:rtl/>
        </w:rPr>
        <w:t xml:space="preserve"> </w:t>
      </w:r>
      <w:r w:rsidRPr="00C1397A">
        <w:rPr>
          <w:spacing w:val="-2"/>
          <w:rtl/>
        </w:rPr>
        <w:t xml:space="preserve">حددتها الإدارة الأوكرانية. وتستند </w:t>
      </w:r>
      <w:r w:rsidRPr="00C1397A">
        <w:rPr>
          <w:rFonts w:hint="cs"/>
          <w:spacing w:val="-2"/>
          <w:rtl/>
        </w:rPr>
        <w:t>مقترحات المشاريع هذه</w:t>
      </w:r>
      <w:r w:rsidRPr="00C1397A">
        <w:rPr>
          <w:spacing w:val="-2"/>
          <w:rtl/>
        </w:rPr>
        <w:t xml:space="preserve"> إلى التقرير التقني </w:t>
      </w:r>
      <w:r w:rsidRPr="00C1397A">
        <w:rPr>
          <w:rFonts w:hint="cs"/>
          <w:spacing w:val="-2"/>
          <w:rtl/>
        </w:rPr>
        <w:t xml:space="preserve">المفصل بشأن </w:t>
      </w:r>
      <w:r w:rsidRPr="00C1397A">
        <w:rPr>
          <w:spacing w:val="-2"/>
          <w:rtl/>
        </w:rPr>
        <w:t>"التقييم الأولي لتكاليف إعادة تأهيل المحطات الإذاعية الخمس المحددة</w:t>
      </w:r>
      <w:r w:rsidRPr="00C1397A">
        <w:rPr>
          <w:rFonts w:hint="cs"/>
          <w:spacing w:val="-2"/>
          <w:rtl/>
        </w:rPr>
        <w:t xml:space="preserve"> وهي</w:t>
      </w:r>
      <w:r w:rsidRPr="00C1397A">
        <w:rPr>
          <w:spacing w:val="-2"/>
          <w:rtl/>
        </w:rPr>
        <w:t>: خاركيف وبيلوبيليا وفينيتسيا وتروستيانيتس وفيليكا أولكسندريفكا".</w:t>
      </w:r>
    </w:p>
    <w:p w14:paraId="399273EE" w14:textId="37CF743C" w:rsidR="00B004CB" w:rsidRPr="00B5177A" w:rsidRDefault="00B004CB" w:rsidP="006A7321">
      <w:pPr>
        <w:pStyle w:val="enumlev1"/>
        <w:rPr>
          <w:lang w:val="ar-SA" w:eastAsia="zh-TW" w:bidi="en-GB"/>
        </w:rPr>
      </w:pPr>
      <w:r>
        <w:sym w:font="Symbol" w:char="F0B7"/>
      </w:r>
      <w:r>
        <w:rPr>
          <w:rtl/>
        </w:rPr>
        <w:tab/>
      </w:r>
      <w:r w:rsidRPr="00B5177A">
        <w:rPr>
          <w:rtl/>
        </w:rPr>
        <w:t xml:space="preserve">ووفقاً للمرحلة الأولى من التقييم، تؤثر الأضرار التي لحقت بمحطات الإذاعة على </w:t>
      </w:r>
      <w:r w:rsidRPr="00B5177A">
        <w:rPr>
          <w:b/>
          <w:bCs/>
          <w:rtl/>
        </w:rPr>
        <w:t>5,1 مليون شخص مما يحد من نفاذهم الكامل إلى المعلومات</w:t>
      </w:r>
      <w:r w:rsidRPr="00B5177A">
        <w:rPr>
          <w:rtl/>
        </w:rPr>
        <w:t>.</w:t>
      </w:r>
    </w:p>
    <w:p w14:paraId="4276441B" w14:textId="77777777" w:rsidR="00B004CB" w:rsidRPr="00B5177A" w:rsidRDefault="00B004CB" w:rsidP="006A7321">
      <w:pPr>
        <w:pStyle w:val="enumlev1"/>
        <w:rPr>
          <w:rtl/>
          <w:lang w:val="ar-SA" w:eastAsia="zh-TW"/>
        </w:rPr>
      </w:pPr>
      <w:r>
        <w:sym w:font="Symbol" w:char="F0B7"/>
      </w:r>
      <w:r>
        <w:rPr>
          <w:rtl/>
        </w:rPr>
        <w:tab/>
      </w:r>
      <w:r w:rsidRPr="00B5177A">
        <w:rPr>
          <w:rtl/>
        </w:rPr>
        <w:t xml:space="preserve">ولمعالجة التحدي المالي المتمثل في إعادة تأهيل جميع المحطات الإذاعية الخمس بقدرتها التشغيلية الكاملة، يدعى المجتمع الدولي إلى النظر في التعهد </w:t>
      </w:r>
      <w:r>
        <w:rPr>
          <w:rFonts w:hint="cs"/>
          <w:rtl/>
        </w:rPr>
        <w:t>بمبلغ</w:t>
      </w:r>
      <w:r w:rsidRPr="00B5177A">
        <w:rPr>
          <w:rtl/>
        </w:rPr>
        <w:t xml:space="preserve"> </w:t>
      </w:r>
      <w:r w:rsidRPr="00B5177A">
        <w:rPr>
          <w:b/>
          <w:bCs/>
          <w:rtl/>
        </w:rPr>
        <w:t>3,7 مليون دولار أمريكي</w:t>
      </w:r>
      <w:r>
        <w:rPr>
          <w:rFonts w:hint="cs"/>
          <w:rtl/>
        </w:rPr>
        <w:t xml:space="preserve"> على الأقل</w:t>
      </w:r>
      <w:r>
        <w:rPr>
          <w:rtl/>
          <w:lang w:val="ar-SA" w:eastAsia="zh-TW"/>
        </w:rPr>
        <w:t>.</w:t>
      </w:r>
    </w:p>
    <w:p w14:paraId="4E1FA70F" w14:textId="7536F148" w:rsidR="00B004CB" w:rsidRPr="007F4889" w:rsidRDefault="00B004CB" w:rsidP="006A7321">
      <w:pPr>
        <w:pStyle w:val="enumlev1"/>
        <w:rPr>
          <w:spacing w:val="-2"/>
          <w:lang w:val="ar-SA" w:eastAsia="zh-TW" w:bidi="en-GB"/>
        </w:rPr>
      </w:pPr>
      <w:r w:rsidRPr="007F4889">
        <w:rPr>
          <w:spacing w:val="-2"/>
        </w:rPr>
        <w:sym w:font="Symbol" w:char="F0B7"/>
      </w:r>
      <w:r w:rsidRPr="007F4889">
        <w:rPr>
          <w:spacing w:val="-2"/>
          <w:rtl/>
        </w:rPr>
        <w:tab/>
        <w:t xml:space="preserve">وتتراوح التقديرات المرتبطة بأنشطة إعادة </w:t>
      </w:r>
      <w:r w:rsidRPr="007F4889">
        <w:rPr>
          <w:rFonts w:hint="cs"/>
          <w:spacing w:val="-2"/>
          <w:rtl/>
        </w:rPr>
        <w:t>الإعمار</w:t>
      </w:r>
      <w:r w:rsidRPr="007F4889">
        <w:rPr>
          <w:spacing w:val="-2"/>
          <w:rtl/>
        </w:rPr>
        <w:t xml:space="preserve"> طويلة الأجل، التي تتماشى مع نهج إعادة البناء</w:t>
      </w:r>
      <w:r w:rsidRPr="007F4889">
        <w:rPr>
          <w:rFonts w:hint="cs"/>
          <w:spacing w:val="-2"/>
          <w:rtl/>
        </w:rPr>
        <w:t xml:space="preserve"> بشكل أفضل</w:t>
      </w:r>
      <w:r w:rsidRPr="007F4889">
        <w:rPr>
          <w:spacing w:val="-2"/>
          <w:rtl/>
        </w:rPr>
        <w:t xml:space="preserve">، بين 5,5 </w:t>
      </w:r>
      <w:r w:rsidRPr="007F4889">
        <w:rPr>
          <w:rFonts w:hint="cs"/>
          <w:spacing w:val="-2"/>
          <w:rtl/>
        </w:rPr>
        <w:t>مل</w:t>
      </w:r>
      <w:r w:rsidR="006A7321" w:rsidRPr="007F4889">
        <w:rPr>
          <w:rFonts w:hint="cs"/>
          <w:spacing w:val="-2"/>
          <w:rtl/>
        </w:rPr>
        <w:t>يون</w:t>
      </w:r>
      <w:r w:rsidRPr="007F4889">
        <w:rPr>
          <w:spacing w:val="-2"/>
          <w:rtl/>
        </w:rPr>
        <w:t xml:space="preserve"> دولار أمريكي و450 مليون دولار أمريكي لكل محطة، تبعا</w:t>
      </w:r>
      <w:r w:rsidRPr="007F4889">
        <w:rPr>
          <w:rFonts w:hint="cs"/>
          <w:spacing w:val="-2"/>
          <w:rtl/>
        </w:rPr>
        <w:t>ً</w:t>
      </w:r>
      <w:r w:rsidRPr="007F4889">
        <w:rPr>
          <w:spacing w:val="-2"/>
          <w:rtl/>
        </w:rPr>
        <w:t xml:space="preserve"> للتصميم المفاهيمي لكل محطة </w:t>
      </w:r>
      <w:r w:rsidRPr="007F4889">
        <w:rPr>
          <w:rFonts w:hint="cs"/>
          <w:spacing w:val="-2"/>
          <w:rtl/>
        </w:rPr>
        <w:t>سيجري تنفيذها</w:t>
      </w:r>
      <w:r w:rsidRPr="007F4889">
        <w:rPr>
          <w:spacing w:val="-2"/>
          <w:rtl/>
        </w:rPr>
        <w:t>.</w:t>
      </w:r>
    </w:p>
    <w:p w14:paraId="2F58CFD4" w14:textId="77777777" w:rsidR="00B004CB" w:rsidRPr="00B5177A" w:rsidRDefault="00B004CB" w:rsidP="006A7321">
      <w:pPr>
        <w:pStyle w:val="enumlev1"/>
        <w:rPr>
          <w:lang w:val="ar-SA" w:eastAsia="zh-TW" w:bidi="en-GB"/>
        </w:rPr>
      </w:pPr>
      <w:r>
        <w:sym w:font="Symbol" w:char="F0B7"/>
      </w:r>
      <w:r>
        <w:rPr>
          <w:rtl/>
        </w:rPr>
        <w:tab/>
      </w:r>
      <w:r w:rsidRPr="00B5177A">
        <w:rPr>
          <w:rtl/>
        </w:rPr>
        <w:t xml:space="preserve">ومنذ فبراير 2024، انتقل الاتحاد إلى المرحلة الثانية من التقييم، </w:t>
      </w:r>
      <w:r>
        <w:rPr>
          <w:rFonts w:hint="cs"/>
          <w:rtl/>
        </w:rPr>
        <w:t>واستمر في</w:t>
      </w:r>
      <w:r w:rsidRPr="00B5177A">
        <w:rPr>
          <w:rtl/>
        </w:rPr>
        <w:t xml:space="preserve"> تقييم المحطات </w:t>
      </w:r>
      <w:r>
        <w:rPr>
          <w:rFonts w:hint="cs"/>
          <w:rtl/>
        </w:rPr>
        <w:t>الرئيسية</w:t>
      </w:r>
      <w:r w:rsidRPr="00B5177A">
        <w:rPr>
          <w:rtl/>
        </w:rPr>
        <w:t xml:space="preserve"> الخمس التالية التي حددتها الإدارة الأوكرانية، </w:t>
      </w:r>
      <w:r>
        <w:rPr>
          <w:rFonts w:hint="cs"/>
          <w:rtl/>
        </w:rPr>
        <w:t>وهي:</w:t>
      </w:r>
      <w:r w:rsidRPr="00B5177A">
        <w:rPr>
          <w:rtl/>
        </w:rPr>
        <w:t xml:space="preserve"> كالينيفكا وفيناريفكا ولوتش وبليستوفا وأنتوبيل.</w:t>
      </w:r>
    </w:p>
    <w:p w14:paraId="7D29C8A3" w14:textId="5014A6F0" w:rsidR="00B004CB" w:rsidRPr="00B5177A" w:rsidRDefault="00B004CB" w:rsidP="00B004CB">
      <w:pPr>
        <w:textDirection w:val="tbRlV"/>
        <w:rPr>
          <w:lang w:val="ar-SA" w:eastAsia="zh-TW" w:bidi="en-GB"/>
        </w:rPr>
      </w:pPr>
      <w:r w:rsidRPr="00B5177A">
        <w:rPr>
          <w:rtl/>
        </w:rPr>
        <w:t xml:space="preserve">وبالتنسيق مع </w:t>
      </w:r>
      <w:r w:rsidRPr="00B5177A">
        <w:rPr>
          <w:b/>
          <w:bCs/>
          <w:rtl/>
        </w:rPr>
        <w:t xml:space="preserve">اللجنة الوطنية </w:t>
      </w:r>
      <w:r>
        <w:rPr>
          <w:rFonts w:hint="cs"/>
          <w:b/>
          <w:bCs/>
          <w:rtl/>
        </w:rPr>
        <w:t>للتنظيم الحكومي</w:t>
      </w:r>
      <w:r w:rsidRPr="00B5177A">
        <w:rPr>
          <w:b/>
          <w:bCs/>
          <w:rtl/>
        </w:rPr>
        <w:t xml:space="preserve"> </w:t>
      </w:r>
      <w:r w:rsidRPr="00B5177A">
        <w:rPr>
          <w:rtl/>
        </w:rPr>
        <w:t xml:space="preserve">للاتصالات الإلكترونية وطيف الترددات الراديوية </w:t>
      </w:r>
      <w:r>
        <w:rPr>
          <w:rFonts w:hint="cs"/>
          <w:rtl/>
        </w:rPr>
        <w:t xml:space="preserve">وتقديم </w:t>
      </w:r>
      <w:r w:rsidRPr="00B5177A">
        <w:rPr>
          <w:rtl/>
        </w:rPr>
        <w:t>الخدمات البريدية ووزارة التحول الرقمي في أوكرانيا، وبناء</w:t>
      </w:r>
      <w:r w:rsidR="006A7321">
        <w:rPr>
          <w:rFonts w:hint="cs"/>
          <w:rtl/>
        </w:rPr>
        <w:t>ً</w:t>
      </w:r>
      <w:r w:rsidRPr="00B5177A">
        <w:rPr>
          <w:rtl/>
        </w:rPr>
        <w:t xml:space="preserve"> على طلبها، اقترح الاتحاد أنشطة بناء القدرات لتزويد مسؤولي</w:t>
      </w:r>
      <w:r>
        <w:rPr>
          <w:rFonts w:hint="cs"/>
          <w:rtl/>
        </w:rPr>
        <w:t xml:space="preserve"> الاتصالات</w:t>
      </w:r>
      <w:r w:rsidRPr="00B5177A">
        <w:rPr>
          <w:rtl/>
        </w:rPr>
        <w:t xml:space="preserve"> الأوكرانيين بالمهارات والمعارف المطلوبة. واستناداً إلى الخبرة المكتسبة من ثلاثة مكاتب للاتحاد، </w:t>
      </w:r>
      <w:r>
        <w:rPr>
          <w:rFonts w:hint="cs"/>
          <w:rtl/>
        </w:rPr>
        <w:t xml:space="preserve">بدأ </w:t>
      </w:r>
      <w:r>
        <w:rPr>
          <w:rFonts w:hint="cs"/>
          <w:b/>
          <w:bCs/>
          <w:rtl/>
        </w:rPr>
        <w:t>التدريب التنفيذي</w:t>
      </w:r>
      <w:r w:rsidRPr="00B5177A">
        <w:rPr>
          <w:b/>
          <w:bCs/>
          <w:rtl/>
        </w:rPr>
        <w:t xml:space="preserve"> </w:t>
      </w:r>
      <w:r>
        <w:rPr>
          <w:rFonts w:hint="cs"/>
          <w:b/>
          <w:bCs/>
          <w:rtl/>
        </w:rPr>
        <w:t>ل</w:t>
      </w:r>
      <w:r w:rsidRPr="00B5177A">
        <w:rPr>
          <w:b/>
          <w:bCs/>
          <w:rtl/>
        </w:rPr>
        <w:t>تنفيذ الجيل الخامس (5G)</w:t>
      </w:r>
      <w:r w:rsidRPr="00B5177A">
        <w:rPr>
          <w:rtl/>
        </w:rPr>
        <w:t xml:space="preserve"> للمسؤولين الأوكرانيين في ربيع عام 2024. وبالإضافة إلى ذلك، واستجابة </w:t>
      </w:r>
      <w:r>
        <w:rPr>
          <w:rFonts w:hint="cs"/>
          <w:rtl/>
        </w:rPr>
        <w:t>للاهتمام الذي أبدته</w:t>
      </w:r>
      <w:r w:rsidRPr="00B5177A">
        <w:rPr>
          <w:rtl/>
        </w:rPr>
        <w:t xml:space="preserve"> الإدارة، </w:t>
      </w:r>
      <w:r>
        <w:rPr>
          <w:rFonts w:hint="cs"/>
          <w:rtl/>
        </w:rPr>
        <w:t>قُدمت</w:t>
      </w:r>
      <w:r w:rsidRPr="00B5177A">
        <w:rPr>
          <w:b/>
          <w:bCs/>
          <w:rtl/>
        </w:rPr>
        <w:t xml:space="preserve"> سلسلة من الدورات التدريبية</w:t>
      </w:r>
      <w:r w:rsidRPr="00B5177A">
        <w:rPr>
          <w:rtl/>
        </w:rPr>
        <w:t xml:space="preserve"> من خلال </w:t>
      </w:r>
      <w:r w:rsidRPr="00B5177A">
        <w:rPr>
          <w:b/>
          <w:bCs/>
          <w:rtl/>
        </w:rPr>
        <w:t>أكاديمية الاتحاد</w:t>
      </w:r>
      <w:r w:rsidRPr="00B5177A">
        <w:rPr>
          <w:rtl/>
        </w:rPr>
        <w:t>.</w:t>
      </w:r>
    </w:p>
    <w:p w14:paraId="47030023" w14:textId="1AD82945" w:rsidR="00B004CB" w:rsidRPr="00B5177A" w:rsidRDefault="00B004CB" w:rsidP="00B004CB">
      <w:pPr>
        <w:textDirection w:val="tbRlV"/>
        <w:rPr>
          <w:lang w:val="ar-SA" w:eastAsia="zh-TW" w:bidi="en-GB"/>
        </w:rPr>
      </w:pPr>
      <w:r w:rsidRPr="00B5177A">
        <w:rPr>
          <w:rtl/>
        </w:rPr>
        <w:t xml:space="preserve">وفي مجال الأمن السيبراني، </w:t>
      </w:r>
      <w:r>
        <w:rPr>
          <w:rFonts w:hint="cs"/>
          <w:rtl/>
        </w:rPr>
        <w:t>يتيح</w:t>
      </w:r>
      <w:r w:rsidRPr="00B5177A">
        <w:rPr>
          <w:rtl/>
        </w:rPr>
        <w:t xml:space="preserve"> الاتحاد فرصاً متنوعة لتعزيز قدرات </w:t>
      </w:r>
      <w:r>
        <w:rPr>
          <w:rFonts w:hint="cs"/>
          <w:rtl/>
        </w:rPr>
        <w:t>ا</w:t>
      </w:r>
      <w:r w:rsidRPr="00B5177A">
        <w:rPr>
          <w:rtl/>
        </w:rPr>
        <w:t xml:space="preserve">لخبراء الأوكرانيين، مثل التدريب </w:t>
      </w:r>
      <w:r>
        <w:rPr>
          <w:rFonts w:hint="cs"/>
          <w:rtl/>
        </w:rPr>
        <w:t>عبر الإنترنت</w:t>
      </w:r>
      <w:r w:rsidRPr="00B5177A">
        <w:rPr>
          <w:rtl/>
        </w:rPr>
        <w:t xml:space="preserve"> أو</w:t>
      </w:r>
      <w:r w:rsidR="00EA6353">
        <w:rPr>
          <w:rFonts w:hint="cs"/>
          <w:rtl/>
        </w:rPr>
        <w:t> </w:t>
      </w:r>
      <w:r w:rsidRPr="00B5177A">
        <w:rPr>
          <w:rtl/>
        </w:rPr>
        <w:t xml:space="preserve">التدريب السيبراني </w:t>
      </w:r>
      <w:r>
        <w:rPr>
          <w:rFonts w:hint="cs"/>
          <w:rtl/>
        </w:rPr>
        <w:t>ل</w:t>
      </w:r>
      <w:r w:rsidRPr="00B5177A">
        <w:rPr>
          <w:rtl/>
        </w:rPr>
        <w:t>أوروبا وآسيا والمحيط الهادئ، الذي</w:t>
      </w:r>
      <w:r>
        <w:rPr>
          <w:rFonts w:hint="cs"/>
          <w:rtl/>
        </w:rPr>
        <w:t xml:space="preserve"> نظمه الاتحاد</w:t>
      </w:r>
      <w:r w:rsidRPr="00B5177A">
        <w:rPr>
          <w:rtl/>
        </w:rPr>
        <w:t xml:space="preserve"> في قبرص</w:t>
      </w:r>
      <w:r w:rsidRPr="00657806">
        <w:rPr>
          <w:rtl/>
        </w:rPr>
        <w:t xml:space="preserve"> </w:t>
      </w:r>
      <w:r w:rsidRPr="00B5177A">
        <w:rPr>
          <w:rtl/>
        </w:rPr>
        <w:t>في الفترة من 28 نوفمبر إلى 1 ديسمبر 2023 أو</w:t>
      </w:r>
      <w:r w:rsidR="00EA6353">
        <w:rPr>
          <w:rFonts w:hint="cs"/>
          <w:rtl/>
        </w:rPr>
        <w:t> </w:t>
      </w:r>
      <w:r>
        <w:rPr>
          <w:rFonts w:hint="cs"/>
          <w:rtl/>
        </w:rPr>
        <w:t xml:space="preserve">التدريب السيبراني العالمي </w:t>
      </w:r>
      <w:r w:rsidRPr="00B5177A">
        <w:rPr>
          <w:rtl/>
        </w:rPr>
        <w:t>في الإمارات العربية المتحدة</w:t>
      </w:r>
      <w:r w:rsidRPr="00197F8E">
        <w:rPr>
          <w:rFonts w:hint="cs"/>
          <w:rtl/>
        </w:rPr>
        <w:t xml:space="preserve"> </w:t>
      </w:r>
      <w:r>
        <w:rPr>
          <w:rFonts w:hint="cs"/>
          <w:rtl/>
        </w:rPr>
        <w:t>في</w:t>
      </w:r>
      <w:r w:rsidRPr="00B5177A">
        <w:rPr>
          <w:rtl/>
        </w:rPr>
        <w:t xml:space="preserve"> 2</w:t>
      </w:r>
      <w:r>
        <w:rPr>
          <w:rFonts w:hint="cs"/>
          <w:rtl/>
        </w:rPr>
        <w:t>3</w:t>
      </w:r>
      <w:r w:rsidRPr="00B5177A">
        <w:rPr>
          <w:rtl/>
        </w:rPr>
        <w:t>-2</w:t>
      </w:r>
      <w:r>
        <w:rPr>
          <w:rFonts w:hint="cs"/>
          <w:rtl/>
        </w:rPr>
        <w:t>4</w:t>
      </w:r>
      <w:r w:rsidRPr="00B5177A">
        <w:rPr>
          <w:rtl/>
        </w:rPr>
        <w:t xml:space="preserve"> أبريل 2024.</w:t>
      </w:r>
    </w:p>
    <w:p w14:paraId="59292058" w14:textId="1494108C" w:rsidR="00B004CB" w:rsidRPr="00885F10" w:rsidRDefault="00B004CB" w:rsidP="00B004CB">
      <w:pPr>
        <w:textDirection w:val="tbRlV"/>
        <w:rPr>
          <w:rStyle w:val="ui-provider"/>
          <w:lang w:val="en-GB" w:eastAsia="zh-TW" w:bidi="en-GB"/>
        </w:rPr>
      </w:pPr>
      <w:r w:rsidRPr="00B5177A">
        <w:rPr>
          <w:rtl/>
        </w:rPr>
        <w:lastRenderedPageBreak/>
        <w:t>ولا يزال الاتحاد ملتزما</w:t>
      </w:r>
      <w:r>
        <w:rPr>
          <w:rFonts w:hint="cs"/>
          <w:rtl/>
        </w:rPr>
        <w:t>ً</w:t>
      </w:r>
      <w:r w:rsidRPr="00B5177A">
        <w:rPr>
          <w:rtl/>
        </w:rPr>
        <w:t xml:space="preserve"> بتعزيز الرقمنة في أوكرانيا بالتعاون مع الشركاء </w:t>
      </w:r>
      <w:r>
        <w:rPr>
          <w:rFonts w:hint="cs"/>
          <w:rtl/>
        </w:rPr>
        <w:t>في إطار</w:t>
      </w:r>
      <w:r w:rsidRPr="00B5177A">
        <w:rPr>
          <w:rtl/>
        </w:rPr>
        <w:t xml:space="preserve"> مبادرة </w:t>
      </w:r>
      <w:r>
        <w:t>GovStack</w:t>
      </w:r>
      <w:r w:rsidRPr="00B5177A">
        <w:rPr>
          <w:rtl/>
        </w:rPr>
        <w:t xml:space="preserve">. </w:t>
      </w:r>
      <w:r w:rsidRPr="00B5177A">
        <w:rPr>
          <w:b/>
          <w:bCs/>
          <w:rtl/>
        </w:rPr>
        <w:t xml:space="preserve">وتركز المشاركة الحالية على </w:t>
      </w:r>
      <w:r>
        <w:rPr>
          <w:rFonts w:hint="cs"/>
          <w:b/>
          <w:bCs/>
          <w:rtl/>
        </w:rPr>
        <w:t>منصة السجلات الأوكرانية</w:t>
      </w:r>
      <w:r w:rsidRPr="00B5177A">
        <w:rPr>
          <w:rtl/>
        </w:rPr>
        <w:t xml:space="preserve">. وبالشراكة مع الاتحاد، أجرت </w:t>
      </w:r>
      <w:r>
        <w:rPr>
          <w:color w:val="000000"/>
          <w:rtl/>
        </w:rPr>
        <w:t xml:space="preserve">المؤسسة الألمانية للتعاون </w:t>
      </w:r>
      <w:r>
        <w:rPr>
          <w:rFonts w:hint="cs"/>
          <w:color w:val="000000"/>
          <w:rtl/>
        </w:rPr>
        <w:t xml:space="preserve">الدولي </w:t>
      </w:r>
      <w:r>
        <w:rPr>
          <w:color w:val="000000"/>
        </w:rPr>
        <w:t>(GIZ)</w:t>
      </w:r>
      <w:r w:rsidRPr="00B5177A">
        <w:rPr>
          <w:rtl/>
        </w:rPr>
        <w:t xml:space="preserve"> مناقصة بشأن </w:t>
      </w:r>
      <w:r w:rsidRPr="00CD3639">
        <w:rPr>
          <w:rtl/>
        </w:rPr>
        <w:t xml:space="preserve">تطوير النموذج </w:t>
      </w:r>
      <w:r w:rsidRPr="00CD3639">
        <w:rPr>
          <w:rFonts w:hint="cs"/>
          <w:rtl/>
        </w:rPr>
        <w:t>الأولي</w:t>
      </w:r>
      <w:r w:rsidRPr="00CD3639">
        <w:rPr>
          <w:rtl/>
        </w:rPr>
        <w:t xml:space="preserve"> </w:t>
      </w:r>
      <w:r w:rsidRPr="00CD3639">
        <w:rPr>
          <w:b/>
          <w:bCs/>
          <w:rtl/>
        </w:rPr>
        <w:t>Diia.Engine</w:t>
      </w:r>
      <w:r w:rsidRPr="00CD3639">
        <w:rPr>
          <w:rtl/>
        </w:rPr>
        <w:t xml:space="preserve"> والمرحلة الحالية من </w:t>
      </w:r>
      <w:r w:rsidRPr="00CD3639">
        <w:rPr>
          <w:rFonts w:hint="cs"/>
          <w:rtl/>
        </w:rPr>
        <w:t>المناقصة</w:t>
      </w:r>
      <w:r w:rsidRPr="00CD3639">
        <w:rPr>
          <w:rtl/>
        </w:rPr>
        <w:t xml:space="preserve"> هي اختيار مقترحات المناقصة.</w:t>
      </w:r>
    </w:p>
    <w:p w14:paraId="19CAC3CF" w14:textId="77777777" w:rsidR="00B004CB" w:rsidRPr="007C7821" w:rsidRDefault="00B004CB" w:rsidP="00B004CB">
      <w:pPr>
        <w:pStyle w:val="Heading1"/>
        <w:textDirection w:val="tbRlV"/>
      </w:pPr>
      <w:bookmarkStart w:id="5" w:name="_Toc210312260"/>
      <w:r w:rsidRPr="00CD3639">
        <w:rPr>
          <w:rtl/>
        </w:rPr>
        <w:t>5</w:t>
      </w:r>
      <w:r w:rsidRPr="00CD3639">
        <w:rPr>
          <w:rtl/>
        </w:rPr>
        <w:tab/>
        <w:t>تعبئة الموارد</w:t>
      </w:r>
      <w:bookmarkEnd w:id="5"/>
    </w:p>
    <w:p w14:paraId="12C6AF00" w14:textId="0F4B9215" w:rsidR="00B004CB" w:rsidRPr="00B5177A" w:rsidRDefault="00B004CB" w:rsidP="00B004CB">
      <w:pPr>
        <w:keepNext/>
        <w:keepLines/>
        <w:textDirection w:val="tbRlV"/>
        <w:rPr>
          <w:lang w:val="ar-SA" w:eastAsia="zh-TW" w:bidi="en-GB"/>
        </w:rPr>
      </w:pPr>
      <w:r w:rsidRPr="00B5177A">
        <w:rPr>
          <w:rtl/>
        </w:rPr>
        <w:t>بغية تسهيل تقديم المساعدة التقنية إلى البلد، يواصل الاتحاد تشجيع الدول الأعضاء والشركاء على التعهد بالتزامات وموارد مالية تلائم احتياجات أوكرانيا مع عدد من الإجراءات الاستراتيجية</w:t>
      </w:r>
      <w:r w:rsidRPr="00B5177A">
        <w:t>:</w:t>
      </w:r>
    </w:p>
    <w:p w14:paraId="6B343B75" w14:textId="2C5F9135" w:rsidR="00B004CB" w:rsidRPr="00B5177A" w:rsidRDefault="00B004CB" w:rsidP="0003235B">
      <w:pPr>
        <w:pStyle w:val="enumlev1"/>
        <w:rPr>
          <w:rFonts w:eastAsia="SimSun"/>
          <w:lang w:val="ar-SA" w:eastAsia="zh-TW" w:bidi="en-GB"/>
        </w:rPr>
      </w:pPr>
      <w:r>
        <w:sym w:font="Symbol" w:char="F0B7"/>
      </w:r>
      <w:r>
        <w:rPr>
          <w:rtl/>
        </w:rPr>
        <w:tab/>
      </w:r>
      <w:r w:rsidRPr="00B5177A">
        <w:rPr>
          <w:rtl/>
        </w:rPr>
        <w:t>يواصل الاتحاد تطبيق منهجية Partner2Connect وجمع التعهدات المكرسة لدعم أوكرانيا. وخلال دورة المجلس لعام</w:t>
      </w:r>
      <w:r w:rsidR="0003235B">
        <w:rPr>
          <w:rFonts w:hint="cs"/>
          <w:rtl/>
        </w:rPr>
        <w:t> </w:t>
      </w:r>
      <w:r w:rsidRPr="00B5177A">
        <w:rPr>
          <w:rtl/>
        </w:rPr>
        <w:t xml:space="preserve">2023، ساهم الاتحاد في </w:t>
      </w:r>
      <w:r>
        <w:rPr>
          <w:rFonts w:hint="cs"/>
          <w:rtl/>
        </w:rPr>
        <w:t xml:space="preserve">مأدبة إفطار للمانحين </w:t>
      </w:r>
      <w:r w:rsidRPr="00B5177A">
        <w:rPr>
          <w:rtl/>
        </w:rPr>
        <w:t xml:space="preserve">استضافتها جمهورية بولندا. ومن المقرر عقد جلسات خاصة أثناء اجتماع </w:t>
      </w:r>
      <w:r>
        <w:rPr>
          <w:color w:val="000000"/>
          <w:rtl/>
        </w:rPr>
        <w:t>لجنة سياسات الاتحاد الدولي للاتصالات</w:t>
      </w:r>
      <w:r>
        <w:rPr>
          <w:color w:val="000000"/>
        </w:rPr>
        <w:t xml:space="preserve"> (Com-ITU) </w:t>
      </w:r>
      <w:r>
        <w:rPr>
          <w:color w:val="000000"/>
          <w:rtl/>
        </w:rPr>
        <w:t>لدى المؤتمر الأوروبي لإدارات البريد</w:t>
      </w:r>
      <w:r>
        <w:rPr>
          <w:rFonts w:hint="cs"/>
          <w:rtl/>
        </w:rPr>
        <w:t xml:space="preserve"> والاتصالات</w:t>
      </w:r>
      <w:r w:rsidR="002F4EE3">
        <w:rPr>
          <w:rFonts w:hint="eastAsia"/>
          <w:rtl/>
        </w:rPr>
        <w:t> </w:t>
      </w:r>
      <w:r>
        <w:rPr>
          <w:lang w:val="en-GB"/>
        </w:rPr>
        <w:t>(CEPT)</w:t>
      </w:r>
      <w:r>
        <w:rPr>
          <w:rFonts w:hint="cs"/>
          <w:rtl/>
        </w:rPr>
        <w:t xml:space="preserve"> (</w:t>
      </w:r>
      <w:r w:rsidRPr="00B5177A">
        <w:rPr>
          <w:rtl/>
        </w:rPr>
        <w:t>7-9 مايو 2024، غدانسك) ومؤتمر التعافي في أوكرانيا (11-12 يونيو 2024، برلين).</w:t>
      </w:r>
    </w:p>
    <w:p w14:paraId="4DD9FB01" w14:textId="363C5086" w:rsidR="00B004CB" w:rsidRPr="00B5177A" w:rsidRDefault="00B004CB" w:rsidP="0003235B">
      <w:pPr>
        <w:pStyle w:val="enumlev1"/>
        <w:rPr>
          <w:rFonts w:eastAsia="SimSun"/>
          <w:lang w:val="ar-SA" w:eastAsia="zh-TW" w:bidi="en-GB"/>
        </w:rPr>
      </w:pPr>
      <w:r>
        <w:sym w:font="Symbol" w:char="F0B7"/>
      </w:r>
      <w:r>
        <w:rPr>
          <w:rtl/>
        </w:rPr>
        <w:tab/>
      </w:r>
      <w:r w:rsidRPr="00B5177A">
        <w:rPr>
          <w:rtl/>
        </w:rPr>
        <w:t xml:space="preserve">وفي عام 2024، بلغ إجمالي الالتزامات </w:t>
      </w:r>
      <w:r>
        <w:rPr>
          <w:rFonts w:hint="cs"/>
          <w:rtl/>
        </w:rPr>
        <w:t>المجمعة</w:t>
      </w:r>
      <w:r w:rsidRPr="00B5177A">
        <w:rPr>
          <w:rtl/>
        </w:rPr>
        <w:t xml:space="preserve"> أكثر من 740 مليون دولار أمريكي. </w:t>
      </w:r>
      <w:r>
        <w:rPr>
          <w:rFonts w:hint="cs"/>
          <w:rtl/>
        </w:rPr>
        <w:t>ويمكن الاطلاع على</w:t>
      </w:r>
      <w:r w:rsidRPr="00B5177A">
        <w:rPr>
          <w:rtl/>
        </w:rPr>
        <w:t xml:space="preserve"> قائمة جهات الاتصال المعيّنة </w:t>
      </w:r>
      <w:hyperlink r:id="rId12" w:history="1">
        <w:r w:rsidRPr="00A752FB">
          <w:rPr>
            <w:rStyle w:val="Hyperlink"/>
            <w:rtl/>
          </w:rPr>
          <w:t>هنا</w:t>
        </w:r>
      </w:hyperlink>
      <w:r w:rsidRPr="00B5177A">
        <w:rPr>
          <w:rtl/>
        </w:rPr>
        <w:t>.</w:t>
      </w:r>
    </w:p>
    <w:p w14:paraId="3E7F26D0" w14:textId="181E8D33" w:rsidR="00B004CB" w:rsidRPr="00B5177A" w:rsidRDefault="00B004CB" w:rsidP="0003235B">
      <w:pPr>
        <w:pStyle w:val="enumlev1"/>
        <w:rPr>
          <w:lang w:val="ar-SA" w:eastAsia="zh-TW" w:bidi="en-GB"/>
        </w:rPr>
      </w:pPr>
      <w:r>
        <w:sym w:font="Symbol" w:char="F0B7"/>
      </w:r>
      <w:r>
        <w:rPr>
          <w:rtl/>
        </w:rPr>
        <w:tab/>
      </w:r>
      <w:r w:rsidRPr="00B5177A">
        <w:rPr>
          <w:rtl/>
        </w:rPr>
        <w:t>ويشارك الاتحاد في مواصلة تعبئة المساهمات للصندوق الخاص الاستئماني المكرس لمواصلة تنفيذ القرار</w:t>
      </w:r>
      <w:r w:rsidR="0003235B">
        <w:rPr>
          <w:rFonts w:hint="cs"/>
          <w:rtl/>
        </w:rPr>
        <w:t> </w:t>
      </w:r>
      <w:r w:rsidRPr="00B5177A">
        <w:rPr>
          <w:rtl/>
        </w:rPr>
        <w:t>1408. وفي الوقت الراهن استفاد الصندوق من مساهمات اليابان (</w:t>
      </w:r>
      <w:r>
        <w:rPr>
          <w:rFonts w:hint="cs"/>
          <w:rtl/>
        </w:rPr>
        <w:t>0</w:t>
      </w:r>
      <w:r w:rsidRPr="00B5177A">
        <w:rPr>
          <w:rtl/>
        </w:rPr>
        <w:t>00</w:t>
      </w:r>
      <w:r w:rsidR="0003235B">
        <w:t> </w:t>
      </w:r>
      <w:r>
        <w:rPr>
          <w:rFonts w:hint="cs"/>
          <w:rtl/>
        </w:rPr>
        <w:t>100</w:t>
      </w:r>
      <w:r w:rsidRPr="00B5177A">
        <w:rPr>
          <w:rtl/>
        </w:rPr>
        <w:t xml:space="preserve"> فرنك</w:t>
      </w:r>
      <w:r w:rsidR="002F4EE3">
        <w:rPr>
          <w:rFonts w:hint="cs"/>
          <w:rtl/>
        </w:rPr>
        <w:t xml:space="preserve"> </w:t>
      </w:r>
      <w:r w:rsidRPr="00B5177A">
        <w:rPr>
          <w:rtl/>
        </w:rPr>
        <w:t>سويسري) والجمهورية التشيكية (</w:t>
      </w:r>
      <w:r>
        <w:rPr>
          <w:rFonts w:hint="cs"/>
          <w:rtl/>
        </w:rPr>
        <w:t>000</w:t>
      </w:r>
      <w:r w:rsidR="0003235B">
        <w:rPr>
          <w:rFonts w:hint="eastAsia"/>
        </w:rPr>
        <w:t> </w:t>
      </w:r>
      <w:r>
        <w:rPr>
          <w:rFonts w:hint="cs"/>
          <w:rtl/>
        </w:rPr>
        <w:t>23</w:t>
      </w:r>
      <w:r w:rsidRPr="00B5177A">
        <w:rPr>
          <w:rtl/>
        </w:rPr>
        <w:t xml:space="preserve"> فرنك</w:t>
      </w:r>
      <w:r w:rsidR="0003235B">
        <w:rPr>
          <w:rFonts w:hint="cs"/>
          <w:rtl/>
        </w:rPr>
        <w:t> </w:t>
      </w:r>
      <w:r w:rsidRPr="00B5177A">
        <w:rPr>
          <w:rtl/>
        </w:rPr>
        <w:t>سويسري).</w:t>
      </w:r>
    </w:p>
    <w:p w14:paraId="2F00BE0C" w14:textId="6B4B7DF0" w:rsidR="00B004CB" w:rsidRPr="00B5177A" w:rsidRDefault="00B004CB" w:rsidP="0003235B">
      <w:pPr>
        <w:pStyle w:val="enumlev1"/>
        <w:rPr>
          <w:rFonts w:eastAsia="SimSun"/>
          <w:lang w:val="ar-SA" w:eastAsia="zh-TW" w:bidi="en-GB"/>
        </w:rPr>
      </w:pPr>
      <w:r>
        <w:sym w:font="Symbol" w:char="F0B7"/>
      </w:r>
      <w:r>
        <w:rPr>
          <w:rtl/>
        </w:rPr>
        <w:tab/>
      </w:r>
      <w:r w:rsidRPr="00B5177A">
        <w:rPr>
          <w:rtl/>
        </w:rPr>
        <w:t xml:space="preserve">خصص الاتحاد </w:t>
      </w:r>
      <w:r>
        <w:rPr>
          <w:rFonts w:hint="cs"/>
          <w:rtl/>
        </w:rPr>
        <w:t>000</w:t>
      </w:r>
      <w:r w:rsidR="0003235B">
        <w:t> </w:t>
      </w:r>
      <w:r>
        <w:rPr>
          <w:rFonts w:hint="cs"/>
          <w:rtl/>
        </w:rPr>
        <w:t>20</w:t>
      </w:r>
      <w:r w:rsidRPr="00B5177A">
        <w:rPr>
          <w:rtl/>
        </w:rPr>
        <w:t xml:space="preserve"> فرنك سويسري من ميزانية التشغيل سنوياً للسماح بمواصلة أعمال التنفيذ.</w:t>
      </w:r>
    </w:p>
    <w:p w14:paraId="4A87ACF3" w14:textId="4A2B5C58" w:rsidR="00B004CB" w:rsidRPr="00B5177A" w:rsidRDefault="00B004CB" w:rsidP="0003235B">
      <w:pPr>
        <w:pStyle w:val="enumlev1"/>
        <w:rPr>
          <w:lang w:val="ar-SA" w:eastAsia="zh-TW" w:bidi="en-GB"/>
        </w:rPr>
      </w:pPr>
      <w:r>
        <w:sym w:font="Symbol" w:char="F0B7"/>
      </w:r>
      <w:r>
        <w:rPr>
          <w:rtl/>
        </w:rPr>
        <w:tab/>
      </w:r>
      <w:r w:rsidRPr="00B5177A">
        <w:rPr>
          <w:rtl/>
        </w:rPr>
        <w:t xml:space="preserve">ويواصل الاتحاد </w:t>
      </w:r>
      <w:r>
        <w:rPr>
          <w:rFonts w:hint="cs"/>
          <w:rtl/>
        </w:rPr>
        <w:t>إجراء مناقشات ثنائية منتظمة</w:t>
      </w:r>
      <w:r w:rsidRPr="00B5177A">
        <w:rPr>
          <w:rtl/>
        </w:rPr>
        <w:t xml:space="preserve"> مع الدول الأعضاء والشركاء للحفاظ على الموارد المالية </w:t>
      </w:r>
      <w:r>
        <w:rPr>
          <w:rFonts w:hint="cs"/>
          <w:rtl/>
        </w:rPr>
        <w:t>اللازمة</w:t>
      </w:r>
      <w:r w:rsidRPr="00B5177A">
        <w:rPr>
          <w:rtl/>
        </w:rPr>
        <w:t xml:space="preserve"> </w:t>
      </w:r>
      <w:r>
        <w:rPr>
          <w:rFonts w:hint="cs"/>
          <w:rtl/>
        </w:rPr>
        <w:t>ل</w:t>
      </w:r>
      <w:r w:rsidRPr="00B5177A">
        <w:rPr>
          <w:rtl/>
        </w:rPr>
        <w:t>استمرار عمليات الاتحاد المتعلقة ب</w:t>
      </w:r>
      <w:r>
        <w:rPr>
          <w:rFonts w:hint="cs"/>
          <w:rtl/>
        </w:rPr>
        <w:t xml:space="preserve">تنفيذ </w:t>
      </w:r>
      <w:r w:rsidRPr="00B5177A">
        <w:rPr>
          <w:rtl/>
        </w:rPr>
        <w:t>القرار 1408 وإعادة تأهيل البنية التحتية الإذاعية المطلوبة وفقا</w:t>
      </w:r>
      <w:r>
        <w:rPr>
          <w:rFonts w:hint="cs"/>
          <w:rtl/>
        </w:rPr>
        <w:t>ً</w:t>
      </w:r>
      <w:r w:rsidRPr="00B5177A">
        <w:rPr>
          <w:rtl/>
        </w:rPr>
        <w:t xml:space="preserve"> للتقييم الأولي لخمس محطات إذاعية.</w:t>
      </w:r>
    </w:p>
    <w:p w14:paraId="5202B0E8" w14:textId="48C147F5" w:rsidR="00B004CB" w:rsidRPr="009230B6" w:rsidRDefault="00B004CB" w:rsidP="00B004CB">
      <w:pPr>
        <w:pStyle w:val="Heading1"/>
        <w:textDirection w:val="tbRlV"/>
      </w:pPr>
      <w:bookmarkStart w:id="6" w:name="_Toc2037035869"/>
      <w:r w:rsidRPr="009230B6">
        <w:rPr>
          <w:rtl/>
        </w:rPr>
        <w:t>6</w:t>
      </w:r>
      <w:r w:rsidRPr="009230B6">
        <w:rPr>
          <w:rtl/>
        </w:rPr>
        <w:tab/>
        <w:t>الاستنتاجات</w:t>
      </w:r>
      <w:bookmarkEnd w:id="6"/>
    </w:p>
    <w:p w14:paraId="4C498AD3" w14:textId="77777777" w:rsidR="00B004CB" w:rsidRPr="00B5177A" w:rsidRDefault="00B004CB" w:rsidP="00B004CB">
      <w:pPr>
        <w:textDirection w:val="tbRlV"/>
        <w:rPr>
          <w:lang w:val="ar-SA" w:eastAsia="zh-TW" w:bidi="en-GB"/>
        </w:rPr>
      </w:pPr>
      <w:r w:rsidRPr="00B5177A">
        <w:rPr>
          <w:rtl/>
        </w:rPr>
        <w:t xml:space="preserve">واصل الاتحاد </w:t>
      </w:r>
      <w:r>
        <w:rPr>
          <w:rFonts w:hint="cs"/>
          <w:rtl/>
        </w:rPr>
        <w:t>تكثيف</w:t>
      </w:r>
      <w:r w:rsidRPr="00B5177A">
        <w:rPr>
          <w:rtl/>
        </w:rPr>
        <w:t xml:space="preserve"> الأنشطة الرامية إلى تنفيذ القرار 1408 </w:t>
      </w:r>
      <w:r>
        <w:rPr>
          <w:rFonts w:hint="cs"/>
          <w:rtl/>
        </w:rPr>
        <w:t>ب</w:t>
      </w:r>
      <w:r w:rsidRPr="00B5177A">
        <w:rPr>
          <w:rtl/>
        </w:rPr>
        <w:t xml:space="preserve">تعزيز الشراكات </w:t>
      </w:r>
      <w:r>
        <w:rPr>
          <w:rFonts w:hint="cs"/>
          <w:rtl/>
        </w:rPr>
        <w:t>وإنشاء</w:t>
      </w:r>
      <w:r w:rsidRPr="00B5177A">
        <w:rPr>
          <w:rtl/>
        </w:rPr>
        <w:t xml:space="preserve"> آليات منسقة تنسيقا</w:t>
      </w:r>
      <w:r>
        <w:rPr>
          <w:rFonts w:hint="cs"/>
          <w:rtl/>
        </w:rPr>
        <w:t>ً</w:t>
      </w:r>
      <w:r w:rsidRPr="00B5177A">
        <w:rPr>
          <w:rtl/>
        </w:rPr>
        <w:t xml:space="preserve"> جيدا</w:t>
      </w:r>
      <w:r>
        <w:rPr>
          <w:rFonts w:hint="cs"/>
          <w:rtl/>
        </w:rPr>
        <w:t>ً</w:t>
      </w:r>
      <w:r w:rsidRPr="00B5177A">
        <w:rPr>
          <w:rtl/>
        </w:rPr>
        <w:t xml:space="preserve"> للمضي قدما</w:t>
      </w:r>
      <w:r>
        <w:rPr>
          <w:rFonts w:hint="cs"/>
          <w:rtl/>
        </w:rPr>
        <w:t>ً</w:t>
      </w:r>
      <w:r w:rsidRPr="00B5177A">
        <w:rPr>
          <w:rtl/>
        </w:rPr>
        <w:t xml:space="preserve"> في تنفيذ الأنشطة وتعبئة الموارد المالية. </w:t>
      </w:r>
    </w:p>
    <w:p w14:paraId="3C5F92A0" w14:textId="765A21D4" w:rsidR="00B004CB" w:rsidRPr="00B5177A" w:rsidRDefault="00B004CB" w:rsidP="00B004CB">
      <w:pPr>
        <w:textDirection w:val="tbRlV"/>
        <w:rPr>
          <w:lang w:val="ar-SA" w:eastAsia="zh-TW" w:bidi="en-GB"/>
        </w:rPr>
      </w:pPr>
      <w:r w:rsidRPr="00B5177A">
        <w:rPr>
          <w:rtl/>
        </w:rPr>
        <w:t>ويُرجى من جميع أصحاب المصلحة دعم التعاون العالمي الذي يقدمه الاتحاد والأنشطة التي ينفذها استجابةً للقرار 1408، لا</w:t>
      </w:r>
      <w:r w:rsidR="0003235B">
        <w:rPr>
          <w:rFonts w:hint="cs"/>
          <w:rtl/>
        </w:rPr>
        <w:t> </w:t>
      </w:r>
      <w:r w:rsidRPr="00B5177A">
        <w:rPr>
          <w:rtl/>
        </w:rPr>
        <w:t>سيما على النحو التالي:</w:t>
      </w:r>
    </w:p>
    <w:p w14:paraId="3988D306" w14:textId="130AF009" w:rsidR="00B004CB" w:rsidRPr="00B5177A" w:rsidRDefault="00B004CB" w:rsidP="0003235B">
      <w:pPr>
        <w:pStyle w:val="enumlev1"/>
        <w:rPr>
          <w:rtl/>
          <w:lang w:val="ar-SA" w:eastAsia="zh-TW"/>
        </w:rPr>
      </w:pPr>
      <w:r>
        <w:sym w:font="Symbol" w:char="F0B7"/>
      </w:r>
      <w:r>
        <w:rPr>
          <w:rtl/>
        </w:rPr>
        <w:tab/>
      </w:r>
      <w:r w:rsidRPr="00A127FB">
        <w:rPr>
          <w:rtl/>
        </w:rPr>
        <w:t xml:space="preserve">الالتزام بتقديم المساعدة </w:t>
      </w:r>
      <w:r>
        <w:rPr>
          <w:rFonts w:hint="cs"/>
          <w:rtl/>
        </w:rPr>
        <w:t>التقنية</w:t>
      </w:r>
      <w:r w:rsidRPr="00A127FB">
        <w:rPr>
          <w:rtl/>
        </w:rPr>
        <w:t xml:space="preserve"> والدعم المالي لأوكرانيا لإعادة بناء قطاع الاتصالات، ولا</w:t>
      </w:r>
      <w:r w:rsidR="0003235B">
        <w:rPr>
          <w:rFonts w:hint="cs"/>
          <w:rtl/>
        </w:rPr>
        <w:t> </w:t>
      </w:r>
      <w:r w:rsidRPr="00A127FB">
        <w:rPr>
          <w:rtl/>
        </w:rPr>
        <w:t xml:space="preserve">سيما البنية التحتية </w:t>
      </w:r>
      <w:r>
        <w:rPr>
          <w:rFonts w:hint="cs"/>
          <w:rtl/>
        </w:rPr>
        <w:t>للإذاعة.</w:t>
      </w:r>
      <w:r w:rsidRPr="00A127FB">
        <w:rPr>
          <w:cs/>
        </w:rPr>
        <w:t>‎</w:t>
      </w:r>
    </w:p>
    <w:p w14:paraId="51147148" w14:textId="77777777" w:rsidR="00B004CB" w:rsidRPr="00B5177A" w:rsidRDefault="00B004CB" w:rsidP="0003235B">
      <w:pPr>
        <w:pStyle w:val="enumlev1"/>
        <w:rPr>
          <w:lang w:val="ar-SA" w:eastAsia="zh-TW" w:bidi="en-GB"/>
        </w:rPr>
      </w:pPr>
      <w:r>
        <w:sym w:font="Symbol" w:char="F0B7"/>
      </w:r>
      <w:r>
        <w:rPr>
          <w:rtl/>
        </w:rPr>
        <w:tab/>
      </w:r>
      <w:r w:rsidRPr="00B5177A">
        <w:rPr>
          <w:rtl/>
        </w:rPr>
        <w:t xml:space="preserve">الانضمام إلى مبادرة </w:t>
      </w:r>
      <w:r>
        <w:rPr>
          <w:rFonts w:hint="cs"/>
          <w:rtl/>
        </w:rPr>
        <w:t>"</w:t>
      </w:r>
      <w:r w:rsidRPr="00B5177A">
        <w:rPr>
          <w:rtl/>
        </w:rPr>
        <w:t>الشراكة من أجل التوصيل</w:t>
      </w:r>
      <w:r>
        <w:rPr>
          <w:rFonts w:hint="cs"/>
          <w:rtl/>
        </w:rPr>
        <w:t>"</w:t>
      </w:r>
      <w:r w:rsidRPr="00B5177A">
        <w:rPr>
          <w:rtl/>
        </w:rPr>
        <w:t xml:space="preserve"> وتقديم تعهدات تركز على أوكرانيا </w:t>
      </w:r>
      <w:r>
        <w:rPr>
          <w:rFonts w:hint="cs"/>
          <w:rtl/>
        </w:rPr>
        <w:t>من خلال</w:t>
      </w:r>
      <w:r w:rsidRPr="00B5177A">
        <w:rPr>
          <w:rtl/>
        </w:rPr>
        <w:t xml:space="preserve"> النظام المتاح على الإنترنت </w:t>
      </w:r>
      <w:hyperlink r:id="rId13" w:history="1">
        <w:r w:rsidRPr="0037538C">
          <w:rPr>
            <w:rStyle w:val="Hyperlink"/>
            <w:rtl/>
          </w:rPr>
          <w:t>هنا</w:t>
        </w:r>
      </w:hyperlink>
      <w:r w:rsidRPr="00B5177A">
        <w:rPr>
          <w:rtl/>
        </w:rPr>
        <w:t>؛</w:t>
      </w:r>
    </w:p>
    <w:p w14:paraId="184ACAC6" w14:textId="77777777" w:rsidR="00B004CB" w:rsidRPr="00383946" w:rsidRDefault="00B004CB" w:rsidP="0003235B">
      <w:pPr>
        <w:pStyle w:val="enumlev1"/>
        <w:rPr>
          <w:lang w:val="en-GB" w:eastAsia="zh-TW" w:bidi="en-GB"/>
        </w:rPr>
      </w:pPr>
      <w:r>
        <w:sym w:font="Symbol" w:char="F0B7"/>
      </w:r>
      <w:r>
        <w:rPr>
          <w:rtl/>
        </w:rPr>
        <w:tab/>
      </w:r>
      <w:r w:rsidRPr="00B5177A">
        <w:rPr>
          <w:rtl/>
        </w:rPr>
        <w:t xml:space="preserve">تقديم مساهمة مالية إلى صندوق الاستئمان الخاص، </w:t>
      </w:r>
      <w:r>
        <w:rPr>
          <w:rFonts w:hint="cs"/>
          <w:rtl/>
        </w:rPr>
        <w:t>مما يمكّن من مواصلة</w:t>
      </w:r>
      <w:r w:rsidRPr="00B5177A">
        <w:rPr>
          <w:rtl/>
        </w:rPr>
        <w:t xml:space="preserve"> تنفيذ القرار 1408.</w:t>
      </w:r>
    </w:p>
    <w:p w14:paraId="0851CBD3" w14:textId="77777777" w:rsidR="00B004CB" w:rsidRDefault="00B004CB" w:rsidP="0003235B">
      <w:pPr>
        <w:spacing w:before="600"/>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B004CB" w:rsidSect="006C3242">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345" w14:textId="77777777" w:rsidR="00FA5E1A" w:rsidRDefault="00FA5E1A" w:rsidP="006C3242">
      <w:pPr>
        <w:spacing w:before="0" w:line="240" w:lineRule="auto"/>
      </w:pPr>
      <w:r>
        <w:separator/>
      </w:r>
    </w:p>
  </w:endnote>
  <w:endnote w:type="continuationSeparator" w:id="0">
    <w:p w14:paraId="107A921A" w14:textId="77777777" w:rsidR="00FA5E1A" w:rsidRDefault="00FA5E1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E4881F3" w14:textId="77777777" w:rsidTr="00357086">
      <w:trPr>
        <w:jc w:val="center"/>
      </w:trPr>
      <w:tc>
        <w:tcPr>
          <w:tcW w:w="868" w:type="pct"/>
          <w:vAlign w:val="center"/>
        </w:tcPr>
        <w:p w14:paraId="41BA15D2" w14:textId="6027A500"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AE3FEAB" w14:textId="361BB50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004CB">
            <w:rPr>
              <w:rFonts w:ascii="Calibri" w:hAnsi="Calibri" w:cs="Arial"/>
              <w:bCs/>
              <w:color w:val="7F7F7F"/>
              <w:sz w:val="18"/>
            </w:rPr>
            <w:t>68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7ADB6BF"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EAE0278" w14:textId="01DB9675"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B65E151" w14:textId="77777777" w:rsidTr="00F50E3F">
      <w:trPr>
        <w:jc w:val="center"/>
      </w:trPr>
      <w:tc>
        <w:tcPr>
          <w:tcW w:w="868" w:type="pct"/>
          <w:vAlign w:val="center"/>
        </w:tcPr>
        <w:p w14:paraId="67985445" w14:textId="77777777" w:rsidR="007B0AA0" w:rsidRPr="007B0AA0" w:rsidRDefault="00D0617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9E5C10B" w14:textId="6993FDCD"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004CB">
            <w:rPr>
              <w:rFonts w:ascii="Calibri" w:hAnsi="Calibri" w:cs="Arial"/>
              <w:bCs/>
              <w:color w:val="7F7F7F"/>
              <w:sz w:val="18"/>
            </w:rPr>
            <w:t>68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E2BA500"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E81C4FB" w14:textId="5FFC8EBB"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7E86" w14:textId="77777777" w:rsidR="00FA5E1A" w:rsidRDefault="00FA5E1A" w:rsidP="006C3242">
      <w:pPr>
        <w:spacing w:before="0" w:line="240" w:lineRule="auto"/>
      </w:pPr>
      <w:r>
        <w:separator/>
      </w:r>
    </w:p>
  </w:footnote>
  <w:footnote w:type="continuationSeparator" w:id="0">
    <w:p w14:paraId="22843CD2" w14:textId="77777777" w:rsidR="00FA5E1A" w:rsidRDefault="00FA5E1A" w:rsidP="006C3242">
      <w:pPr>
        <w:spacing w:before="0" w:line="240" w:lineRule="auto"/>
      </w:pPr>
      <w:r>
        <w:continuationSeparator/>
      </w:r>
    </w:p>
  </w:footnote>
  <w:footnote w:id="1">
    <w:p w14:paraId="4505127A" w14:textId="44713851" w:rsidR="00B004CB" w:rsidRPr="00EF4520" w:rsidRDefault="00B004CB" w:rsidP="00EF532A">
      <w:pPr>
        <w:pStyle w:val="FootnoteText"/>
        <w:tabs>
          <w:tab w:val="clear" w:pos="794"/>
          <w:tab w:val="left" w:pos="425"/>
        </w:tabs>
        <w:rPr>
          <w:szCs w:val="20"/>
          <w:rtl/>
        </w:rPr>
      </w:pPr>
      <w:r w:rsidRPr="0069229A">
        <w:rPr>
          <w:rStyle w:val="FootnoteReference"/>
        </w:rPr>
        <w:footnoteRef/>
      </w:r>
      <w:r w:rsidR="00D8375F">
        <w:rPr>
          <w:szCs w:val="20"/>
        </w:rPr>
        <w:tab/>
      </w:r>
      <w:hyperlink r:id="rId1" w:history="1">
        <w:r w:rsidR="00D8375F" w:rsidRPr="0069229A">
          <w:rPr>
            <w:rStyle w:val="Hyperlink"/>
            <w:rFonts w:cstheme="minorBidi"/>
            <w:sz w:val="18"/>
            <w:szCs w:val="18"/>
          </w:rPr>
          <w:t>https://ukraine.un.org/sites/default/files/2024-02/UA%20RDNA3%20report%20EN.pdf</w:t>
        </w:r>
      </w:hyperlink>
      <w:r w:rsidRPr="0069229A">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862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E7CBEC" wp14:editId="38870A0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6F61"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F999573" wp14:editId="320738DE">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1A"/>
    <w:rsid w:val="0003235B"/>
    <w:rsid w:val="0006468A"/>
    <w:rsid w:val="00090574"/>
    <w:rsid w:val="0009186A"/>
    <w:rsid w:val="000C1C0E"/>
    <w:rsid w:val="000C548A"/>
    <w:rsid w:val="000F0FFC"/>
    <w:rsid w:val="001522E2"/>
    <w:rsid w:val="00195B5F"/>
    <w:rsid w:val="001C0169"/>
    <w:rsid w:val="001D1D50"/>
    <w:rsid w:val="001D6745"/>
    <w:rsid w:val="001E446E"/>
    <w:rsid w:val="002154EE"/>
    <w:rsid w:val="002276D2"/>
    <w:rsid w:val="0023283D"/>
    <w:rsid w:val="0026373E"/>
    <w:rsid w:val="00271C43"/>
    <w:rsid w:val="00286DB7"/>
    <w:rsid w:val="00290728"/>
    <w:rsid w:val="002978F4"/>
    <w:rsid w:val="002A3BB5"/>
    <w:rsid w:val="002A6323"/>
    <w:rsid w:val="002B028D"/>
    <w:rsid w:val="002D29BC"/>
    <w:rsid w:val="002E6541"/>
    <w:rsid w:val="002F4EE3"/>
    <w:rsid w:val="00334924"/>
    <w:rsid w:val="003409BC"/>
    <w:rsid w:val="00357185"/>
    <w:rsid w:val="00383829"/>
    <w:rsid w:val="00387876"/>
    <w:rsid w:val="003E4BAC"/>
    <w:rsid w:val="003F4B29"/>
    <w:rsid w:val="0042686F"/>
    <w:rsid w:val="004317D8"/>
    <w:rsid w:val="00434183"/>
    <w:rsid w:val="00443869"/>
    <w:rsid w:val="00447F32"/>
    <w:rsid w:val="004B7334"/>
    <w:rsid w:val="004E11DC"/>
    <w:rsid w:val="004F4239"/>
    <w:rsid w:val="00525DDD"/>
    <w:rsid w:val="005409AC"/>
    <w:rsid w:val="0055516A"/>
    <w:rsid w:val="00562A38"/>
    <w:rsid w:val="0058491B"/>
    <w:rsid w:val="00592EA5"/>
    <w:rsid w:val="005A3170"/>
    <w:rsid w:val="00677396"/>
    <w:rsid w:val="0069200F"/>
    <w:rsid w:val="0069229A"/>
    <w:rsid w:val="006A65CB"/>
    <w:rsid w:val="006A7321"/>
    <w:rsid w:val="006C3242"/>
    <w:rsid w:val="006C7CC0"/>
    <w:rsid w:val="006F63F7"/>
    <w:rsid w:val="007025C7"/>
    <w:rsid w:val="00706D7A"/>
    <w:rsid w:val="00722F0D"/>
    <w:rsid w:val="0074420E"/>
    <w:rsid w:val="00783E26"/>
    <w:rsid w:val="007B0AA0"/>
    <w:rsid w:val="007C3BC7"/>
    <w:rsid w:val="007C3BCD"/>
    <w:rsid w:val="007D4ACF"/>
    <w:rsid w:val="007F0787"/>
    <w:rsid w:val="007F4889"/>
    <w:rsid w:val="00810B7B"/>
    <w:rsid w:val="00816F23"/>
    <w:rsid w:val="0082358A"/>
    <w:rsid w:val="008235CD"/>
    <w:rsid w:val="008247DE"/>
    <w:rsid w:val="008339C0"/>
    <w:rsid w:val="00840B10"/>
    <w:rsid w:val="008513CB"/>
    <w:rsid w:val="008A7F84"/>
    <w:rsid w:val="008C1BF8"/>
    <w:rsid w:val="0091702E"/>
    <w:rsid w:val="00923B0C"/>
    <w:rsid w:val="0094021C"/>
    <w:rsid w:val="00952F86"/>
    <w:rsid w:val="00974B51"/>
    <w:rsid w:val="00982B28"/>
    <w:rsid w:val="009A0976"/>
    <w:rsid w:val="009D313F"/>
    <w:rsid w:val="00A40FC1"/>
    <w:rsid w:val="00A47A5A"/>
    <w:rsid w:val="00A6683B"/>
    <w:rsid w:val="00A97F94"/>
    <w:rsid w:val="00AA10CD"/>
    <w:rsid w:val="00AA7EA2"/>
    <w:rsid w:val="00B004CB"/>
    <w:rsid w:val="00B03099"/>
    <w:rsid w:val="00B05BC8"/>
    <w:rsid w:val="00B6080B"/>
    <w:rsid w:val="00B64B47"/>
    <w:rsid w:val="00B91B14"/>
    <w:rsid w:val="00B95654"/>
    <w:rsid w:val="00C002DE"/>
    <w:rsid w:val="00C1397A"/>
    <w:rsid w:val="00C53BF8"/>
    <w:rsid w:val="00C66157"/>
    <w:rsid w:val="00C674FE"/>
    <w:rsid w:val="00C67501"/>
    <w:rsid w:val="00C75633"/>
    <w:rsid w:val="00CE2EE1"/>
    <w:rsid w:val="00CE3349"/>
    <w:rsid w:val="00CE36E5"/>
    <w:rsid w:val="00CF27F5"/>
    <w:rsid w:val="00CF3FFD"/>
    <w:rsid w:val="00D0617D"/>
    <w:rsid w:val="00D10CCF"/>
    <w:rsid w:val="00D13941"/>
    <w:rsid w:val="00D44107"/>
    <w:rsid w:val="00D63735"/>
    <w:rsid w:val="00D77D0F"/>
    <w:rsid w:val="00D8375F"/>
    <w:rsid w:val="00DA1CF0"/>
    <w:rsid w:val="00DC1E02"/>
    <w:rsid w:val="00DC24B4"/>
    <w:rsid w:val="00DC5FB0"/>
    <w:rsid w:val="00DF16DC"/>
    <w:rsid w:val="00E45211"/>
    <w:rsid w:val="00E473C5"/>
    <w:rsid w:val="00E61BE8"/>
    <w:rsid w:val="00E92863"/>
    <w:rsid w:val="00E95327"/>
    <w:rsid w:val="00EA6353"/>
    <w:rsid w:val="00EB796D"/>
    <w:rsid w:val="00EF4520"/>
    <w:rsid w:val="00EF532A"/>
    <w:rsid w:val="00F058DC"/>
    <w:rsid w:val="00F24FC4"/>
    <w:rsid w:val="00F2676C"/>
    <w:rsid w:val="00F363FE"/>
    <w:rsid w:val="00F50E3F"/>
    <w:rsid w:val="00F84366"/>
    <w:rsid w:val="00F85089"/>
    <w:rsid w:val="00F87DB0"/>
    <w:rsid w:val="00F974C5"/>
    <w:rsid w:val="00FA5E1A"/>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7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ui-provider">
    <w:name w:val="ui-provider"/>
    <w:basedOn w:val="DefaultParagraphFont"/>
    <w:rsid w:val="00B004CB"/>
  </w:style>
  <w:style w:type="character" w:styleId="FollowedHyperlink">
    <w:name w:val="FollowedHyperlink"/>
    <w:basedOn w:val="DefaultParagraphFont"/>
    <w:uiPriority w:val="99"/>
    <w:semiHidden/>
    <w:unhideWhenUsed/>
    <w:rsid w:val="00EF4520"/>
    <w:rPr>
      <w:color w:val="954F72" w:themeColor="followedHyperlink"/>
      <w:u w:val="single"/>
    </w:rPr>
  </w:style>
  <w:style w:type="character" w:styleId="UnresolvedMention">
    <w:name w:val="Unresolved Mention"/>
    <w:basedOn w:val="DefaultParagraphFont"/>
    <w:uiPriority w:val="99"/>
    <w:semiHidden/>
    <w:unhideWhenUsed/>
    <w:rsid w:val="00D8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2/en" TargetMode="External"/><Relationship Id="rId13" Type="http://schemas.openxmlformats.org/officeDocument/2006/relationships/hyperlink" Target="https://www.itu.int/partner2connect-pled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C-0122/en" TargetMode="External"/><Relationship Id="rId4" Type="http://schemas.openxmlformats.org/officeDocument/2006/relationships/settings" Target="settings.xml"/><Relationship Id="rId9" Type="http://schemas.openxmlformats.org/officeDocument/2006/relationships/hyperlink" Target="https://www.itu.int/md/S23-CL-C-0059/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4-02/UA%20RDNA3%20report%2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2024-05-20T12:48:00Z</dcterms:created>
  <dcterms:modified xsi:type="dcterms:W3CDTF">2024-05-30T13:37:00Z</dcterms:modified>
  <cp:category>Conference document</cp:category>
</cp:coreProperties>
</file>