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13B27" w:rsidRPr="00813E5E" w14:paraId="16C8DD02" w14:textId="77777777" w:rsidTr="00C538FC">
        <w:trPr>
          <w:cantSplit/>
          <w:trHeight w:val="23"/>
        </w:trPr>
        <w:tc>
          <w:tcPr>
            <w:tcW w:w="3969" w:type="dxa"/>
            <w:vMerge w:val="restart"/>
            <w:tcMar>
              <w:left w:w="0" w:type="dxa"/>
            </w:tcMar>
          </w:tcPr>
          <w:p w14:paraId="380780FF" w14:textId="72599985" w:rsidR="00F13B27" w:rsidRPr="00E85629" w:rsidRDefault="00F13B27" w:rsidP="00F13B27">
            <w:pPr>
              <w:tabs>
                <w:tab w:val="left" w:pos="851"/>
              </w:tabs>
              <w:spacing w:before="0" w:line="240" w:lineRule="atLeast"/>
              <w:rPr>
                <w:b/>
              </w:rPr>
            </w:pPr>
            <w:bookmarkStart w:id="0" w:name="_Hlk133421839"/>
            <w:r w:rsidRPr="00CE0333">
              <w:rPr>
                <w:rFonts w:asciiTheme="minorHAnsi" w:hAnsiTheme="minorHAnsi" w:cstheme="minorHAnsi"/>
                <w:b/>
                <w:lang w:val="es-ES"/>
              </w:rPr>
              <w:t>Punto del orden del día: PL 2</w:t>
            </w:r>
          </w:p>
        </w:tc>
        <w:tc>
          <w:tcPr>
            <w:tcW w:w="5245" w:type="dxa"/>
          </w:tcPr>
          <w:p w14:paraId="12EC8577" w14:textId="1FFA8FB5" w:rsidR="00F13B27" w:rsidRPr="00E85629" w:rsidRDefault="00F13B27" w:rsidP="00F13B27">
            <w:pPr>
              <w:tabs>
                <w:tab w:val="left" w:pos="851"/>
              </w:tabs>
              <w:spacing w:before="0" w:line="240" w:lineRule="atLeast"/>
              <w:jc w:val="right"/>
              <w:rPr>
                <w:b/>
              </w:rPr>
            </w:pPr>
            <w:r w:rsidRPr="007E500A">
              <w:rPr>
                <w:rFonts w:asciiTheme="minorHAnsi" w:hAnsiTheme="minorHAnsi" w:cstheme="minorHAnsi"/>
                <w:b/>
                <w:lang w:val="fr-FR"/>
              </w:rPr>
              <w:t>Document</w:t>
            </w:r>
            <w:r>
              <w:rPr>
                <w:rFonts w:asciiTheme="minorHAnsi" w:hAnsiTheme="minorHAnsi" w:cstheme="minorHAnsi"/>
                <w:b/>
                <w:lang w:val="fr-FR"/>
              </w:rPr>
              <w:t>o</w:t>
            </w:r>
            <w:r w:rsidRPr="007E500A">
              <w:rPr>
                <w:rFonts w:asciiTheme="minorHAnsi" w:hAnsiTheme="minorHAnsi" w:cstheme="minorHAnsi"/>
                <w:b/>
                <w:lang w:val="fr-FR"/>
              </w:rPr>
              <w:t xml:space="preserve"> C24/67-</w:t>
            </w:r>
            <w:r>
              <w:rPr>
                <w:rFonts w:asciiTheme="minorHAnsi" w:hAnsiTheme="minorHAnsi" w:cstheme="minorHAnsi"/>
                <w:b/>
                <w:lang w:val="fr-FR"/>
              </w:rPr>
              <w:t>S</w:t>
            </w:r>
          </w:p>
        </w:tc>
      </w:tr>
      <w:tr w:rsidR="00F13B27" w:rsidRPr="00813E5E" w14:paraId="2F7BAD0F" w14:textId="77777777" w:rsidTr="00C538FC">
        <w:trPr>
          <w:cantSplit/>
        </w:trPr>
        <w:tc>
          <w:tcPr>
            <w:tcW w:w="3969" w:type="dxa"/>
            <w:vMerge/>
          </w:tcPr>
          <w:p w14:paraId="32D340BD" w14:textId="77777777" w:rsidR="00F13B27" w:rsidRPr="00813E5E" w:rsidRDefault="00F13B27" w:rsidP="00F13B27">
            <w:pPr>
              <w:tabs>
                <w:tab w:val="left" w:pos="851"/>
              </w:tabs>
              <w:spacing w:line="240" w:lineRule="atLeast"/>
              <w:rPr>
                <w:b/>
              </w:rPr>
            </w:pPr>
          </w:p>
        </w:tc>
        <w:tc>
          <w:tcPr>
            <w:tcW w:w="5245" w:type="dxa"/>
          </w:tcPr>
          <w:p w14:paraId="6D67502D" w14:textId="2C9F3AEA" w:rsidR="00F13B27" w:rsidRPr="00E85629" w:rsidRDefault="00F13B27" w:rsidP="00F13B27">
            <w:pPr>
              <w:tabs>
                <w:tab w:val="left" w:pos="851"/>
              </w:tabs>
              <w:spacing w:before="0"/>
              <w:jc w:val="right"/>
              <w:rPr>
                <w:b/>
              </w:rPr>
            </w:pPr>
            <w:r>
              <w:rPr>
                <w:rFonts w:asciiTheme="minorHAnsi" w:hAnsiTheme="minorHAnsi" w:cstheme="minorHAnsi"/>
                <w:b/>
              </w:rPr>
              <w:t>6</w:t>
            </w:r>
            <w:r w:rsidRPr="007E500A">
              <w:rPr>
                <w:rFonts w:asciiTheme="minorHAnsi" w:hAnsiTheme="minorHAnsi" w:cstheme="minorHAnsi"/>
                <w:b/>
              </w:rPr>
              <w:t xml:space="preserve"> </w:t>
            </w:r>
            <w:r>
              <w:rPr>
                <w:rFonts w:asciiTheme="minorHAnsi" w:hAnsiTheme="minorHAnsi" w:cstheme="minorHAnsi"/>
                <w:b/>
              </w:rPr>
              <w:t>de mayo de</w:t>
            </w:r>
            <w:r w:rsidRPr="007E500A">
              <w:rPr>
                <w:rFonts w:asciiTheme="minorHAnsi" w:hAnsiTheme="minorHAnsi" w:cstheme="minorHAnsi"/>
                <w:b/>
              </w:rPr>
              <w:t xml:space="preserve"> 2024</w:t>
            </w:r>
          </w:p>
        </w:tc>
      </w:tr>
      <w:tr w:rsidR="00F13B27" w:rsidRPr="00F24B71" w14:paraId="14ED61B8" w14:textId="77777777" w:rsidTr="00C538FC">
        <w:trPr>
          <w:cantSplit/>
          <w:trHeight w:val="23"/>
        </w:trPr>
        <w:tc>
          <w:tcPr>
            <w:tcW w:w="3969" w:type="dxa"/>
            <w:vMerge/>
          </w:tcPr>
          <w:p w14:paraId="36AAE2B4" w14:textId="77777777" w:rsidR="00F13B27" w:rsidRPr="00813E5E" w:rsidRDefault="00F13B27" w:rsidP="00F13B27">
            <w:pPr>
              <w:tabs>
                <w:tab w:val="left" w:pos="851"/>
              </w:tabs>
              <w:spacing w:line="240" w:lineRule="atLeast"/>
              <w:rPr>
                <w:b/>
              </w:rPr>
            </w:pPr>
          </w:p>
        </w:tc>
        <w:tc>
          <w:tcPr>
            <w:tcW w:w="5245" w:type="dxa"/>
          </w:tcPr>
          <w:p w14:paraId="54C7ED74" w14:textId="72AF7EF4" w:rsidR="00F13B27" w:rsidRPr="00F24B71" w:rsidRDefault="00F13B27" w:rsidP="00F13B27">
            <w:pPr>
              <w:tabs>
                <w:tab w:val="left" w:pos="851"/>
              </w:tabs>
              <w:spacing w:before="0" w:line="240" w:lineRule="atLeast"/>
              <w:jc w:val="right"/>
              <w:rPr>
                <w:b/>
                <w:bCs/>
              </w:rPr>
            </w:pPr>
            <w:r w:rsidRPr="007E500A">
              <w:rPr>
                <w:rFonts w:asciiTheme="minorHAnsi" w:hAnsiTheme="minorHAnsi" w:cstheme="minorHAnsi"/>
                <w:b/>
              </w:rPr>
              <w:t xml:space="preserve">Original: </w:t>
            </w:r>
            <w:r>
              <w:rPr>
                <w:rFonts w:asciiTheme="minorHAnsi" w:hAnsiTheme="minorHAnsi" w:cstheme="minorHAnsi"/>
                <w:b/>
              </w:rPr>
              <w:t>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49BC5D2" w:rsidR="00FE57F6" w:rsidRPr="00F13B27" w:rsidRDefault="00F13B27" w:rsidP="00C538FC">
            <w:pPr>
              <w:pStyle w:val="Subtitle"/>
              <w:framePr w:hSpace="0" w:wrap="auto" w:hAnchor="text" w:xAlign="left" w:yAlign="inline"/>
              <w:rPr>
                <w:lang w:val="es-ES"/>
              </w:rPr>
            </w:pPr>
            <w:bookmarkStart w:id="1" w:name="_Hlk165926021"/>
            <w:r w:rsidRPr="00CE0333">
              <w:rPr>
                <w:rFonts w:asciiTheme="minorHAnsi" w:hAnsiTheme="minorHAnsi" w:cstheme="minorHAnsi"/>
                <w:lang w:val="es-ES"/>
              </w:rPr>
              <w:t xml:space="preserve">INFORME SOBRE LA RESOLUCIÓN 214 (BUCAREST, 2022) DE LA PP </w:t>
            </w:r>
            <w:r>
              <w:rPr>
                <w:rFonts w:asciiTheme="minorHAnsi" w:hAnsiTheme="minorHAnsi" w:cstheme="minorHAnsi"/>
                <w:lang w:val="es-ES"/>
              </w:rPr>
              <w:t>"</w:t>
            </w:r>
            <w:r w:rsidRPr="00CE0333">
              <w:rPr>
                <w:rFonts w:asciiTheme="minorHAnsi" w:hAnsiTheme="minorHAnsi" w:cstheme="minorHAnsi"/>
                <w:lang w:val="es-ES"/>
              </w:rPr>
              <w:t>TECNOLOGÍAS DE INTELIGENCIA ARTIFICIAL Y TELECOMUNICACIONES/ TECNOLOGÍAS DE LA INFORMACIÓN Y LA COMUNICACIÓN</w:t>
            </w:r>
            <w:bookmarkEnd w:id="1"/>
            <w:r>
              <w:rPr>
                <w:rFonts w:asciiTheme="minorHAnsi" w:hAnsiTheme="minorHAnsi" w:cstheme="minorHAnsi"/>
                <w:lang w:val="es-ES"/>
              </w:rPr>
              <w:t>"</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52C4AA2" w:rsidR="00FE57F6" w:rsidRPr="00F24B71" w:rsidRDefault="00F24B71" w:rsidP="00C538FC">
            <w:pPr>
              <w:spacing w:before="160"/>
              <w:rPr>
                <w:b/>
                <w:bCs/>
                <w:sz w:val="26"/>
                <w:szCs w:val="26"/>
                <w:lang w:val="es-ES"/>
              </w:rPr>
            </w:pPr>
            <w:r w:rsidRPr="00F24B71">
              <w:rPr>
                <w:b/>
                <w:bCs/>
                <w:sz w:val="26"/>
                <w:szCs w:val="26"/>
                <w:lang w:val="es-ES"/>
              </w:rPr>
              <w:t xml:space="preserve">Finalidad </w:t>
            </w:r>
          </w:p>
          <w:p w14:paraId="618C4414" w14:textId="5F9479DC" w:rsidR="00FE57F6" w:rsidRPr="00F24B71" w:rsidRDefault="00F13B27" w:rsidP="008836E0">
            <w:pPr>
              <w:rPr>
                <w:lang w:val="es-ES"/>
              </w:rPr>
            </w:pPr>
            <w:r w:rsidRPr="00CE0333">
              <w:rPr>
                <w:lang w:val="es-ES"/>
              </w:rPr>
              <w:t>El objetivo de este documento es presentar un informe global sobre las actividades de la UIT relacionadas con la inteligencia artificial (IA), su rápido crecimiento y las cada vez mayores de</w:t>
            </w:r>
            <w:r>
              <w:rPr>
                <w:lang w:val="es-ES"/>
              </w:rPr>
              <w:t>mandas de nuestros Miembros e interesados</w:t>
            </w:r>
            <w:r w:rsidRPr="00CE0333">
              <w:rPr>
                <w:lang w:val="es-ES"/>
              </w:rPr>
              <w:t>.</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F67BC65" w:rsidR="00FE57F6" w:rsidRPr="00F13B27" w:rsidRDefault="00F13B27" w:rsidP="00F13B27">
            <w:pPr>
              <w:jc w:val="both"/>
              <w:rPr>
                <w:rFonts w:asciiTheme="minorHAnsi" w:hAnsiTheme="minorHAnsi" w:cstheme="minorBidi"/>
                <w:lang w:val="es-ES"/>
              </w:rPr>
            </w:pPr>
            <w:r w:rsidRPr="00134EC5">
              <w:rPr>
                <w:rFonts w:asciiTheme="minorHAnsi" w:hAnsiTheme="minorHAnsi" w:cstheme="minorBidi"/>
                <w:lang w:val="es-ES"/>
              </w:rPr>
              <w:t xml:space="preserve">Se invita al Consejo a </w:t>
            </w:r>
            <w:r w:rsidRPr="00134EC5">
              <w:rPr>
                <w:rFonts w:asciiTheme="minorHAnsi" w:hAnsiTheme="minorHAnsi" w:cstheme="minorBidi"/>
                <w:b/>
                <w:bCs/>
                <w:lang w:val="es-ES"/>
              </w:rPr>
              <w:t xml:space="preserve">tomar nota </w:t>
            </w:r>
            <w:r w:rsidRPr="00134EC5">
              <w:rPr>
                <w:rFonts w:asciiTheme="minorHAnsi" w:hAnsiTheme="minorHAnsi" w:cstheme="minorBidi"/>
                <w:lang w:val="es-ES"/>
              </w:rPr>
              <w:t>del docume</w:t>
            </w:r>
            <w:r>
              <w:rPr>
                <w:rFonts w:asciiTheme="minorHAnsi" w:hAnsiTheme="minorHAnsi" w:cstheme="minorBidi"/>
                <w:lang w:val="es-ES"/>
              </w:rPr>
              <w:t>nto</w:t>
            </w:r>
            <w:r w:rsidRPr="00134EC5">
              <w:rPr>
                <w:rFonts w:asciiTheme="minorHAnsi" w:hAnsiTheme="minorHAnsi" w:cstheme="minorBidi"/>
                <w:lang w:val="es-ES"/>
              </w:rPr>
              <w:t>.</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3FC17594" w:rsidR="00FE57F6" w:rsidRPr="00F13B27" w:rsidRDefault="00F13B27" w:rsidP="008836E0">
            <w:pPr>
              <w:rPr>
                <w:lang w:val="es-ES"/>
              </w:rPr>
            </w:pPr>
            <w:r w:rsidRPr="00134EC5">
              <w:rPr>
                <w:lang w:val="es-ES"/>
              </w:rPr>
              <w:t xml:space="preserve">Elaboración de normas internacionales; Elaboración de marcos políticos y productos de conocimiento; Desarrollo de capacidades; Creación de </w:t>
            </w:r>
            <w:r>
              <w:rPr>
                <w:lang w:val="es-ES"/>
              </w:rPr>
              <w:t>plataformas</w:t>
            </w:r>
            <w:r w:rsidRPr="00134EC5">
              <w:rPr>
                <w:lang w:val="es-ES"/>
              </w:rPr>
              <w:t>.</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570AED91" w14:textId="66BD6B17" w:rsidR="00FE57F6" w:rsidRPr="00D43B85" w:rsidRDefault="00F13B27" w:rsidP="00D43B85">
            <w:pPr>
              <w:spacing w:before="240"/>
              <w:rPr>
                <w:b/>
                <w:bCs/>
                <w:szCs w:val="24"/>
              </w:rPr>
            </w:pPr>
            <w:r w:rsidRPr="00134EC5">
              <w:rPr>
                <w:rFonts w:asciiTheme="minorHAnsi" w:hAnsiTheme="minorHAnsi" w:cstheme="minorHAnsi"/>
                <w:szCs w:val="24"/>
                <w:lang w:val="es-ES"/>
              </w:rPr>
              <w:t xml:space="preserve">El aumento de las actividades relacionadas con la IA en la </w:t>
            </w:r>
            <w:r>
              <w:rPr>
                <w:rFonts w:asciiTheme="minorHAnsi" w:hAnsiTheme="minorHAnsi" w:cstheme="minorHAnsi"/>
                <w:szCs w:val="24"/>
                <w:lang w:val="es-ES"/>
              </w:rPr>
              <w:t>UIT puede tener repercusiones financieras</w:t>
            </w:r>
            <w:r w:rsidRPr="00134EC5">
              <w:rPr>
                <w:rFonts w:asciiTheme="minorHAnsi" w:hAnsiTheme="minorHAnsi" w:cstheme="minorHAnsi"/>
                <w:szCs w:val="24"/>
                <w:lang w:val="es-ES"/>
              </w:rPr>
              <w:t>.</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7777777" w:rsidR="00FE57F6" w:rsidRDefault="00F24B71" w:rsidP="00C538FC">
            <w:pPr>
              <w:spacing w:before="160"/>
              <w:rPr>
                <w:b/>
                <w:bCs/>
                <w:sz w:val="26"/>
                <w:szCs w:val="26"/>
              </w:rPr>
            </w:pPr>
            <w:r w:rsidRPr="00F24B71">
              <w:rPr>
                <w:b/>
                <w:bCs/>
                <w:sz w:val="26"/>
                <w:szCs w:val="26"/>
              </w:rPr>
              <w:t>Referencia</w:t>
            </w:r>
          </w:p>
          <w:p w14:paraId="58339413" w14:textId="3D374809" w:rsidR="00FE57F6" w:rsidRPr="00EB1256" w:rsidRDefault="00F13B27" w:rsidP="00C538FC">
            <w:pPr>
              <w:spacing w:after="160"/>
              <w:rPr>
                <w:i/>
                <w:iCs/>
              </w:rPr>
            </w:pPr>
            <w:hyperlink r:id="rId7" w:history="1">
              <w:r w:rsidRPr="00EB1256">
                <w:rPr>
                  <w:rStyle w:val="Hyperlink"/>
                  <w:rFonts w:asciiTheme="minorHAnsi" w:eastAsiaTheme="minorHAnsi" w:hAnsiTheme="minorHAnsi" w:cstheme="minorHAnsi"/>
                  <w:i/>
                  <w:iCs/>
                  <w:color w:val="0563C1"/>
                  <w:kern w:val="2"/>
                  <w:szCs w:val="24"/>
                  <w:lang w:val="en-GB"/>
                  <w14:ligatures w14:val="standardContextual"/>
                </w:rPr>
                <w:t>C24/IN</w:t>
              </w:r>
              <w:r w:rsidRPr="00EB1256">
                <w:rPr>
                  <w:rStyle w:val="Hyperlink"/>
                  <w:rFonts w:asciiTheme="minorHAnsi" w:eastAsiaTheme="minorHAnsi" w:hAnsiTheme="minorHAnsi" w:cstheme="minorHAnsi"/>
                  <w:i/>
                  <w:iCs/>
                  <w:color w:val="0563C1"/>
                  <w:kern w:val="2"/>
                  <w:szCs w:val="24"/>
                  <w:lang w:val="en-GB"/>
                  <w14:ligatures w14:val="standardContextual"/>
                </w:rPr>
                <w:t>F</w:t>
              </w:r>
              <w:r w:rsidRPr="00EB1256">
                <w:rPr>
                  <w:rStyle w:val="Hyperlink"/>
                  <w:rFonts w:asciiTheme="minorHAnsi" w:eastAsiaTheme="minorHAnsi" w:hAnsiTheme="minorHAnsi" w:cstheme="minorHAnsi"/>
                  <w:i/>
                  <w:iCs/>
                  <w:color w:val="0563C1"/>
                  <w:kern w:val="2"/>
                  <w:szCs w:val="24"/>
                  <w:lang w:val="en-GB"/>
                  <w14:ligatures w14:val="standardContextual"/>
                </w:rPr>
                <w:t>/15</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1401A3D9" w14:textId="77777777" w:rsidR="00F13B27" w:rsidRPr="006D5FC9" w:rsidRDefault="00F13B27" w:rsidP="006D5FC9">
      <w:r w:rsidRPr="006D5FC9">
        <w:lastRenderedPageBreak/>
        <w:t>La UIT ha estado a la vanguardia de la inteligencia artificial (IA) desde 2017 con el objetivo de garantizar que la IA acelera el progreso hacia la consecución de los Objetivos de Desarrollo Sostenible (ODS) de las Naciones Unidas y contribuye a la conectividad universal y la transformación digital sostenible.</w:t>
      </w:r>
    </w:p>
    <w:p w14:paraId="1DF76D96" w14:textId="120B24F3" w:rsidR="00F13B27" w:rsidRPr="00463BE0" w:rsidRDefault="00F13B27" w:rsidP="006D5FC9">
      <w:pPr>
        <w:rPr>
          <w:lang w:val="es-ES"/>
        </w:rPr>
      </w:pPr>
      <w:r w:rsidRPr="006D5FC9">
        <w:t xml:space="preserve">La UIT está ejecutando un ambicioso programa sobre la IA, siguiendo las orientaciones de la Resolución 214 (Bucarest, 2022) de la Conferencia de Plenipotenciarios, y ampliado por la nueva y destacada Resolución </w:t>
      </w:r>
      <w:hyperlink r:id="rId8" w:history="1">
        <w:r w:rsidRPr="00EB1256">
          <w:rPr>
            <w:rStyle w:val="Hyperlink"/>
            <w:rFonts w:asciiTheme="minorHAnsi" w:eastAsiaTheme="minorHAnsi" w:hAnsiTheme="minorHAnsi" w:cstheme="minorHAnsi"/>
            <w:color w:val="0563C1"/>
            <w:kern w:val="2"/>
            <w:szCs w:val="24"/>
            <w:lang w:val="en-GB"/>
            <w14:ligatures w14:val="standardContextual"/>
          </w:rPr>
          <w:t>A/</w:t>
        </w:r>
        <w:r w:rsidRPr="00EB1256">
          <w:rPr>
            <w:rStyle w:val="Hyperlink"/>
            <w:rFonts w:asciiTheme="minorHAnsi" w:eastAsiaTheme="minorHAnsi" w:hAnsiTheme="minorHAnsi" w:cstheme="minorHAnsi"/>
            <w:color w:val="0563C1"/>
            <w:kern w:val="2"/>
            <w:szCs w:val="24"/>
            <w:lang w:val="en-GB"/>
            <w14:ligatures w14:val="standardContextual"/>
          </w:rPr>
          <w:t>7</w:t>
        </w:r>
        <w:r w:rsidRPr="00EB1256">
          <w:rPr>
            <w:rStyle w:val="Hyperlink"/>
            <w:rFonts w:asciiTheme="minorHAnsi" w:eastAsiaTheme="minorHAnsi" w:hAnsiTheme="minorHAnsi" w:cstheme="minorHAnsi"/>
            <w:color w:val="0563C1"/>
            <w:kern w:val="2"/>
            <w:szCs w:val="24"/>
            <w:lang w:val="en-GB"/>
            <w14:ligatures w14:val="standardContextual"/>
          </w:rPr>
          <w:t>8/L.4</w:t>
        </w:r>
        <w:r w:rsidRPr="00EB1256">
          <w:rPr>
            <w:rStyle w:val="Hyperlink"/>
            <w:rFonts w:asciiTheme="minorHAnsi" w:eastAsiaTheme="minorHAnsi" w:hAnsiTheme="minorHAnsi" w:cstheme="minorHAnsi"/>
            <w:color w:val="0563C1"/>
            <w:kern w:val="2"/>
            <w:szCs w:val="24"/>
            <w:lang w:val="en-GB"/>
            <w14:ligatures w14:val="standardContextual"/>
          </w:rPr>
          <w:t>9</w:t>
        </w:r>
      </w:hyperlink>
      <w:r w:rsidRPr="006D5FC9">
        <w:t xml:space="preserve"> de la Asamblea General de las Naciones Unidas. Estas Resoluciones sobre la IA subrayan la necesidad de crear sistemas de IA seguros, fiables y protegidos que aporten su contribución al desarrollo sostenible.</w:t>
      </w:r>
    </w:p>
    <w:p w14:paraId="3833DE59" w14:textId="77777777" w:rsidR="00F13B27" w:rsidRPr="0088187C" w:rsidRDefault="00F13B27" w:rsidP="006D5FC9">
      <w:pPr>
        <w:rPr>
          <w:lang w:val="es-ES"/>
        </w:rPr>
      </w:pPr>
      <w:r w:rsidRPr="00463BE0">
        <w:rPr>
          <w:lang w:val="es-ES"/>
        </w:rPr>
        <w:t xml:space="preserve">La UIT cuenta con más de 220 normas sobre la IA publicadas </w:t>
      </w:r>
      <w:r>
        <w:rPr>
          <w:lang w:val="es-ES"/>
        </w:rPr>
        <w:t xml:space="preserve">o en fase de desarrollo. </w:t>
      </w:r>
      <w:r w:rsidRPr="00463BE0">
        <w:rPr>
          <w:lang w:val="es-ES"/>
        </w:rPr>
        <w:t xml:space="preserve">En este esfuerzo </w:t>
      </w:r>
      <w:r w:rsidRPr="008836E0">
        <w:rPr>
          <w:lang w:val="es-ES"/>
        </w:rPr>
        <w:t>cuenta</w:t>
      </w:r>
      <w:r w:rsidRPr="00463BE0">
        <w:rPr>
          <w:lang w:val="es-ES"/>
        </w:rPr>
        <w:t xml:space="preserve"> con el apoyo de sus numerosos </w:t>
      </w:r>
      <w:r>
        <w:rPr>
          <w:lang w:val="es-ES"/>
        </w:rPr>
        <w:t>Miembros y se ve intensificado por la colaboración con la ISO y la CEI, sus socias en la Cooperación Mundial sobre Normas. Además, la coordinación está abierta a otros organismos de normalización y de las Naciones Unidas, como la Organización Mundial de la Salud (OMS), la Organización Mundial de la Propiedad Intelectual (OMPI), la Organización para la Alimentación y la Agricultura (FAO), la Organización Meteorológica Mundial (OMM), el Programa de las Naciones Unidas para el Medio Ambiente (PNUMA) y la Comisión Económica para Europa (CEPE) de las Naciones Unidas</w:t>
      </w:r>
      <w:r w:rsidRPr="0088187C">
        <w:rPr>
          <w:lang w:val="es-ES"/>
        </w:rPr>
        <w:t>.</w:t>
      </w:r>
    </w:p>
    <w:p w14:paraId="38E5C16B" w14:textId="3435BB48" w:rsidR="00F13B27" w:rsidRPr="00592279" w:rsidRDefault="00F13B27" w:rsidP="006D5FC9">
      <w:pPr>
        <w:rPr>
          <w:lang w:val="es-ES"/>
        </w:rPr>
      </w:pPr>
      <w:r w:rsidRPr="00592279">
        <w:rPr>
          <w:lang w:val="es-ES"/>
        </w:rPr>
        <w:t xml:space="preserve">En el centro de los esfuerzos de la UIT está la plataforma </w:t>
      </w:r>
      <w:hyperlink r:id="rId9" w:anchor="/es">
        <w:r w:rsidRPr="00EB1256">
          <w:rPr>
            <w:rStyle w:val="Hyperlink"/>
            <w:rFonts w:asciiTheme="minorHAnsi" w:eastAsiaTheme="minorHAnsi" w:hAnsiTheme="minorHAnsi" w:cstheme="minorHAnsi"/>
            <w:color w:val="0563C1"/>
            <w:kern w:val="2"/>
            <w:szCs w:val="24"/>
            <w:lang w:val="en-GB"/>
            <w14:ligatures w14:val="standardContextual"/>
          </w:rPr>
          <w:t>AI for Go</w:t>
        </w:r>
        <w:r w:rsidRPr="00EB1256">
          <w:rPr>
            <w:rStyle w:val="Hyperlink"/>
            <w:rFonts w:asciiTheme="minorHAnsi" w:eastAsiaTheme="minorHAnsi" w:hAnsiTheme="minorHAnsi" w:cstheme="minorHAnsi"/>
            <w:color w:val="0563C1"/>
            <w:kern w:val="2"/>
            <w:szCs w:val="24"/>
            <w:lang w:val="en-GB"/>
            <w14:ligatures w14:val="standardContextual"/>
          </w:rPr>
          <w:t>o</w:t>
        </w:r>
        <w:r w:rsidRPr="00EB1256">
          <w:rPr>
            <w:rStyle w:val="Hyperlink"/>
            <w:rFonts w:asciiTheme="minorHAnsi" w:eastAsiaTheme="minorHAnsi" w:hAnsiTheme="minorHAnsi" w:cstheme="minorHAnsi"/>
            <w:color w:val="0563C1"/>
            <w:kern w:val="2"/>
            <w:szCs w:val="24"/>
            <w:lang w:val="en-GB"/>
            <w14:ligatures w14:val="standardContextual"/>
          </w:rPr>
          <w:t>d</w:t>
        </w:r>
      </w:hyperlink>
      <w:r w:rsidRPr="00592279">
        <w:rPr>
          <w:rStyle w:val="Hyperlink"/>
          <w:rFonts w:asciiTheme="minorHAnsi" w:hAnsiTheme="minorHAnsi" w:cstheme="minorBidi"/>
          <w:lang w:val="es-ES"/>
        </w:rPr>
        <w:t>,</w:t>
      </w:r>
      <w:r w:rsidRPr="00592279">
        <w:rPr>
          <w:lang w:val="es-ES"/>
        </w:rPr>
        <w:t xml:space="preserve"> dependiente </w:t>
      </w:r>
      <w:r>
        <w:rPr>
          <w:lang w:val="es-ES"/>
        </w:rPr>
        <w:t xml:space="preserve">de la UIT y que cuenta con </w:t>
      </w:r>
      <w:r w:rsidRPr="008836E0">
        <w:rPr>
          <w:lang w:val="es-ES"/>
        </w:rPr>
        <w:t>el</w:t>
      </w:r>
      <w:r>
        <w:rPr>
          <w:lang w:val="es-ES"/>
        </w:rPr>
        <w:t xml:space="preserve"> apoyo de </w:t>
      </w:r>
      <w:r w:rsidR="008836E0">
        <w:rPr>
          <w:lang w:val="es-ES"/>
        </w:rPr>
        <w:t>4</w:t>
      </w:r>
      <w:r>
        <w:rPr>
          <w:lang w:val="es-ES"/>
        </w:rPr>
        <w:t>0 socios de las Naciones Unidas, cuyo objetivo es emplear la IA en pro de la consecución de los ODS</w:t>
      </w:r>
      <w:r w:rsidRPr="00592279">
        <w:rPr>
          <w:lang w:val="es-ES"/>
        </w:rPr>
        <w:t xml:space="preserve">. </w:t>
      </w:r>
    </w:p>
    <w:p w14:paraId="6139EB7A" w14:textId="77777777" w:rsidR="00F13B27" w:rsidRPr="00592279" w:rsidRDefault="00F13B27" w:rsidP="006D5FC9">
      <w:pPr>
        <w:rPr>
          <w:lang w:val="es-ES"/>
        </w:rPr>
      </w:pPr>
      <w:r w:rsidRPr="00592279">
        <w:rPr>
          <w:lang w:val="es-ES"/>
        </w:rPr>
        <w:t>Por otra parte, la UIT copreside el Grupo de Trabajo Interorganismos de la JJE-HLCP (Junta de Jefes Ejecutivos para la Coordinación – Com</w:t>
      </w:r>
      <w:r>
        <w:rPr>
          <w:lang w:val="es-ES"/>
        </w:rPr>
        <w:t>i</w:t>
      </w:r>
      <w:r w:rsidRPr="00592279">
        <w:rPr>
          <w:lang w:val="es-ES"/>
        </w:rPr>
        <w:t xml:space="preserve">té de Alto Nivel sobre Programas) sobre la IA junto con la Organización </w:t>
      </w:r>
      <w:r w:rsidRPr="008836E0">
        <w:rPr>
          <w:lang w:val="es-ES"/>
        </w:rPr>
        <w:t>de</w:t>
      </w:r>
      <w:r w:rsidRPr="00592279">
        <w:rPr>
          <w:lang w:val="es-ES"/>
        </w:rPr>
        <w:t xml:space="preserve"> las Naciones Unidas par</w:t>
      </w:r>
      <w:r>
        <w:rPr>
          <w:lang w:val="es-ES"/>
        </w:rPr>
        <w:t>a la Educación, la Ciencia y la Cultura</w:t>
      </w:r>
      <w:r w:rsidRPr="00592279">
        <w:rPr>
          <w:lang w:val="es-ES"/>
        </w:rPr>
        <w:t xml:space="preserve"> (UNESCO), </w:t>
      </w:r>
      <w:r>
        <w:rPr>
          <w:lang w:val="es-ES"/>
        </w:rPr>
        <w:t>que promueve la coordinación en todo el sistema de las Naciones Unidas, así como la coherencia en materia de políticas sobre IA en apoyo de sus Estados Miembros y demás interesados</w:t>
      </w:r>
      <w:r w:rsidRPr="00592279">
        <w:rPr>
          <w:lang w:val="es-ES"/>
        </w:rPr>
        <w:t>.</w:t>
      </w:r>
    </w:p>
    <w:p w14:paraId="060B9DB6" w14:textId="77777777" w:rsidR="00F13B27" w:rsidRPr="00592279" w:rsidRDefault="00F13B27" w:rsidP="006D5FC9">
      <w:pPr>
        <w:rPr>
          <w:lang w:val="es-ES"/>
        </w:rPr>
      </w:pPr>
      <w:r w:rsidRPr="00592279">
        <w:rPr>
          <w:lang w:val="es-ES"/>
        </w:rPr>
        <w:t>El programa del Simposio Mundial para Organismos Reguladores (GSR-24) compren</w:t>
      </w:r>
      <w:r>
        <w:rPr>
          <w:lang w:val="es-ES"/>
        </w:rPr>
        <w:t xml:space="preserve">de sesiones exclusivas para los </w:t>
      </w:r>
      <w:r w:rsidRPr="006D5FC9">
        <w:rPr>
          <w:lang w:val="es-ES"/>
        </w:rPr>
        <w:t>reguladores</w:t>
      </w:r>
      <w:r>
        <w:rPr>
          <w:lang w:val="es-ES"/>
        </w:rPr>
        <w:t xml:space="preserve"> sobre la influencia positiva de la IA y robótica</w:t>
      </w:r>
      <w:r w:rsidRPr="00592279">
        <w:rPr>
          <w:lang w:val="es-ES"/>
        </w:rPr>
        <w:t>.</w:t>
      </w:r>
    </w:p>
    <w:p w14:paraId="06AE024C" w14:textId="77777777" w:rsidR="00F13B27" w:rsidRPr="00592279" w:rsidRDefault="00F13B27" w:rsidP="006D5FC9">
      <w:pPr>
        <w:rPr>
          <w:lang w:val="es-ES"/>
        </w:rPr>
      </w:pPr>
      <w:r w:rsidRPr="00592279">
        <w:rPr>
          <w:lang w:val="es-ES"/>
        </w:rPr>
        <w:t>Como la demanda de actividades sobre IA aument</w:t>
      </w:r>
      <w:r>
        <w:rPr>
          <w:lang w:val="es-ES"/>
        </w:rPr>
        <w:t xml:space="preserve">a notablemente, la UIT está ajustando sus programas para colmar las necesidades a nivel mundial. </w:t>
      </w:r>
      <w:r w:rsidRPr="00592279">
        <w:rPr>
          <w:lang w:val="es-ES"/>
        </w:rPr>
        <w:t>En este Informe se detalla el papel que</w:t>
      </w:r>
      <w:r>
        <w:rPr>
          <w:lang w:val="es-ES"/>
        </w:rPr>
        <w:t xml:space="preserve"> desempeña la UIT a la </w:t>
      </w:r>
      <w:r w:rsidRPr="006D5FC9">
        <w:rPr>
          <w:lang w:val="es-ES"/>
        </w:rPr>
        <w:t>hora</w:t>
      </w:r>
      <w:r>
        <w:rPr>
          <w:lang w:val="es-ES"/>
        </w:rPr>
        <w:t xml:space="preserve"> de aprovechar los beneficios que ofrece la IA, minimizando al mismo tiempo los riesgos, y prestando ayuda a los Miembros, los socios de las Naciones Unidas y demás partes interesadas en la IA en su trabajo para garantizar un futuro sostenible</w:t>
      </w:r>
      <w:r w:rsidRPr="00592279">
        <w:rPr>
          <w:lang w:val="es-ES"/>
        </w:rPr>
        <w:t xml:space="preserve">. </w:t>
      </w:r>
    </w:p>
    <w:p w14:paraId="5C9AD368" w14:textId="77777777" w:rsidR="00F13B27" w:rsidRPr="00544E1C" w:rsidRDefault="00F13B27" w:rsidP="008836E0">
      <w:pPr>
        <w:pStyle w:val="Headingb"/>
        <w:rPr>
          <w:lang w:val="es-ES"/>
        </w:rPr>
      </w:pPr>
      <w:r>
        <w:rPr>
          <w:lang w:val="es-ES"/>
        </w:rPr>
        <w:t>Normalización de la IA</w:t>
      </w:r>
    </w:p>
    <w:p w14:paraId="3AAD26A8" w14:textId="77777777" w:rsidR="00F13B27" w:rsidRPr="00A4022C" w:rsidRDefault="00F13B27" w:rsidP="006D5FC9">
      <w:pPr>
        <w:rPr>
          <w:lang w:val="es-ES"/>
        </w:rPr>
      </w:pPr>
      <w:r w:rsidRPr="00592279">
        <w:rPr>
          <w:lang w:val="es-ES"/>
        </w:rPr>
        <w:t xml:space="preserve">En su búsqueda de la conectividad universal y la transformación digital sostenible, la UIT ha elaborado normas para utilizar la IA en la orquestación de la 5G y las redes futuras, la innovación de los multimedios, evaluar y mejorar la calidad de los </w:t>
      </w:r>
      <w:r>
        <w:rPr>
          <w:lang w:val="es-ES"/>
        </w:rPr>
        <w:t xml:space="preserve">servicios digitales y mejorar la eficiencia </w:t>
      </w:r>
      <w:r w:rsidRPr="006D5FC9">
        <w:rPr>
          <w:lang w:val="es-ES"/>
        </w:rPr>
        <w:t>energética</w:t>
      </w:r>
      <w:r>
        <w:rPr>
          <w:lang w:val="es-ES"/>
        </w:rPr>
        <w:t xml:space="preserve">, por dar sólo algunos ejemplos. </w:t>
      </w:r>
      <w:r w:rsidRPr="00592279">
        <w:rPr>
          <w:lang w:val="es-ES"/>
        </w:rPr>
        <w:t>Esos esfuerzos se ven amplificados por la estrecha colaboración con otros organismos de normalización y socios de las Naciones Unidas, qu</w:t>
      </w:r>
      <w:r>
        <w:rPr>
          <w:lang w:val="es-ES"/>
        </w:rPr>
        <w:t>e participan en la definición y publicación de una serie integral de normas sobre diversos dominios</w:t>
      </w:r>
      <w:r w:rsidRPr="00A4022C">
        <w:rPr>
          <w:lang w:val="es-ES"/>
        </w:rPr>
        <w:t xml:space="preserve">. </w:t>
      </w:r>
    </w:p>
    <w:p w14:paraId="1FB0C7C3" w14:textId="77777777" w:rsidR="00F13B27" w:rsidRPr="006D5FC9" w:rsidRDefault="00F13B27" w:rsidP="006D5FC9">
      <w:r w:rsidRPr="006D5FC9">
        <w:lastRenderedPageBreak/>
        <w:t>Como ejemplos destacados pueden citarse los siguientes:</w:t>
      </w:r>
    </w:p>
    <w:p w14:paraId="5BEC3750" w14:textId="5E34463D" w:rsidR="00F13B27" w:rsidRPr="00A4022C" w:rsidRDefault="006D5FC9" w:rsidP="006D5FC9">
      <w:pPr>
        <w:pStyle w:val="enumlev1"/>
        <w:rPr>
          <w:shd w:val="clear" w:color="auto" w:fill="FFFFFF"/>
          <w:lang w:val="es-ES"/>
        </w:rPr>
      </w:pPr>
      <w:r>
        <w:rPr>
          <w:shd w:val="clear" w:color="auto" w:fill="FFFFFF"/>
          <w:lang w:val="es-ES"/>
        </w:rPr>
        <w:sym w:font="Symbol" w:char="F0B7"/>
      </w:r>
      <w:r>
        <w:rPr>
          <w:shd w:val="clear" w:color="auto" w:fill="FFFFFF"/>
          <w:lang w:val="es-ES"/>
        </w:rPr>
        <w:tab/>
      </w:r>
      <w:r w:rsidR="00F13B27" w:rsidRPr="00A4022C">
        <w:rPr>
          <w:shd w:val="clear" w:color="auto" w:fill="FFFFFF"/>
          <w:lang w:val="es-ES"/>
        </w:rPr>
        <w:t xml:space="preserve">En asociación con la OMS, la UIT ha publicado </w:t>
      </w:r>
      <w:hyperlink r:id="rId10" w:anchor="/es" w:history="1">
        <w:r w:rsidR="00F13B27" w:rsidRPr="00EB1256">
          <w:rPr>
            <w:rStyle w:val="Hyperlink"/>
            <w:rFonts w:asciiTheme="minorHAnsi" w:eastAsiaTheme="minorHAnsi" w:hAnsiTheme="minorHAnsi" w:cstheme="minorHAnsi"/>
            <w:color w:val="0563C1"/>
            <w:kern w:val="2"/>
            <w:szCs w:val="24"/>
            <w:lang w:val="en-GB"/>
            <w14:ligatures w14:val="standardContextual"/>
          </w:rPr>
          <w:t>35 especifica</w:t>
        </w:r>
        <w:r w:rsidR="00F13B27" w:rsidRPr="00EB1256">
          <w:rPr>
            <w:rStyle w:val="Hyperlink"/>
            <w:rFonts w:asciiTheme="minorHAnsi" w:eastAsiaTheme="minorHAnsi" w:hAnsiTheme="minorHAnsi" w:cstheme="minorHAnsi"/>
            <w:color w:val="0563C1"/>
            <w:kern w:val="2"/>
            <w:szCs w:val="24"/>
            <w:lang w:val="en-GB"/>
            <w14:ligatures w14:val="standardContextual"/>
          </w:rPr>
          <w:t>c</w:t>
        </w:r>
        <w:r w:rsidR="00F13B27" w:rsidRPr="00EB1256">
          <w:rPr>
            <w:rStyle w:val="Hyperlink"/>
            <w:rFonts w:asciiTheme="minorHAnsi" w:eastAsiaTheme="minorHAnsi" w:hAnsiTheme="minorHAnsi" w:cstheme="minorHAnsi"/>
            <w:color w:val="0563C1"/>
            <w:kern w:val="2"/>
            <w:szCs w:val="24"/>
            <w:lang w:val="en-GB"/>
            <w14:ligatures w14:val="standardContextual"/>
          </w:rPr>
          <w:t>iones e informes sobre la IA en la atención sanitaria</w:t>
        </w:r>
      </w:hyperlink>
      <w:r w:rsidR="00F13B27" w:rsidRPr="00A4022C">
        <w:rPr>
          <w:shd w:val="clear" w:color="auto" w:fill="FFFFFF"/>
          <w:lang w:val="es-ES"/>
        </w:rPr>
        <w:t xml:space="preserve"> a</w:t>
      </w:r>
      <w:r w:rsidR="00F13B27">
        <w:rPr>
          <w:shd w:val="clear" w:color="auto" w:fill="FFFFFF"/>
          <w:lang w:val="es-ES"/>
        </w:rPr>
        <w:t xml:space="preserve"> través del Grupo Temático del UIT-T sobre inteligencia artificial para la salud</w:t>
      </w:r>
      <w:r w:rsidR="00F13B27" w:rsidRPr="00A4022C">
        <w:rPr>
          <w:shd w:val="clear" w:color="auto" w:fill="FFFFFF"/>
          <w:lang w:val="es-ES"/>
        </w:rPr>
        <w:t xml:space="preserve"> (FG-AI4H), </w:t>
      </w:r>
      <w:r w:rsidR="00F13B27">
        <w:rPr>
          <w:shd w:val="clear" w:color="auto" w:fill="FFFFFF"/>
          <w:lang w:val="es-ES"/>
        </w:rPr>
        <w:t>que considera asuntos tanto técnicos como de ética y gobernanza</w:t>
      </w:r>
      <w:r w:rsidR="00F13B27" w:rsidRPr="00A4022C">
        <w:rPr>
          <w:shd w:val="clear" w:color="auto" w:fill="FFFFFF"/>
          <w:lang w:val="es-ES"/>
        </w:rPr>
        <w:t>.</w:t>
      </w:r>
    </w:p>
    <w:p w14:paraId="1012F01A" w14:textId="6A96BBD1" w:rsidR="00F13B27" w:rsidRPr="00EB1256" w:rsidRDefault="006D5FC9" w:rsidP="006D5FC9">
      <w:pPr>
        <w:pStyle w:val="enumlev1"/>
        <w:rPr>
          <w:rStyle w:val="Hyperlink"/>
          <w:rFonts w:eastAsiaTheme="minorHAnsi" w:cstheme="minorHAnsi"/>
          <w:color w:val="0563C1"/>
          <w:kern w:val="2"/>
          <w:szCs w:val="24"/>
          <w:lang w:val="en-GB"/>
          <w14:ligatures w14:val="standardContextual"/>
        </w:rPr>
      </w:pPr>
      <w:r>
        <w:rPr>
          <w:shd w:val="clear" w:color="auto" w:fill="FFFFFF"/>
          <w:lang w:val="es-ES"/>
        </w:rPr>
        <w:sym w:font="Symbol" w:char="F0B7"/>
      </w:r>
      <w:r>
        <w:rPr>
          <w:shd w:val="clear" w:color="auto" w:fill="FFFFFF"/>
          <w:lang w:val="es-ES"/>
        </w:rPr>
        <w:tab/>
      </w:r>
      <w:r w:rsidR="00F13B27" w:rsidRPr="00A4022C">
        <w:rPr>
          <w:rFonts w:asciiTheme="minorHAnsi" w:hAnsiTheme="minorHAnsi" w:cstheme="minorBidi"/>
          <w:color w:val="000000"/>
          <w:shd w:val="clear" w:color="auto" w:fill="FFFFFF"/>
          <w:lang w:val="es-ES"/>
        </w:rPr>
        <w:t xml:space="preserve">La colaboración de la UIT y la FAO ha dado como resultado la </w:t>
      </w:r>
      <w:r w:rsidR="00F13B27">
        <w:rPr>
          <w:rFonts w:asciiTheme="minorHAnsi" w:hAnsiTheme="minorHAnsi" w:cstheme="minorBidi"/>
          <w:color w:val="000000"/>
          <w:shd w:val="clear" w:color="auto" w:fill="FFFFFF"/>
          <w:lang w:val="es-ES"/>
        </w:rPr>
        <w:t>publicación de</w:t>
      </w:r>
      <w:r w:rsidR="00F13B27" w:rsidRPr="00A4022C">
        <w:rPr>
          <w:rFonts w:asciiTheme="minorHAnsi" w:hAnsiTheme="minorHAnsi" w:cstheme="minorBidi"/>
          <w:color w:val="000000"/>
          <w:shd w:val="clear" w:color="auto" w:fill="FFFFFF"/>
          <w:lang w:val="es-ES"/>
        </w:rPr>
        <w:t xml:space="preserve"> </w:t>
      </w:r>
      <w:hyperlink r:id="rId11" w:anchor="/es" w:history="1">
        <w:r w:rsidR="00F13B27" w:rsidRPr="00EB1256">
          <w:rPr>
            <w:rStyle w:val="Hyperlink"/>
            <w:rFonts w:asciiTheme="minorHAnsi" w:eastAsiaTheme="minorHAnsi" w:hAnsiTheme="minorHAnsi" w:cstheme="minorHAnsi"/>
            <w:color w:val="0563C1"/>
            <w:kern w:val="2"/>
            <w:szCs w:val="24"/>
            <w:lang w:val="en-GB"/>
            <w14:ligatures w14:val="standardContextual"/>
          </w:rPr>
          <w:t>no</w:t>
        </w:r>
        <w:r w:rsidR="00F13B27" w:rsidRPr="00EB1256">
          <w:rPr>
            <w:rStyle w:val="Hyperlink"/>
            <w:rFonts w:asciiTheme="minorHAnsi" w:eastAsiaTheme="minorHAnsi" w:hAnsiTheme="minorHAnsi" w:cstheme="minorHAnsi"/>
            <w:color w:val="0563C1"/>
            <w:kern w:val="2"/>
            <w:szCs w:val="24"/>
            <w:lang w:val="en-GB"/>
            <w14:ligatures w14:val="standardContextual"/>
          </w:rPr>
          <w:t>r</w:t>
        </w:r>
        <w:r w:rsidR="00F13B27" w:rsidRPr="00EB1256">
          <w:rPr>
            <w:rStyle w:val="Hyperlink"/>
            <w:rFonts w:asciiTheme="minorHAnsi" w:eastAsiaTheme="minorHAnsi" w:hAnsiTheme="minorHAnsi" w:cstheme="minorHAnsi"/>
            <w:color w:val="0563C1"/>
            <w:kern w:val="2"/>
            <w:szCs w:val="24"/>
            <w:lang w:val="en-GB"/>
            <w14:ligatures w14:val="standardContextual"/>
          </w:rPr>
          <w:t>mas sobre IA e IoT en la agricultura, mejorando la seguridad y la sostenibilidad alimentarias</w:t>
        </w:r>
      </w:hyperlink>
      <w:r w:rsidR="00F13B27" w:rsidRPr="00277D03">
        <w:rPr>
          <w:lang w:val="en-GB"/>
        </w:rPr>
        <w:t>.</w:t>
      </w:r>
    </w:p>
    <w:p w14:paraId="4191C879" w14:textId="3EA134DD" w:rsidR="00F13B27" w:rsidRPr="00277D03" w:rsidRDefault="006D5FC9" w:rsidP="006D5FC9">
      <w:pPr>
        <w:pStyle w:val="enumlev1"/>
        <w:rPr>
          <w:rStyle w:val="Hyperlink"/>
          <w:rFonts w:eastAsiaTheme="minorHAnsi"/>
          <w:color w:val="0563C1"/>
          <w:kern w:val="2"/>
          <w:lang w:val="es-ES"/>
          <w14:ligatures w14:val="standardContextual"/>
        </w:rPr>
      </w:pPr>
      <w:r>
        <w:rPr>
          <w:shd w:val="clear" w:color="auto" w:fill="FFFFFF"/>
          <w:lang w:val="es-ES"/>
        </w:rPr>
        <w:sym w:font="Symbol" w:char="F0B7"/>
      </w:r>
      <w:r>
        <w:rPr>
          <w:shd w:val="clear" w:color="auto" w:fill="FFFFFF"/>
          <w:lang w:val="es-ES"/>
        </w:rPr>
        <w:tab/>
      </w:r>
      <w:r w:rsidR="00F13B27" w:rsidRPr="00A4022C">
        <w:rPr>
          <w:rFonts w:asciiTheme="minorHAnsi" w:hAnsiTheme="minorHAnsi" w:cstheme="minorHAnsi"/>
          <w:color w:val="000000"/>
          <w:szCs w:val="24"/>
          <w:shd w:val="clear" w:color="auto" w:fill="FFFFFF"/>
          <w:lang w:val="es-ES"/>
        </w:rPr>
        <w:t xml:space="preserve">En colaboración con la OMM y el PNUMA, la UIT ha preparado </w:t>
      </w:r>
      <w:hyperlink r:id="rId12" w:anchor="/es" w:history="1">
        <w:r w:rsidR="00F13B27" w:rsidRPr="00277D03">
          <w:rPr>
            <w:rStyle w:val="Hyperlink"/>
            <w:rFonts w:asciiTheme="minorHAnsi" w:eastAsiaTheme="minorHAnsi" w:hAnsiTheme="minorHAnsi" w:cstheme="minorHAnsi"/>
            <w:color w:val="0563C1"/>
            <w:kern w:val="2"/>
            <w:szCs w:val="24"/>
            <w:lang w:val="es-ES"/>
            <w14:ligatures w14:val="standardContextual"/>
          </w:rPr>
          <w:t>norma</w:t>
        </w:r>
        <w:r w:rsidR="00F13B27" w:rsidRPr="00277D03">
          <w:rPr>
            <w:rStyle w:val="Hyperlink"/>
            <w:rFonts w:asciiTheme="minorHAnsi" w:eastAsiaTheme="minorHAnsi" w:hAnsiTheme="minorHAnsi" w:cstheme="minorHAnsi"/>
            <w:color w:val="0563C1"/>
            <w:kern w:val="2"/>
            <w:szCs w:val="24"/>
            <w:lang w:val="es-ES"/>
            <w14:ligatures w14:val="standardContextual"/>
          </w:rPr>
          <w:t>s</w:t>
        </w:r>
        <w:r w:rsidR="00F13B27" w:rsidRPr="00277D03">
          <w:rPr>
            <w:rStyle w:val="Hyperlink"/>
            <w:rFonts w:asciiTheme="minorHAnsi" w:eastAsiaTheme="minorHAnsi" w:hAnsiTheme="minorHAnsi" w:cstheme="minorHAnsi"/>
            <w:color w:val="0563C1"/>
            <w:kern w:val="2"/>
            <w:szCs w:val="24"/>
            <w:lang w:val="es-ES"/>
            <w14:ligatures w14:val="standardContextual"/>
          </w:rPr>
          <w:t xml:space="preserve"> para la utilización de la IA en la gestión de catástrofes naturales</w:t>
        </w:r>
      </w:hyperlink>
      <w:r w:rsidR="00277D03" w:rsidRPr="00277D03">
        <w:rPr>
          <w:lang w:val="es-ES"/>
        </w:rPr>
        <w:t>.</w:t>
      </w:r>
    </w:p>
    <w:p w14:paraId="10C4982F" w14:textId="47EF7BCA" w:rsidR="00F13B27" w:rsidRPr="00277D03" w:rsidRDefault="006D5FC9" w:rsidP="006D5FC9">
      <w:pPr>
        <w:pStyle w:val="enumlev1"/>
        <w:rPr>
          <w:rFonts w:cstheme="minorHAnsi"/>
          <w:color w:val="000000"/>
          <w:szCs w:val="24"/>
          <w:shd w:val="clear" w:color="auto" w:fill="FFFFFF"/>
          <w:lang w:val="es-ES"/>
        </w:rPr>
      </w:pPr>
      <w:r>
        <w:rPr>
          <w:shd w:val="clear" w:color="auto" w:fill="FFFFFF"/>
          <w:lang w:val="es-ES"/>
        </w:rPr>
        <w:sym w:font="Symbol" w:char="F0B7"/>
      </w:r>
      <w:r>
        <w:rPr>
          <w:shd w:val="clear" w:color="auto" w:fill="FFFFFF"/>
          <w:lang w:val="es-ES"/>
        </w:rPr>
        <w:tab/>
      </w:r>
      <w:r w:rsidR="00F13B27" w:rsidRPr="00A4022C">
        <w:rPr>
          <w:rFonts w:cstheme="minorHAnsi"/>
          <w:color w:val="000000"/>
          <w:szCs w:val="24"/>
          <w:shd w:val="clear" w:color="auto" w:fill="FFFFFF"/>
          <w:lang w:val="es-ES"/>
        </w:rPr>
        <w:t xml:space="preserve">El Grupo Temático sobre IA y conducción autónoma preparó un informe sobre </w:t>
      </w:r>
      <w:hyperlink r:id="rId13" w:history="1">
        <w:r w:rsidR="00F13B27" w:rsidRPr="00277D03">
          <w:rPr>
            <w:rStyle w:val="Hyperlink"/>
            <w:rFonts w:asciiTheme="minorHAnsi" w:eastAsiaTheme="minorHAnsi" w:hAnsiTheme="minorHAnsi" w:cstheme="minorHAnsi"/>
            <w:color w:val="0563C1"/>
            <w:kern w:val="2"/>
            <w:szCs w:val="24"/>
            <w:lang w:val="es-ES"/>
            <w14:ligatures w14:val="standardContextual"/>
          </w:rPr>
          <w:t>el protocolo de datos de seguridad de la conducción autónoma – consideracio</w:t>
        </w:r>
        <w:r w:rsidR="00F13B27" w:rsidRPr="00277D03">
          <w:rPr>
            <w:rStyle w:val="Hyperlink"/>
            <w:rFonts w:asciiTheme="minorHAnsi" w:eastAsiaTheme="minorHAnsi" w:hAnsiTheme="minorHAnsi" w:cstheme="minorHAnsi"/>
            <w:color w:val="0563C1"/>
            <w:kern w:val="2"/>
            <w:szCs w:val="24"/>
            <w:lang w:val="es-ES"/>
            <w14:ligatures w14:val="standardContextual"/>
          </w:rPr>
          <w:t>n</w:t>
        </w:r>
        <w:r w:rsidR="00F13B27" w:rsidRPr="00277D03">
          <w:rPr>
            <w:rStyle w:val="Hyperlink"/>
            <w:rFonts w:asciiTheme="minorHAnsi" w:eastAsiaTheme="minorHAnsi" w:hAnsiTheme="minorHAnsi" w:cstheme="minorHAnsi"/>
            <w:color w:val="0563C1"/>
            <w:kern w:val="2"/>
            <w:szCs w:val="24"/>
            <w:lang w:val="es-ES"/>
            <w14:ligatures w14:val="standardContextual"/>
          </w:rPr>
          <w:t>es éticas y jurídicas de la supervisión constante</w:t>
        </w:r>
      </w:hyperlink>
      <w:r w:rsidR="00277D03" w:rsidRPr="00277D03">
        <w:rPr>
          <w:lang w:val="es-ES"/>
        </w:rPr>
        <w:t>.</w:t>
      </w:r>
    </w:p>
    <w:p w14:paraId="610F0ED3" w14:textId="77777777" w:rsidR="00F13B27" w:rsidRPr="0043267D" w:rsidRDefault="00F13B27" w:rsidP="001F0311">
      <w:r w:rsidRPr="00A4022C">
        <w:rPr>
          <w:lang w:val="es-ES"/>
        </w:rPr>
        <w:t xml:space="preserve">La Comisión de Estudio 13 del UIT-T (Redes futuras) se ocupa del mantenimiento de una hoja de ruta de </w:t>
      </w:r>
      <w:r w:rsidRPr="008836E0">
        <w:rPr>
          <w:lang w:val="es-ES"/>
        </w:rPr>
        <w:t>normalización</w:t>
      </w:r>
      <w:r>
        <w:rPr>
          <w:lang w:val="es-ES"/>
        </w:rPr>
        <w:t xml:space="preserve"> de la IA, que incluye las normas existentes y las que están preparando </w:t>
      </w:r>
      <w:r w:rsidRPr="006D5FC9">
        <w:rPr>
          <w:lang w:val="es-ES"/>
        </w:rPr>
        <w:t>diversos</w:t>
      </w:r>
      <w:r>
        <w:rPr>
          <w:lang w:val="es-ES"/>
        </w:rPr>
        <w:t xml:space="preserve"> organismos de normalización. </w:t>
      </w:r>
      <w:r w:rsidRPr="00A4022C">
        <w:rPr>
          <w:lang w:val="es-ES"/>
        </w:rPr>
        <w:t>Contiene, además, una exposición general de las normas sobre IA de la UIT y los textos conexos de las Comisiones de Es</w:t>
      </w:r>
      <w:r>
        <w:rPr>
          <w:lang w:val="es-ES"/>
        </w:rPr>
        <w:t xml:space="preserve">tudio del UIT-T. </w:t>
      </w:r>
      <w:r>
        <w:rPr>
          <w:lang w:val="en-US"/>
        </w:rPr>
        <w:t>Puede encontrarse más información al respecto en</w:t>
      </w:r>
      <w:r w:rsidRPr="0043267D">
        <w:t>:</w:t>
      </w:r>
    </w:p>
    <w:p w14:paraId="19B8A6FF" w14:textId="6545970E" w:rsidR="00F13B27" w:rsidRPr="00A4022C" w:rsidRDefault="00F13B27" w:rsidP="00F13B27">
      <w:pPr>
        <w:pStyle w:val="ListParagraph"/>
        <w:numPr>
          <w:ilvl w:val="0"/>
          <w:numId w:val="1"/>
        </w:numPr>
        <w:jc w:val="both"/>
        <w:rPr>
          <w:rFonts w:cstheme="minorHAnsi"/>
          <w:sz w:val="24"/>
          <w:szCs w:val="24"/>
          <w:lang w:val="fr-CH"/>
        </w:rPr>
      </w:pPr>
      <w:hyperlink r:id="rId14" w:history="1">
        <w:r w:rsidRPr="00EB1256">
          <w:rPr>
            <w:rStyle w:val="Hyperlink"/>
            <w:rFonts w:cstheme="minorHAnsi"/>
            <w:color w:val="0563C1"/>
            <w:sz w:val="24"/>
            <w:szCs w:val="24"/>
          </w:rPr>
          <w:t xml:space="preserve">Suplemento 72 a la serie de Recomendaciones UIT-T </w:t>
        </w:r>
        <w:r w:rsidRPr="00EB1256">
          <w:rPr>
            <w:rStyle w:val="Hyperlink"/>
            <w:rFonts w:cstheme="minorHAnsi"/>
            <w:color w:val="0563C1"/>
            <w:sz w:val="24"/>
            <w:szCs w:val="24"/>
          </w:rPr>
          <w:t>Y</w:t>
        </w:r>
        <w:r w:rsidRPr="00EB1256">
          <w:rPr>
            <w:rStyle w:val="Hyperlink"/>
            <w:rFonts w:cstheme="minorHAnsi"/>
            <w:color w:val="0563C1"/>
            <w:sz w:val="24"/>
            <w:szCs w:val="24"/>
          </w:rPr>
          <w:t xml:space="preserve">.3000 </w:t>
        </w:r>
        <w:r w:rsidR="001F0311" w:rsidRPr="00EB1256">
          <w:rPr>
            <w:rStyle w:val="Hyperlink"/>
            <w:rFonts w:cstheme="minorHAnsi"/>
            <w:color w:val="0563C1"/>
            <w:sz w:val="24"/>
            <w:szCs w:val="24"/>
          </w:rPr>
          <w:t>–</w:t>
        </w:r>
        <w:r w:rsidRPr="00EB1256">
          <w:rPr>
            <w:rStyle w:val="Hyperlink"/>
            <w:rFonts w:cstheme="minorHAnsi"/>
            <w:color w:val="0563C1"/>
            <w:sz w:val="24"/>
            <w:szCs w:val="24"/>
          </w:rPr>
          <w:t xml:space="preserve"> Artificial intelligence standardization roadmap (11/22)</w:t>
        </w:r>
      </w:hyperlink>
      <w:r w:rsidR="00277D03" w:rsidRPr="00277D03">
        <w:t>.</w:t>
      </w:r>
    </w:p>
    <w:p w14:paraId="5BEB3F28" w14:textId="3D45AE27" w:rsidR="00F13B27" w:rsidRPr="00A4022C" w:rsidRDefault="00F13B27" w:rsidP="001F0311">
      <w:pPr>
        <w:rPr>
          <w:lang w:val="es-ES"/>
        </w:rPr>
      </w:pPr>
      <w:r w:rsidRPr="00A4022C">
        <w:rPr>
          <w:lang w:val="es-ES"/>
        </w:rPr>
        <w:t xml:space="preserve">La Comisión de Estudio 16 del UIT-T está trabajando en la elaboración de nuevas normas para </w:t>
      </w:r>
      <w:r w:rsidRPr="006D5FC9">
        <w:rPr>
          <w:lang w:val="es-ES"/>
        </w:rPr>
        <w:t>establecer</w:t>
      </w:r>
      <w:r>
        <w:rPr>
          <w:lang w:val="es-ES"/>
        </w:rPr>
        <w:t xml:space="preserve"> un </w:t>
      </w:r>
      <w:r w:rsidRPr="008836E0">
        <w:rPr>
          <w:lang w:val="es-ES"/>
        </w:rPr>
        <w:t>marco</w:t>
      </w:r>
      <w:r>
        <w:rPr>
          <w:lang w:val="es-ES"/>
        </w:rPr>
        <w:t xml:space="preserve"> de </w:t>
      </w:r>
      <w:r w:rsidRPr="006D5FC9">
        <w:rPr>
          <w:rFonts w:cstheme="minorHAnsi"/>
          <w:szCs w:val="24"/>
          <w:lang w:val="es-ES"/>
        </w:rPr>
        <w:t>autentificación</w:t>
      </w:r>
      <w:r>
        <w:rPr>
          <w:lang w:val="es-ES"/>
        </w:rPr>
        <w:t xml:space="preserve"> del contenido multimedios. </w:t>
      </w:r>
      <w:r w:rsidRPr="00A4022C">
        <w:rPr>
          <w:lang w:val="es-ES"/>
        </w:rPr>
        <w:t>Este proyecto contará con el apoyo de iniciativas realizadas en el</w:t>
      </w:r>
      <w:r>
        <w:rPr>
          <w:lang w:val="es-ES"/>
        </w:rPr>
        <w:t xml:space="preserve"> marco de la colaboración con la ISO y la CEI sobre</w:t>
      </w:r>
      <w:r w:rsidRPr="00A4022C">
        <w:rPr>
          <w:rStyle w:val="normaltextrun"/>
          <w:rFonts w:asciiTheme="minorHAnsi" w:hAnsiTheme="minorHAnsi" w:cstheme="minorBidi"/>
          <w:color w:val="000000"/>
          <w:shd w:val="clear" w:color="auto" w:fill="FFFFFF"/>
          <w:lang w:val="es-ES"/>
        </w:rPr>
        <w:t xml:space="preserve"> </w:t>
      </w:r>
      <w:hyperlink r:id="rId15" w:anchor="/es" w:tgtFrame="_blank" w:history="1">
        <w:r w:rsidRPr="00EB1256">
          <w:rPr>
            <w:rStyle w:val="Hyperlink"/>
            <w:rFonts w:eastAsiaTheme="minorHAnsi" w:cstheme="minorHAnsi"/>
            <w:color w:val="0563C1"/>
            <w:kern w:val="2"/>
            <w:szCs w:val="24"/>
            <w:lang w:val="en-GB"/>
            <w14:ligatures w14:val="standardContextual"/>
          </w:rPr>
          <w:t>filigranas de IA y autenticid</w:t>
        </w:r>
        <w:r w:rsidRPr="00EB1256">
          <w:rPr>
            <w:rStyle w:val="Hyperlink"/>
            <w:rFonts w:eastAsiaTheme="minorHAnsi" w:cstheme="minorHAnsi"/>
            <w:color w:val="0563C1"/>
            <w:kern w:val="2"/>
            <w:szCs w:val="24"/>
            <w:lang w:val="en-GB"/>
            <w14:ligatures w14:val="standardContextual"/>
          </w:rPr>
          <w:t>a</w:t>
        </w:r>
        <w:r w:rsidRPr="00EB1256">
          <w:rPr>
            <w:rStyle w:val="Hyperlink"/>
            <w:rFonts w:eastAsiaTheme="minorHAnsi" w:cstheme="minorHAnsi"/>
            <w:color w:val="0563C1"/>
            <w:kern w:val="2"/>
            <w:szCs w:val="24"/>
            <w:lang w:val="en-GB"/>
            <w14:ligatures w14:val="standardContextual"/>
          </w:rPr>
          <w:t>d de los multim</w:t>
        </w:r>
        <w:r w:rsidR="001F0311" w:rsidRPr="00EB1256">
          <w:rPr>
            <w:rStyle w:val="Hyperlink"/>
            <w:rFonts w:eastAsiaTheme="minorHAnsi" w:cstheme="minorHAnsi"/>
            <w:color w:val="0563C1"/>
            <w:kern w:val="2"/>
            <w:szCs w:val="24"/>
            <w:lang w:val="en-GB"/>
            <w14:ligatures w14:val="standardContextual"/>
          </w:rPr>
          <w:t>e</w:t>
        </w:r>
        <w:r w:rsidRPr="00EB1256">
          <w:rPr>
            <w:rStyle w:val="Hyperlink"/>
            <w:rFonts w:eastAsiaTheme="minorHAnsi" w:cstheme="minorHAnsi"/>
            <w:color w:val="0563C1"/>
            <w:kern w:val="2"/>
            <w:szCs w:val="24"/>
            <w:lang w:val="en-GB"/>
            <w14:ligatures w14:val="standardContextual"/>
          </w:rPr>
          <w:t>dios</w:t>
        </w:r>
      </w:hyperlink>
      <w:r w:rsidRPr="00A4022C">
        <w:rPr>
          <w:rStyle w:val="normaltextrun"/>
          <w:rFonts w:asciiTheme="minorHAnsi" w:hAnsiTheme="minorHAnsi" w:cstheme="minorBidi"/>
          <w:color w:val="000000"/>
          <w:shd w:val="clear" w:color="auto" w:fill="FFFFFF"/>
          <w:lang w:val="es-ES"/>
        </w:rPr>
        <w:t xml:space="preserve"> </w:t>
      </w:r>
      <w:r>
        <w:rPr>
          <w:rStyle w:val="normaltextrun"/>
          <w:rFonts w:asciiTheme="minorHAnsi" w:hAnsiTheme="minorHAnsi" w:cstheme="minorBidi"/>
          <w:color w:val="000000"/>
          <w:shd w:val="clear" w:color="auto" w:fill="FFFFFF"/>
          <w:lang w:val="es-ES"/>
        </w:rPr>
        <w:t>en la Cumbre Mundial</w:t>
      </w:r>
      <w:r w:rsidRPr="00A4022C">
        <w:rPr>
          <w:lang w:val="es-ES"/>
        </w:rPr>
        <w:t xml:space="preserve"> AI for Good</w:t>
      </w:r>
      <w:r>
        <w:rPr>
          <w:lang w:val="es-ES"/>
        </w:rPr>
        <w:t>, celebrada en Ginebra en mayo de</w:t>
      </w:r>
      <w:r w:rsidRPr="00A4022C">
        <w:rPr>
          <w:lang w:val="es-ES"/>
        </w:rPr>
        <w:t xml:space="preserve"> 2024. </w:t>
      </w:r>
    </w:p>
    <w:p w14:paraId="6AE2B60C" w14:textId="77777777" w:rsidR="00F13B27" w:rsidRPr="00544E1C" w:rsidRDefault="00F13B27" w:rsidP="001F0311">
      <w:pPr>
        <w:pStyle w:val="Headingb"/>
        <w:rPr>
          <w:lang w:val="es-ES"/>
        </w:rPr>
      </w:pPr>
      <w:r w:rsidRPr="00544E1C">
        <w:rPr>
          <w:lang w:val="es-ES"/>
        </w:rPr>
        <w:t>Apoyo al despliegue de la IA y capacitación</w:t>
      </w:r>
    </w:p>
    <w:p w14:paraId="166EE65E" w14:textId="77777777" w:rsidR="00F13B27" w:rsidRPr="006D5FC9" w:rsidRDefault="00F13B27" w:rsidP="006D5FC9">
      <w:r w:rsidRPr="006D5FC9">
        <w:t>La UIT está trabajando para dotar a los países de todo el mundo de los conocimientos y herramientas necesarios para sacar provecho de la IA con el objetivo de que sus beneficios sean accesibles y equitativos para todos.</w:t>
      </w:r>
    </w:p>
    <w:p w14:paraId="37886F4D" w14:textId="77777777" w:rsidR="00F13B27" w:rsidRPr="002766F3" w:rsidRDefault="00F13B27" w:rsidP="001F0311">
      <w:pPr>
        <w:rPr>
          <w:lang w:val="es-ES"/>
        </w:rPr>
      </w:pPr>
      <w:r w:rsidRPr="002766F3">
        <w:rPr>
          <w:lang w:val="es-ES"/>
        </w:rPr>
        <w:t>Gracias a su labor de normalización y prenormalización, la UIT ha cultivado un entendimiento común en ma</w:t>
      </w:r>
      <w:r>
        <w:rPr>
          <w:lang w:val="es-ES"/>
        </w:rPr>
        <w:t xml:space="preserve">teria de política, reglamentación y tecnología de la IA. </w:t>
      </w:r>
      <w:r w:rsidRPr="002766F3">
        <w:rPr>
          <w:lang w:val="es-ES"/>
        </w:rPr>
        <w:t xml:space="preserve">Hemos impartido </w:t>
      </w:r>
      <w:r w:rsidRPr="008836E0">
        <w:rPr>
          <w:lang w:val="es-ES"/>
        </w:rPr>
        <w:t>formaciones</w:t>
      </w:r>
      <w:r w:rsidRPr="002766F3">
        <w:rPr>
          <w:lang w:val="es-ES"/>
        </w:rPr>
        <w:t xml:space="preserve"> en ética de la IA en la atención sanitaria junto con la OMS, hemo</w:t>
      </w:r>
      <w:r>
        <w:rPr>
          <w:lang w:val="es-ES"/>
        </w:rPr>
        <w:t xml:space="preserve">s colaborado con la FAO </w:t>
      </w:r>
      <w:r w:rsidRPr="006D5FC9">
        <w:t>para</w:t>
      </w:r>
      <w:r>
        <w:rPr>
          <w:lang w:val="es-ES"/>
        </w:rPr>
        <w:t xml:space="preserve"> elaborar una herramienta de IA para la agricultura, y hemos organizados hackatones y formaciones en IA para la preparación en caso de catástrofe de la mano con la OMM y el PNUMA</w:t>
      </w:r>
      <w:r w:rsidRPr="002766F3">
        <w:rPr>
          <w:lang w:val="es-ES"/>
        </w:rPr>
        <w:t>.</w:t>
      </w:r>
    </w:p>
    <w:p w14:paraId="0822BDEF" w14:textId="36E9B0CF" w:rsidR="00F13B27" w:rsidRPr="001F0311" w:rsidRDefault="00F13B27" w:rsidP="001F0311">
      <w:r w:rsidRPr="001F0311">
        <w:t xml:space="preserve">El futuro Marco de preparación para la IA y el recientemente iniciado programa </w:t>
      </w:r>
      <w:hyperlink r:id="rId16" w:anchor="/es" w:tgtFrame="_blank" w:history="1">
        <w:r w:rsidRPr="00EB1256">
          <w:rPr>
            <w:rStyle w:val="Hyperlink"/>
            <w:rFonts w:asciiTheme="minorHAnsi" w:eastAsiaTheme="minorHAnsi" w:hAnsiTheme="minorHAnsi" w:cstheme="minorHAnsi"/>
            <w:color w:val="0563C1"/>
            <w:kern w:val="2"/>
            <w:szCs w:val="24"/>
            <w:lang w:val="en-GB"/>
            <w14:ligatures w14:val="standardContextual"/>
          </w:rPr>
          <w:t>AI fo</w:t>
        </w:r>
        <w:r w:rsidRPr="00EB1256">
          <w:rPr>
            <w:rStyle w:val="Hyperlink"/>
            <w:rFonts w:asciiTheme="minorHAnsi" w:eastAsiaTheme="minorHAnsi" w:hAnsiTheme="minorHAnsi" w:cstheme="minorHAnsi"/>
            <w:color w:val="0563C1"/>
            <w:kern w:val="2"/>
            <w:szCs w:val="24"/>
            <w:lang w:val="en-GB"/>
            <w14:ligatures w14:val="standardContextual"/>
          </w:rPr>
          <w:t>r</w:t>
        </w:r>
        <w:r w:rsidRPr="00EB1256">
          <w:rPr>
            <w:rStyle w:val="Hyperlink"/>
            <w:rFonts w:asciiTheme="minorHAnsi" w:eastAsiaTheme="minorHAnsi" w:hAnsiTheme="minorHAnsi" w:cstheme="minorHAnsi"/>
            <w:color w:val="0563C1"/>
            <w:kern w:val="2"/>
            <w:szCs w:val="24"/>
            <w:lang w:val="en-GB"/>
            <w14:ligatures w14:val="standardContextual"/>
          </w:rPr>
          <w:t xml:space="preserve"> Good Innovate for Impact</w:t>
        </w:r>
      </w:hyperlink>
      <w:r w:rsidRPr="001F0311">
        <w:t xml:space="preserve"> están diseñados para generalizar la alfabetización en IA, compartir prácticas idóneas y fomentar la innovación en armonía con los ODS. El </w:t>
      </w:r>
      <w:hyperlink r:id="rId17" w:history="1">
        <w:r w:rsidRPr="00EB1256">
          <w:rPr>
            <w:rStyle w:val="Hyperlink"/>
            <w:rFonts w:asciiTheme="minorHAnsi" w:eastAsiaTheme="minorHAnsi" w:hAnsiTheme="minorHAnsi" w:cstheme="minorHAnsi"/>
            <w:color w:val="0563C1"/>
            <w:kern w:val="2"/>
            <w:szCs w:val="24"/>
            <w:lang w:val="en-GB"/>
            <w14:ligatures w14:val="standardContextual"/>
          </w:rPr>
          <w:t>proyecto Gi</w:t>
        </w:r>
        <w:r w:rsidRPr="00EB1256">
          <w:rPr>
            <w:rStyle w:val="Hyperlink"/>
            <w:rFonts w:asciiTheme="minorHAnsi" w:eastAsiaTheme="minorHAnsi" w:hAnsiTheme="minorHAnsi" w:cstheme="minorHAnsi"/>
            <w:color w:val="0563C1"/>
            <w:kern w:val="2"/>
            <w:szCs w:val="24"/>
            <w:lang w:val="en-GB"/>
            <w14:ligatures w14:val="standardContextual"/>
          </w:rPr>
          <w:t>g</w:t>
        </w:r>
        <w:r w:rsidRPr="00EB1256">
          <w:rPr>
            <w:rStyle w:val="Hyperlink"/>
            <w:rFonts w:asciiTheme="minorHAnsi" w:eastAsiaTheme="minorHAnsi" w:hAnsiTheme="minorHAnsi" w:cstheme="minorHAnsi"/>
            <w:color w:val="0563C1"/>
            <w:kern w:val="2"/>
            <w:szCs w:val="24"/>
            <w:lang w:val="en-GB"/>
            <w14:ligatures w14:val="standardContextual"/>
          </w:rPr>
          <w:t>a de la UIT y la UNICEF</w:t>
        </w:r>
      </w:hyperlink>
      <w:r w:rsidRPr="001F0311">
        <w:t xml:space="preserve"> utiliza estratégicamente la IA para dar conectividad a Internet a escuelas de todo el mundo.</w:t>
      </w:r>
    </w:p>
    <w:p w14:paraId="37DD2EF3" w14:textId="40F42AEF" w:rsidR="00F13B27" w:rsidRPr="002766F3" w:rsidRDefault="00F13B27" w:rsidP="008836E0">
      <w:pPr>
        <w:rPr>
          <w:rFonts w:asciiTheme="minorHAnsi" w:hAnsiTheme="minorHAnsi" w:cstheme="minorBidi"/>
          <w:lang w:val="es-ES"/>
        </w:rPr>
      </w:pPr>
      <w:r w:rsidRPr="002766F3">
        <w:rPr>
          <w:rFonts w:asciiTheme="minorHAnsi" w:hAnsiTheme="minorHAnsi" w:cstheme="minorBidi"/>
          <w:lang w:val="es-ES"/>
        </w:rPr>
        <w:t xml:space="preserve">Las inciativas AI for Good de la </w:t>
      </w:r>
      <w:r w:rsidRPr="006D5FC9">
        <w:rPr>
          <w:rFonts w:asciiTheme="minorHAnsi" w:hAnsiTheme="minorHAnsi" w:cstheme="minorHAnsi"/>
          <w:szCs w:val="24"/>
          <w:lang w:val="es-ES"/>
        </w:rPr>
        <w:t>UIT</w:t>
      </w:r>
      <w:r w:rsidRPr="002766F3">
        <w:rPr>
          <w:rFonts w:asciiTheme="minorHAnsi" w:hAnsiTheme="minorHAnsi" w:cstheme="minorBidi"/>
          <w:lang w:val="es-ES"/>
        </w:rPr>
        <w:t xml:space="preserve">, incluida la </w:t>
      </w:r>
      <w:hyperlink r:id="rId18" w:anchor="/es">
        <w:r w:rsidRPr="00EB1256">
          <w:rPr>
            <w:rStyle w:val="Hyperlink"/>
            <w:rFonts w:asciiTheme="minorHAnsi" w:eastAsiaTheme="minorHAnsi" w:hAnsiTheme="minorHAnsi" w:cstheme="minorHAnsi"/>
            <w:color w:val="0563C1"/>
            <w:kern w:val="2"/>
            <w:szCs w:val="24"/>
            <w:lang w:val="en-GB"/>
            <w14:ligatures w14:val="standardContextual"/>
          </w:rPr>
          <w:t>plataforma de correlación inteli</w:t>
        </w:r>
        <w:r w:rsidRPr="00EB1256">
          <w:rPr>
            <w:rStyle w:val="Hyperlink"/>
            <w:rFonts w:asciiTheme="minorHAnsi" w:eastAsiaTheme="minorHAnsi" w:hAnsiTheme="minorHAnsi" w:cstheme="minorHAnsi"/>
            <w:color w:val="0563C1"/>
            <w:kern w:val="2"/>
            <w:szCs w:val="24"/>
            <w:lang w:val="en-GB"/>
            <w14:ligatures w14:val="standardContextual"/>
          </w:rPr>
          <w:t>g</w:t>
        </w:r>
        <w:r w:rsidRPr="00EB1256">
          <w:rPr>
            <w:rStyle w:val="Hyperlink"/>
            <w:rFonts w:asciiTheme="minorHAnsi" w:eastAsiaTheme="minorHAnsi" w:hAnsiTheme="minorHAnsi" w:cstheme="minorHAnsi"/>
            <w:color w:val="0563C1"/>
            <w:kern w:val="2"/>
            <w:szCs w:val="24"/>
            <w:lang w:val="en-GB"/>
            <w14:ligatures w14:val="standardContextual"/>
          </w:rPr>
          <w:t>ente Red Neuronal</w:t>
        </w:r>
      </w:hyperlink>
      <w:r w:rsidRPr="002766F3">
        <w:rPr>
          <w:rStyle w:val="Hyperlink"/>
          <w:rFonts w:asciiTheme="minorHAnsi" w:hAnsiTheme="minorHAnsi" w:cstheme="minorBidi"/>
          <w:lang w:val="es-ES"/>
        </w:rPr>
        <w:t>,</w:t>
      </w:r>
      <w:r w:rsidRPr="002766F3">
        <w:rPr>
          <w:rFonts w:asciiTheme="minorHAnsi" w:hAnsiTheme="minorHAnsi" w:cstheme="minorBidi"/>
          <w:lang w:val="es-ES"/>
        </w:rPr>
        <w:t xml:space="preserve"> que cuenta con 27 000 miembros de más de 180 países, el Marco AI4G Infinity (</w:t>
      </w:r>
      <w:r>
        <w:rPr>
          <w:rFonts w:asciiTheme="minorHAnsi" w:hAnsiTheme="minorHAnsi" w:cstheme="minorBidi"/>
          <w:lang w:val="es-ES"/>
        </w:rPr>
        <w:t xml:space="preserve">herramienta integral y </w:t>
      </w:r>
      <w:r w:rsidRPr="006D5FC9">
        <w:t>práctica</w:t>
      </w:r>
      <w:r>
        <w:rPr>
          <w:rFonts w:asciiTheme="minorHAnsi" w:hAnsiTheme="minorHAnsi" w:cstheme="minorBidi"/>
          <w:lang w:val="es-ES"/>
        </w:rPr>
        <w:t xml:space="preserve"> de ayuda a las industrias, nuevas empresas, instituciones académicas y legisladores en sus primaros pases en la cadena de valor de la IA</w:t>
      </w:r>
      <w:r w:rsidRPr="002766F3">
        <w:rPr>
          <w:rFonts w:eastAsia="Calibri" w:cs="Calibri"/>
          <w:szCs w:val="24"/>
          <w:lang w:val="es-ES"/>
        </w:rPr>
        <w:t>)</w:t>
      </w:r>
      <w:r w:rsidRPr="002766F3">
        <w:rPr>
          <w:rFonts w:asciiTheme="minorHAnsi" w:hAnsiTheme="minorHAnsi" w:cstheme="minorBidi"/>
          <w:lang w:val="es-ES"/>
        </w:rPr>
        <w:t xml:space="preserve">, </w:t>
      </w:r>
      <w:r>
        <w:rPr>
          <w:rFonts w:asciiTheme="minorHAnsi" w:hAnsiTheme="minorHAnsi" w:cstheme="minorBidi"/>
          <w:lang w:val="es-ES"/>
        </w:rPr>
        <w:t xml:space="preserve">y el </w:t>
      </w:r>
      <w:r>
        <w:rPr>
          <w:rFonts w:asciiTheme="minorHAnsi" w:hAnsiTheme="minorHAnsi" w:cstheme="minorBidi"/>
          <w:lang w:val="es-ES"/>
        </w:rPr>
        <w:lastRenderedPageBreak/>
        <w:t>Programa</w:t>
      </w:r>
      <w:r w:rsidRPr="002766F3">
        <w:rPr>
          <w:rFonts w:asciiTheme="minorHAnsi" w:hAnsiTheme="minorHAnsi" w:cstheme="minorBidi"/>
          <w:lang w:val="es-ES"/>
        </w:rPr>
        <w:t xml:space="preserve"> AI Scholar</w:t>
      </w:r>
      <w:r>
        <w:rPr>
          <w:rFonts w:asciiTheme="minorHAnsi" w:hAnsiTheme="minorHAnsi" w:cstheme="minorBidi"/>
          <w:lang w:val="es-ES"/>
        </w:rPr>
        <w:t>, promueven la capacitación en IA</w:t>
      </w:r>
      <w:r w:rsidRPr="002766F3">
        <w:rPr>
          <w:rFonts w:asciiTheme="minorHAnsi" w:hAnsiTheme="minorHAnsi" w:cstheme="minorBidi"/>
          <w:lang w:val="es-ES"/>
        </w:rPr>
        <w:t xml:space="preserve">. AI for Good lleva a cabo proyectos piloto que utilizan la IA </w:t>
      </w:r>
      <w:r w:rsidRPr="006D5FC9">
        <w:t>para</w:t>
      </w:r>
      <w:r w:rsidRPr="002766F3">
        <w:rPr>
          <w:rFonts w:asciiTheme="minorHAnsi" w:hAnsiTheme="minorHAnsi" w:cstheme="minorBidi"/>
          <w:lang w:val="es-ES"/>
        </w:rPr>
        <w:t xml:space="preserve"> transformar seminarios web de AI for Good en cursos académicos y </w:t>
      </w:r>
      <w:r>
        <w:rPr>
          <w:rFonts w:asciiTheme="minorHAnsi" w:hAnsiTheme="minorHAnsi" w:cstheme="minorBidi"/>
          <w:lang w:val="es-ES"/>
        </w:rPr>
        <w:t xml:space="preserve">ofrecerán un </w:t>
      </w:r>
      <w:r w:rsidRPr="006D5FC9">
        <w:rPr>
          <w:rFonts w:asciiTheme="minorHAnsi" w:hAnsiTheme="minorHAnsi" w:cstheme="minorHAnsi"/>
          <w:szCs w:val="24"/>
          <w:lang w:val="es-ES"/>
        </w:rPr>
        <w:t>servicio</w:t>
      </w:r>
      <w:r>
        <w:rPr>
          <w:rFonts w:asciiTheme="minorHAnsi" w:hAnsiTheme="minorHAnsi" w:cstheme="minorBidi"/>
          <w:lang w:val="es-ES"/>
        </w:rPr>
        <w:t xml:space="preserve"> </w:t>
      </w:r>
      <w:r w:rsidR="005646ED">
        <w:rPr>
          <w:rFonts w:asciiTheme="minorHAnsi" w:hAnsiTheme="minorHAnsi" w:cstheme="minorBidi"/>
          <w:lang w:val="es-ES"/>
        </w:rPr>
        <w:t>"</w:t>
      </w:r>
      <w:r>
        <w:rPr>
          <w:rFonts w:asciiTheme="minorHAnsi" w:hAnsiTheme="minorHAnsi" w:cstheme="minorBidi"/>
          <w:lang w:val="es-ES"/>
        </w:rPr>
        <w:t>copiloto para la normalización de la IA</w:t>
      </w:r>
      <w:r w:rsidR="005646ED">
        <w:rPr>
          <w:rFonts w:asciiTheme="minorHAnsi" w:hAnsiTheme="minorHAnsi" w:cstheme="minorBidi"/>
          <w:lang w:val="es-ES"/>
        </w:rPr>
        <w:t>"</w:t>
      </w:r>
      <w:r>
        <w:rPr>
          <w:rFonts w:asciiTheme="minorHAnsi" w:hAnsiTheme="minorHAnsi" w:cstheme="minorBidi"/>
          <w:lang w:val="es-ES"/>
        </w:rPr>
        <w:t xml:space="preserve"> que facilitará la redacción de normas de la UIT, promoviendo la aplicación y utilización de la IA inclusiva</w:t>
      </w:r>
      <w:r w:rsidRPr="002766F3">
        <w:rPr>
          <w:rFonts w:asciiTheme="minorHAnsi" w:hAnsiTheme="minorHAnsi" w:cstheme="minorBidi"/>
          <w:lang w:val="es-ES"/>
        </w:rPr>
        <w:t>.</w:t>
      </w:r>
    </w:p>
    <w:p w14:paraId="3B5EF1CD" w14:textId="57AA2601" w:rsidR="00F13B27" w:rsidRPr="00544E1C" w:rsidRDefault="00F13B27" w:rsidP="008836E0">
      <w:pPr>
        <w:rPr>
          <w:rFonts w:asciiTheme="minorHAnsi" w:hAnsiTheme="minorHAnsi" w:cstheme="minorBidi"/>
          <w:lang w:val="es-ES"/>
        </w:rPr>
      </w:pPr>
      <w:r w:rsidRPr="00544E1C">
        <w:rPr>
          <w:rFonts w:asciiTheme="minorHAnsi" w:hAnsiTheme="minorHAnsi" w:cstheme="minorBidi"/>
          <w:lang w:val="es-ES"/>
        </w:rPr>
        <w:t xml:space="preserve">La </w:t>
      </w:r>
      <w:hyperlink r:id="rId19">
        <w:r w:rsidRPr="00EB1256">
          <w:rPr>
            <w:rStyle w:val="Hyperlink"/>
            <w:rFonts w:asciiTheme="minorHAnsi" w:eastAsiaTheme="minorHAnsi" w:hAnsiTheme="minorHAnsi" w:cstheme="minorHAnsi"/>
            <w:color w:val="0563C1"/>
            <w:kern w:val="2"/>
            <w:szCs w:val="24"/>
            <w:lang w:val="en-GB"/>
            <w14:ligatures w14:val="standardContextual"/>
          </w:rPr>
          <w:t>Iniciativa Alerta te</w:t>
        </w:r>
        <w:r w:rsidRPr="00EB1256">
          <w:rPr>
            <w:rStyle w:val="Hyperlink"/>
            <w:rFonts w:asciiTheme="minorHAnsi" w:eastAsiaTheme="minorHAnsi" w:hAnsiTheme="minorHAnsi" w:cstheme="minorHAnsi"/>
            <w:color w:val="0563C1"/>
            <w:kern w:val="2"/>
            <w:szCs w:val="24"/>
            <w:lang w:val="en-GB"/>
            <w14:ligatures w14:val="standardContextual"/>
          </w:rPr>
          <w:t>m</w:t>
        </w:r>
        <w:r w:rsidRPr="00EB1256">
          <w:rPr>
            <w:rStyle w:val="Hyperlink"/>
            <w:rFonts w:asciiTheme="minorHAnsi" w:eastAsiaTheme="minorHAnsi" w:hAnsiTheme="minorHAnsi" w:cstheme="minorHAnsi"/>
            <w:color w:val="0563C1"/>
            <w:kern w:val="2"/>
            <w:szCs w:val="24"/>
            <w:lang w:val="en-GB"/>
            <w14:ligatures w14:val="standardContextual"/>
          </w:rPr>
          <w:t>prana para todas las personas</w:t>
        </w:r>
      </w:hyperlink>
      <w:r w:rsidRPr="00544E1C">
        <w:rPr>
          <w:rFonts w:asciiTheme="minorHAnsi" w:hAnsiTheme="minorHAnsi" w:cstheme="minorBidi"/>
          <w:lang w:val="es-ES"/>
        </w:rPr>
        <w:t>, liderada por la Organización Meteor</w:t>
      </w:r>
      <w:r>
        <w:rPr>
          <w:rFonts w:asciiTheme="minorHAnsi" w:hAnsiTheme="minorHAnsi" w:cstheme="minorBidi"/>
          <w:lang w:val="es-ES"/>
        </w:rPr>
        <w:t>o</w:t>
      </w:r>
      <w:r w:rsidRPr="00544E1C">
        <w:rPr>
          <w:rFonts w:asciiTheme="minorHAnsi" w:hAnsiTheme="minorHAnsi" w:cstheme="minorBidi"/>
          <w:lang w:val="es-ES"/>
        </w:rPr>
        <w:t>lógica Mundial (OMM), la Oficina de las Naciones Unidas para la Reducció</w:t>
      </w:r>
      <w:r>
        <w:rPr>
          <w:rFonts w:asciiTheme="minorHAnsi" w:hAnsiTheme="minorHAnsi" w:cstheme="minorBidi"/>
          <w:lang w:val="es-ES"/>
        </w:rPr>
        <w:t>n del Riesgo de Desastres</w:t>
      </w:r>
      <w:r w:rsidRPr="00544E1C">
        <w:rPr>
          <w:rFonts w:asciiTheme="minorHAnsi" w:hAnsiTheme="minorHAnsi" w:cstheme="minorBidi"/>
          <w:lang w:val="es-ES"/>
        </w:rPr>
        <w:t xml:space="preserve"> (UNDRR) </w:t>
      </w:r>
      <w:r>
        <w:rPr>
          <w:rFonts w:asciiTheme="minorHAnsi" w:hAnsiTheme="minorHAnsi" w:cstheme="minorBidi"/>
          <w:lang w:val="es-ES"/>
        </w:rPr>
        <w:t xml:space="preserve">y la UIT, tiene por objetivo garantizar que todas las personas de la Tierra están </w:t>
      </w:r>
      <w:r w:rsidRPr="006D5FC9">
        <w:rPr>
          <w:rFonts w:asciiTheme="minorHAnsi" w:hAnsiTheme="minorHAnsi" w:cstheme="minorHAnsi"/>
          <w:szCs w:val="24"/>
          <w:lang w:val="es-ES"/>
        </w:rPr>
        <w:t>protegidas</w:t>
      </w:r>
      <w:r>
        <w:rPr>
          <w:rFonts w:asciiTheme="minorHAnsi" w:hAnsiTheme="minorHAnsi" w:cstheme="minorBidi"/>
          <w:lang w:val="es-ES"/>
        </w:rPr>
        <w:t xml:space="preserve"> por sistemas de </w:t>
      </w:r>
      <w:r w:rsidRPr="006D5FC9">
        <w:t>alerta</w:t>
      </w:r>
      <w:r>
        <w:rPr>
          <w:rFonts w:asciiTheme="minorHAnsi" w:hAnsiTheme="minorHAnsi" w:cstheme="minorBidi"/>
          <w:lang w:val="es-ES"/>
        </w:rPr>
        <w:t xml:space="preserve"> temprana antes de 2027. </w:t>
      </w:r>
      <w:r w:rsidRPr="00544E1C">
        <w:rPr>
          <w:rFonts w:asciiTheme="minorHAnsi" w:hAnsiTheme="minorHAnsi" w:cstheme="minorBidi"/>
          <w:lang w:val="es-ES"/>
        </w:rPr>
        <w:t xml:space="preserve">La UIT coordina el subgrupo que se ocupa de la IA, e influye en varios pilares, junto con </w:t>
      </w:r>
      <w:r>
        <w:rPr>
          <w:rFonts w:asciiTheme="minorHAnsi" w:hAnsiTheme="minorHAnsi" w:cstheme="minorBidi"/>
          <w:lang w:val="es-ES"/>
        </w:rPr>
        <w:t>socios técnicos en la IA como</w:t>
      </w:r>
      <w:r w:rsidRPr="00544E1C">
        <w:rPr>
          <w:rFonts w:asciiTheme="minorHAnsi" w:hAnsiTheme="minorHAnsi" w:cstheme="minorBidi"/>
          <w:lang w:val="es-ES"/>
        </w:rPr>
        <w:t xml:space="preserve"> Google, Microsoft, Planet, C</w:t>
      </w:r>
      <w:r>
        <w:rPr>
          <w:rFonts w:asciiTheme="minorHAnsi" w:hAnsiTheme="minorHAnsi" w:cstheme="minorBidi"/>
          <w:lang w:val="es-ES"/>
        </w:rPr>
        <w:t>omité Internacional de la Cruz Roja</w:t>
      </w:r>
      <w:r w:rsidRPr="00544E1C">
        <w:rPr>
          <w:rFonts w:asciiTheme="minorHAnsi" w:hAnsiTheme="minorHAnsi" w:cstheme="minorBidi"/>
          <w:lang w:val="es-ES"/>
        </w:rPr>
        <w:t xml:space="preserve">, </w:t>
      </w:r>
      <w:r>
        <w:rPr>
          <w:rFonts w:asciiTheme="minorHAnsi" w:hAnsiTheme="minorHAnsi" w:cstheme="minorBidi"/>
          <w:lang w:val="es-ES"/>
        </w:rPr>
        <w:t>etc.</w:t>
      </w:r>
      <w:r w:rsidRPr="00544E1C">
        <w:rPr>
          <w:rFonts w:asciiTheme="minorHAnsi" w:hAnsiTheme="minorHAnsi" w:cstheme="minorBidi"/>
          <w:lang w:val="es-ES"/>
        </w:rPr>
        <w:t xml:space="preserve"> </w:t>
      </w:r>
    </w:p>
    <w:p w14:paraId="446F10ED" w14:textId="77777777" w:rsidR="00F13B27" w:rsidRPr="00544E1C" w:rsidRDefault="00F13B27" w:rsidP="008836E0">
      <w:pPr>
        <w:rPr>
          <w:rFonts w:asciiTheme="minorHAnsi" w:hAnsiTheme="minorHAnsi" w:cstheme="minorHAnsi"/>
          <w:color w:val="000000"/>
          <w:shd w:val="clear" w:color="auto" w:fill="FFFFFF"/>
          <w:lang w:val="es-ES"/>
        </w:rPr>
      </w:pPr>
      <w:r w:rsidRPr="00544E1C">
        <w:rPr>
          <w:rFonts w:asciiTheme="minorHAnsi" w:hAnsiTheme="minorHAnsi" w:cstheme="minorHAnsi"/>
          <w:color w:val="000000"/>
          <w:shd w:val="clear" w:color="auto" w:fill="FFFFFF"/>
          <w:lang w:val="es-ES"/>
        </w:rPr>
        <w:t xml:space="preserve">Además, el programa Cierre de la brecha de normalización (CBN) de la UIT participa en estos esfuerzos ofreciendo becas a los </w:t>
      </w:r>
      <w:r w:rsidRPr="006D5FC9">
        <w:t>ganadores</w:t>
      </w:r>
      <w:r w:rsidRPr="00544E1C">
        <w:rPr>
          <w:rFonts w:asciiTheme="minorHAnsi" w:hAnsiTheme="minorHAnsi" w:cstheme="minorHAnsi"/>
          <w:color w:val="000000"/>
          <w:shd w:val="clear" w:color="auto" w:fill="FFFFFF"/>
          <w:lang w:val="es-ES"/>
        </w:rPr>
        <w:t xml:space="preserve"> de los concursos de robótica y aprendizaje automáti</w:t>
      </w:r>
      <w:r>
        <w:rPr>
          <w:rFonts w:asciiTheme="minorHAnsi" w:hAnsiTheme="minorHAnsi" w:cstheme="minorHAnsi"/>
          <w:color w:val="000000"/>
          <w:shd w:val="clear" w:color="auto" w:fill="FFFFFF"/>
          <w:lang w:val="es-ES"/>
        </w:rPr>
        <w:t>co de</w:t>
      </w:r>
      <w:r w:rsidRPr="00544E1C">
        <w:rPr>
          <w:rFonts w:asciiTheme="minorHAnsi" w:hAnsiTheme="minorHAnsi" w:cstheme="minorHAnsi"/>
          <w:color w:val="000000"/>
          <w:shd w:val="clear" w:color="auto" w:fill="FFFFFF"/>
          <w:lang w:val="es-ES"/>
        </w:rPr>
        <w:t xml:space="preserve"> AI </w:t>
      </w:r>
      <w:r w:rsidRPr="006D5FC9">
        <w:rPr>
          <w:rFonts w:asciiTheme="minorHAnsi" w:hAnsiTheme="minorHAnsi" w:cstheme="minorHAnsi"/>
          <w:szCs w:val="24"/>
          <w:lang w:val="es-ES"/>
        </w:rPr>
        <w:t>for</w:t>
      </w:r>
      <w:r w:rsidRPr="00544E1C">
        <w:rPr>
          <w:rFonts w:asciiTheme="minorHAnsi" w:hAnsiTheme="minorHAnsi" w:cstheme="minorHAnsi"/>
          <w:color w:val="000000"/>
          <w:shd w:val="clear" w:color="auto" w:fill="FFFFFF"/>
          <w:lang w:val="es-ES"/>
        </w:rPr>
        <w:t xml:space="preserve"> Good </w:t>
      </w:r>
      <w:r>
        <w:rPr>
          <w:rFonts w:asciiTheme="minorHAnsi" w:hAnsiTheme="minorHAnsi" w:cstheme="minorHAnsi"/>
          <w:color w:val="000000"/>
          <w:shd w:val="clear" w:color="auto" w:fill="FFFFFF"/>
          <w:lang w:val="es-ES"/>
        </w:rPr>
        <w:t>procedentes de África a fin de facilitar su participación en la Cumbre Mundial</w:t>
      </w:r>
      <w:r w:rsidRPr="00544E1C">
        <w:rPr>
          <w:rFonts w:asciiTheme="minorHAnsi" w:hAnsiTheme="minorHAnsi" w:cstheme="minorHAnsi"/>
          <w:color w:val="000000"/>
          <w:shd w:val="clear" w:color="auto" w:fill="FFFFFF"/>
          <w:lang w:val="es-ES"/>
        </w:rPr>
        <w:t xml:space="preserve"> AI for Good </w:t>
      </w:r>
      <w:r>
        <w:rPr>
          <w:rFonts w:asciiTheme="minorHAnsi" w:hAnsiTheme="minorHAnsi" w:cstheme="minorHAnsi"/>
          <w:color w:val="000000"/>
          <w:shd w:val="clear" w:color="auto" w:fill="FFFFFF"/>
          <w:lang w:val="es-ES"/>
        </w:rPr>
        <w:t>de</w:t>
      </w:r>
      <w:r w:rsidRPr="00544E1C">
        <w:rPr>
          <w:rFonts w:asciiTheme="minorHAnsi" w:hAnsiTheme="minorHAnsi" w:cstheme="minorHAnsi"/>
          <w:color w:val="000000"/>
          <w:shd w:val="clear" w:color="auto" w:fill="FFFFFF"/>
          <w:lang w:val="es-ES"/>
        </w:rPr>
        <w:t xml:space="preserve"> 2024.</w:t>
      </w:r>
    </w:p>
    <w:p w14:paraId="73E92A90" w14:textId="77777777" w:rsidR="00F13B27" w:rsidRPr="001D2730" w:rsidRDefault="00F13B27" w:rsidP="005646ED">
      <w:pPr>
        <w:pStyle w:val="Headingb"/>
        <w:rPr>
          <w:lang w:val="es-ES"/>
        </w:rPr>
      </w:pPr>
      <w:r w:rsidRPr="001D2730">
        <w:rPr>
          <w:lang w:val="es-ES"/>
        </w:rPr>
        <w:t xml:space="preserve">Asistencia en materia de gobernanza, </w:t>
      </w:r>
      <w:r>
        <w:rPr>
          <w:lang w:val="es-ES"/>
        </w:rPr>
        <w:t>política y reglamentación de la IA</w:t>
      </w:r>
    </w:p>
    <w:p w14:paraId="5312C7AE" w14:textId="46AA49D2" w:rsidR="00F13B27" w:rsidRPr="006D5FC9" w:rsidRDefault="00F13B27" w:rsidP="006D5FC9">
      <w:r w:rsidRPr="006D5FC9">
        <w:t xml:space="preserve">El objetivo de la próxima sesión </w:t>
      </w:r>
      <w:r w:rsidR="005646ED" w:rsidRPr="00EB1256">
        <w:rPr>
          <w:rStyle w:val="Hyperlink"/>
          <w:rFonts w:eastAsiaTheme="minorHAnsi" w:cstheme="minorHAnsi"/>
          <w:color w:val="0563C1"/>
          <w:kern w:val="2"/>
          <w:szCs w:val="24"/>
          <w:lang w:val="en-GB"/>
          <w14:ligatures w14:val="standardContextual"/>
        </w:rPr>
        <w:t>"</w:t>
      </w:r>
      <w:hyperlink r:id="rId20" w:anchor="day0" w:tgtFrame="_blank" w:history="1">
        <w:r w:rsidRPr="00EB1256">
          <w:rPr>
            <w:rStyle w:val="Hyperlink"/>
            <w:rFonts w:eastAsiaTheme="minorHAnsi" w:cstheme="minorHAnsi"/>
            <w:color w:val="0563C1"/>
            <w:kern w:val="2"/>
            <w:szCs w:val="24"/>
            <w:lang w:val="en-GB"/>
            <w14:ligatures w14:val="standardContextual"/>
          </w:rPr>
          <w:t xml:space="preserve">Día de la gobernanza de </w:t>
        </w:r>
        <w:r w:rsidRPr="00EB1256">
          <w:rPr>
            <w:rStyle w:val="Hyperlink"/>
            <w:rFonts w:eastAsiaTheme="minorHAnsi" w:cstheme="minorHAnsi"/>
            <w:color w:val="0563C1"/>
            <w:kern w:val="2"/>
            <w:szCs w:val="24"/>
            <w:lang w:val="en-GB"/>
            <w14:ligatures w14:val="standardContextual"/>
          </w:rPr>
          <w:t>l</w:t>
        </w:r>
        <w:r w:rsidRPr="00EB1256">
          <w:rPr>
            <w:rStyle w:val="Hyperlink"/>
            <w:rFonts w:eastAsiaTheme="minorHAnsi" w:cstheme="minorHAnsi"/>
            <w:color w:val="0563C1"/>
            <w:kern w:val="2"/>
            <w:szCs w:val="24"/>
            <w:lang w:val="en-GB"/>
            <w14:ligatures w14:val="standardContextual"/>
          </w:rPr>
          <w:t>a IA</w:t>
        </w:r>
      </w:hyperlink>
      <w:r w:rsidRPr="00EB1256">
        <w:rPr>
          <w:rStyle w:val="Hyperlink"/>
          <w:rFonts w:eastAsiaTheme="minorHAnsi" w:cstheme="minorHAnsi"/>
          <w:color w:val="0563C1"/>
          <w:kern w:val="2"/>
          <w:szCs w:val="24"/>
          <w:lang w:val="en-GB"/>
          <w14:ligatures w14:val="standardContextual"/>
        </w:rPr>
        <w:t xml:space="preserve"> – De los principios a la implementación</w:t>
      </w:r>
      <w:r w:rsidR="005646ED" w:rsidRPr="00EB1256">
        <w:rPr>
          <w:rStyle w:val="Hyperlink"/>
          <w:rFonts w:eastAsiaTheme="minorHAnsi" w:cstheme="minorHAnsi"/>
          <w:color w:val="0563C1"/>
          <w:kern w:val="2"/>
          <w:szCs w:val="24"/>
          <w:lang w:val="en-GB"/>
          <w14:ligatures w14:val="standardContextual"/>
        </w:rPr>
        <w:t>"</w:t>
      </w:r>
      <w:r w:rsidRPr="006D5FC9">
        <w:t xml:space="preserve">, organizada en el marco de la Cumbre AI for Good, es reunir a los líderes gubernamentales, legisladores, investigadores y expertos en tecnología para aunar sus esfuerzos, aprovechar al máximo los trabajos realizados y en curso sobre marcos de gobernanza de la IA y facilitar el intercambio de conocimientos sobre políticas, reglamentación e implementación de la IA entre todos los Estados Miembros de la UIT y demás partes interesadas. Se prevé que con esta ocasión se reúnan casi 70 ministros y jefes de autoridades de reglamentación, además de otros interesados que suelen quedar excluidos de los procesos de gobernanza de la IA, como los países en desarrollo y la sociedad civil. </w:t>
      </w:r>
    </w:p>
    <w:p w14:paraId="1283314F" w14:textId="2C7124C3" w:rsidR="00F13B27" w:rsidRPr="00F2043D" w:rsidRDefault="00F13B27" w:rsidP="00CA00C3">
      <w:pPr>
        <w:rPr>
          <w:b/>
          <w:bCs/>
          <w:lang w:val="es-ES"/>
        </w:rPr>
      </w:pPr>
      <w:r w:rsidRPr="00F2043D">
        <w:rPr>
          <w:lang w:val="es-ES"/>
        </w:rPr>
        <w:t>El compromiso de la UIT para con el cierre de la brecha de IA quedó patente en los resultados del Foro Mundial de Política de las Teleco</w:t>
      </w:r>
      <w:r>
        <w:rPr>
          <w:lang w:val="es-ES"/>
        </w:rPr>
        <w:t>municaciones/TIC de</w:t>
      </w:r>
      <w:r w:rsidRPr="00F2043D">
        <w:rPr>
          <w:lang w:val="es-ES"/>
        </w:rPr>
        <w:t xml:space="preserve"> 2021 </w:t>
      </w:r>
      <w:r>
        <w:rPr>
          <w:lang w:val="es-ES"/>
        </w:rPr>
        <w:t xml:space="preserve">y el Simposio Mundial para Organismos Reguladores de 2024, una de cuyas vías, bajo la égida de AI for Good, se dedicará a la IA y la robótica. </w:t>
      </w:r>
      <w:r w:rsidRPr="00F2043D">
        <w:rPr>
          <w:lang w:val="es-ES"/>
        </w:rPr>
        <w:t xml:space="preserve">En septiembre de 2023, la UIT transmitió a los </w:t>
      </w:r>
      <w:r>
        <w:rPr>
          <w:lang w:val="es-ES"/>
        </w:rPr>
        <w:t>Estados Miembros</w:t>
      </w:r>
      <w:r w:rsidRPr="00F2043D">
        <w:rPr>
          <w:lang w:val="es-ES"/>
        </w:rPr>
        <w:t xml:space="preserve"> la</w:t>
      </w:r>
      <w:r w:rsidRPr="00F2043D">
        <w:rPr>
          <w:color w:val="000000"/>
          <w:shd w:val="clear" w:color="auto" w:fill="FFFFFF"/>
          <w:lang w:val="es-ES"/>
        </w:rPr>
        <w:t xml:space="preserve"> </w:t>
      </w:r>
      <w:hyperlink r:id="rId21" w:history="1">
        <w:r w:rsidRPr="00EB1256">
          <w:rPr>
            <w:rStyle w:val="Hyperlink"/>
            <w:rFonts w:asciiTheme="minorHAnsi" w:eastAsiaTheme="minorHAnsi" w:hAnsiTheme="minorHAnsi" w:cstheme="minorHAnsi"/>
            <w:color w:val="0563C1"/>
            <w:kern w:val="2"/>
            <w:szCs w:val="24"/>
            <w:lang w:val="en-GB"/>
            <w14:ligatures w14:val="standardContextual"/>
          </w:rPr>
          <w:t>Encuesta sobre el pan</w:t>
        </w:r>
        <w:r w:rsidRPr="00EB1256">
          <w:rPr>
            <w:rStyle w:val="Hyperlink"/>
            <w:rFonts w:asciiTheme="minorHAnsi" w:eastAsiaTheme="minorHAnsi" w:hAnsiTheme="minorHAnsi" w:cstheme="minorHAnsi"/>
            <w:color w:val="0563C1"/>
            <w:kern w:val="2"/>
            <w:szCs w:val="24"/>
            <w:lang w:val="en-GB"/>
            <w14:ligatures w14:val="standardContextual"/>
          </w:rPr>
          <w:t>o</w:t>
        </w:r>
        <w:r w:rsidRPr="00EB1256">
          <w:rPr>
            <w:rStyle w:val="Hyperlink"/>
            <w:rFonts w:asciiTheme="minorHAnsi" w:eastAsiaTheme="minorHAnsi" w:hAnsiTheme="minorHAnsi" w:cstheme="minorHAnsi"/>
            <w:color w:val="0563C1"/>
            <w:kern w:val="2"/>
            <w:szCs w:val="24"/>
            <w:lang w:val="en-GB"/>
            <w14:ligatures w14:val="standardContextual"/>
          </w:rPr>
          <w:t>rama de la IA</w:t>
        </w:r>
      </w:hyperlink>
      <w:r w:rsidRPr="00F2043D">
        <w:rPr>
          <w:lang w:val="es-ES"/>
        </w:rPr>
        <w:t xml:space="preserve"> </w:t>
      </w:r>
      <w:r>
        <w:rPr>
          <w:lang w:val="es-ES"/>
        </w:rPr>
        <w:t xml:space="preserve">a fin de recabar información sobre sus iniciativas en materia de política y reglamentación de la IA y </w:t>
      </w:r>
      <w:r w:rsidRPr="006D5FC9">
        <w:rPr>
          <w:rFonts w:cstheme="minorHAnsi"/>
          <w:szCs w:val="24"/>
          <w:lang w:val="es-ES"/>
        </w:rPr>
        <w:t>conocer</w:t>
      </w:r>
      <w:r>
        <w:rPr>
          <w:lang w:val="es-ES"/>
        </w:rPr>
        <w:t xml:space="preserve"> cómo se armonizan con sus actividades en pro de la transformación digital en curso. </w:t>
      </w:r>
      <w:r w:rsidRPr="00F2043D">
        <w:rPr>
          <w:lang w:val="es-ES"/>
        </w:rPr>
        <w:t>Se recibieron respuestas de 69</w:t>
      </w:r>
      <w:r w:rsidR="00E9579B">
        <w:rPr>
          <w:lang w:val="es-ES"/>
        </w:rPr>
        <w:t> </w:t>
      </w:r>
      <w:r w:rsidRPr="00F2043D">
        <w:rPr>
          <w:lang w:val="es-ES"/>
        </w:rPr>
        <w:t>Estados Miembros, 12 desarrollados y 57 en desarrollo, incluidos 10 pa</w:t>
      </w:r>
      <w:r>
        <w:rPr>
          <w:lang w:val="es-ES"/>
        </w:rPr>
        <w:t xml:space="preserve">íses menos adelantados. </w:t>
      </w:r>
      <w:r w:rsidRPr="00F2043D">
        <w:rPr>
          <w:lang w:val="es-ES"/>
        </w:rPr>
        <w:t>La Encuesta reveló enormes diferencias entre las estrategias de IA de los distintos Estados Miembros</w:t>
      </w:r>
      <w:r>
        <w:rPr>
          <w:lang w:val="es-ES"/>
        </w:rPr>
        <w:t>, pero también una notable tendencia hacia la integración de la IA en los esfuerzos invertidos en la transformación digital</w:t>
      </w:r>
      <w:r w:rsidRPr="00F2043D">
        <w:rPr>
          <w:color w:val="000000"/>
          <w:shd w:val="clear" w:color="auto" w:fill="FFFFFF"/>
          <w:lang w:val="es-ES"/>
        </w:rPr>
        <w:t xml:space="preserve">. </w:t>
      </w:r>
    </w:p>
    <w:p w14:paraId="4E076809" w14:textId="77777777" w:rsidR="00F13B27" w:rsidRPr="00F2043D" w:rsidRDefault="00F13B27" w:rsidP="00CA00C3">
      <w:pPr>
        <w:pStyle w:val="Headingb"/>
        <w:rPr>
          <w:rFonts w:asciiTheme="minorHAnsi" w:hAnsiTheme="minorHAnsi" w:cstheme="minorBidi"/>
          <w:b w:val="0"/>
          <w:lang w:val="es-ES"/>
        </w:rPr>
      </w:pPr>
      <w:r w:rsidRPr="00CA00C3">
        <w:rPr>
          <w:lang w:val="es-ES"/>
        </w:rPr>
        <w:t>Coordinación sobre IA en todo el sistema de las Naciones Unidas</w:t>
      </w:r>
    </w:p>
    <w:p w14:paraId="0D2EEDED" w14:textId="77777777" w:rsidR="00F13B27" w:rsidRPr="007B2593" w:rsidRDefault="00F13B27" w:rsidP="008836E0">
      <w:pPr>
        <w:rPr>
          <w:rFonts w:asciiTheme="minorHAnsi" w:hAnsiTheme="minorHAnsi" w:cstheme="minorBidi"/>
          <w:color w:val="000000" w:themeColor="text1"/>
          <w:lang w:val="es-ES"/>
        </w:rPr>
      </w:pPr>
      <w:r w:rsidRPr="007B2593">
        <w:rPr>
          <w:rFonts w:asciiTheme="minorHAnsi" w:hAnsiTheme="minorHAnsi" w:cstheme="minorBidi"/>
          <w:color w:val="000000" w:themeColor="text1"/>
          <w:lang w:val="es-ES"/>
        </w:rPr>
        <w:t xml:space="preserve">El Grupo de Trabajo Interorganismos sobre la IA </w:t>
      </w:r>
      <w:r w:rsidRPr="007B2593">
        <w:rPr>
          <w:rFonts w:asciiTheme="minorHAnsi" w:hAnsiTheme="minorHAnsi" w:cstheme="minorBidi"/>
          <w:color w:val="000000"/>
          <w:shd w:val="clear" w:color="auto" w:fill="FFFFFF"/>
          <w:lang w:val="es-ES"/>
        </w:rPr>
        <w:t>(IAWG-AI)</w:t>
      </w:r>
      <w:r>
        <w:rPr>
          <w:rFonts w:asciiTheme="minorHAnsi" w:hAnsiTheme="minorHAnsi" w:cstheme="minorBidi"/>
          <w:color w:val="000000"/>
          <w:shd w:val="clear" w:color="auto" w:fill="FFFFFF"/>
          <w:lang w:val="es-ES"/>
        </w:rPr>
        <w:t xml:space="preserve"> </w:t>
      </w:r>
      <w:r w:rsidRPr="007B2593">
        <w:rPr>
          <w:rFonts w:asciiTheme="minorHAnsi" w:hAnsiTheme="minorHAnsi" w:cstheme="minorBidi"/>
          <w:color w:val="000000" w:themeColor="text1"/>
          <w:lang w:val="es-ES"/>
        </w:rPr>
        <w:t>de la JJE-HLCP (Junta de Jefes Ejecutivos – Comité de Alto Nivel sobre Programas) de las Naciones Unidas, copresidido por la UIT y la</w:t>
      </w:r>
      <w:r w:rsidRPr="007B2593">
        <w:rPr>
          <w:rFonts w:asciiTheme="minorHAnsi" w:hAnsiTheme="minorHAnsi" w:cstheme="minorBidi"/>
          <w:color w:val="000000"/>
          <w:spacing w:val="-2"/>
          <w:shd w:val="clear" w:color="auto" w:fill="FFFFFF"/>
          <w:lang w:val="es-ES"/>
        </w:rPr>
        <w:t xml:space="preserve"> UNESCO</w:t>
      </w:r>
      <w:r w:rsidRPr="007B2593">
        <w:rPr>
          <w:rFonts w:asciiTheme="minorHAnsi" w:hAnsiTheme="minorHAnsi" w:cstheme="minorBidi"/>
          <w:color w:val="000000"/>
          <w:shd w:val="clear" w:color="auto" w:fill="FFFFFF"/>
          <w:lang w:val="es-ES"/>
        </w:rPr>
        <w:t xml:space="preserve">, </w:t>
      </w:r>
      <w:r>
        <w:rPr>
          <w:rFonts w:asciiTheme="minorHAnsi" w:hAnsiTheme="minorHAnsi" w:cstheme="minorBidi"/>
          <w:color w:val="000000"/>
          <w:shd w:val="clear" w:color="auto" w:fill="FFFFFF"/>
          <w:lang w:val="es-ES"/>
        </w:rPr>
        <w:t xml:space="preserve">dirige una </w:t>
      </w:r>
      <w:r w:rsidRPr="008836E0">
        <w:rPr>
          <w:lang w:val="es-ES"/>
        </w:rPr>
        <w:t>coordinación</w:t>
      </w:r>
      <w:r>
        <w:rPr>
          <w:rFonts w:asciiTheme="minorHAnsi" w:hAnsiTheme="minorHAnsi" w:cstheme="minorBidi"/>
          <w:color w:val="000000"/>
          <w:shd w:val="clear" w:color="auto" w:fill="FFFFFF"/>
          <w:lang w:val="es-ES"/>
        </w:rPr>
        <w:t xml:space="preserve"> masiva entre más de 40 organismos de las Naciones Unidas y ha puesto en marcha iniciativas de gran </w:t>
      </w:r>
      <w:r w:rsidRPr="006D5FC9">
        <w:rPr>
          <w:rFonts w:asciiTheme="minorHAnsi" w:hAnsiTheme="minorHAnsi" w:cstheme="minorHAnsi"/>
          <w:szCs w:val="24"/>
          <w:lang w:val="es-ES"/>
        </w:rPr>
        <w:t>calado</w:t>
      </w:r>
      <w:r>
        <w:rPr>
          <w:rFonts w:asciiTheme="minorHAnsi" w:hAnsiTheme="minorHAnsi" w:cstheme="minorBidi"/>
          <w:color w:val="000000"/>
          <w:shd w:val="clear" w:color="auto" w:fill="FFFFFF"/>
          <w:lang w:val="es-ES"/>
        </w:rPr>
        <w:t>, como la iniciativa Principios éticos de la IA en todo el sistema de las Naciones Unidas</w:t>
      </w:r>
      <w:r w:rsidRPr="007B2593">
        <w:rPr>
          <w:rFonts w:asciiTheme="minorHAnsi" w:hAnsiTheme="minorHAnsi" w:cstheme="minorBidi"/>
          <w:color w:val="000000"/>
          <w:shd w:val="clear" w:color="auto" w:fill="FFFFFF"/>
          <w:lang w:val="es-ES"/>
        </w:rPr>
        <w:t xml:space="preserve">. </w:t>
      </w:r>
    </w:p>
    <w:p w14:paraId="5C6A499B" w14:textId="3720C4FE" w:rsidR="00F13B27" w:rsidRPr="00CA00C3" w:rsidRDefault="00F13B27" w:rsidP="00CA00C3">
      <w:r w:rsidRPr="00CA00C3">
        <w:t xml:space="preserve">El HLCP y la JJE han adoptado un </w:t>
      </w:r>
      <w:hyperlink r:id="rId22" w:history="1">
        <w:r w:rsidRPr="00EB1256">
          <w:rPr>
            <w:rStyle w:val="Hyperlink"/>
            <w:rFonts w:asciiTheme="minorHAnsi" w:eastAsiaTheme="minorHAnsi" w:hAnsiTheme="minorHAnsi" w:cstheme="minorHAnsi"/>
            <w:color w:val="0563C1"/>
            <w:kern w:val="2"/>
            <w:szCs w:val="24"/>
            <w:lang w:val="en-GB"/>
            <w14:ligatures w14:val="standardContextual"/>
          </w:rPr>
          <w:t>Libr</w:t>
        </w:r>
        <w:r w:rsidRPr="00EB1256">
          <w:rPr>
            <w:rStyle w:val="Hyperlink"/>
            <w:rFonts w:asciiTheme="minorHAnsi" w:eastAsiaTheme="minorHAnsi" w:hAnsiTheme="minorHAnsi" w:cstheme="minorHAnsi"/>
            <w:color w:val="0563C1"/>
            <w:kern w:val="2"/>
            <w:szCs w:val="24"/>
            <w:lang w:val="en-GB"/>
            <w14:ligatures w14:val="standardContextual"/>
          </w:rPr>
          <w:t>o</w:t>
        </w:r>
        <w:r w:rsidRPr="00EB1256">
          <w:rPr>
            <w:rStyle w:val="Hyperlink"/>
            <w:rFonts w:asciiTheme="minorHAnsi" w:eastAsiaTheme="minorHAnsi" w:hAnsiTheme="minorHAnsi" w:cstheme="minorHAnsi"/>
            <w:color w:val="0563C1"/>
            <w:kern w:val="2"/>
            <w:szCs w:val="24"/>
            <w:lang w:val="en-GB"/>
            <w14:ligatures w14:val="standardContextual"/>
          </w:rPr>
          <w:t xml:space="preserve"> Blanco</w:t>
        </w:r>
      </w:hyperlink>
      <w:r w:rsidRPr="00CA00C3">
        <w:t xml:space="preserve">, elaborado por el IAWG-AI, en el que se analizan los actuales modelos institucionales de las Naciones Unidas y las funciones conexas, </w:t>
      </w:r>
      <w:r w:rsidRPr="00CA00C3">
        <w:lastRenderedPageBreak/>
        <w:t xml:space="preserve">así como los marcos normativos internacionales existentes en el sistema que podrían aplicarse o adaptarse a la gobernanza internacional de la IA. </w:t>
      </w:r>
    </w:p>
    <w:p w14:paraId="74969519" w14:textId="77777777" w:rsidR="00F13B27" w:rsidRPr="00CA00C3" w:rsidRDefault="00F13B27" w:rsidP="00CA00C3">
      <w:r w:rsidRPr="00CA00C3">
        <w:t xml:space="preserve">En el Libro Blanco se identifican más de 50 instrumentos que podrían aplicarse total o parcialmente a la gobernanza internacional de la IA. </w:t>
      </w:r>
    </w:p>
    <w:p w14:paraId="4FE2DF76" w14:textId="0E25D3DA" w:rsidR="00F13B27" w:rsidRPr="00CA00C3" w:rsidRDefault="00F13B27" w:rsidP="00CA00C3">
      <w:r w:rsidRPr="00CA00C3">
        <w:t>Además, gracias a su relación con los miembros del IAWG-AI y los socios de las Naciones Unidas de AI for Good, la UIT coordina contribuciones y prepara el Informe anual sobre las actividades de las Naciones Unidas en el ámbito de la IA, que es un directorio interactivo. En la actualidad se conocen 396 proyectos de IA de 47 organismos, que abarcan los 17</w:t>
      </w:r>
      <w:r w:rsidR="00E9579B">
        <w:t> </w:t>
      </w:r>
      <w:r w:rsidRPr="00CA00C3">
        <w:t>Objetivos de Desarrollo Sostenible (ODS) y en su mayoría se traducen en herramientas de software e informes centrados en temas como los derechos humanos, la ética y la justicia, el medio ambiente, la agricultura, la sanidad, la educación, el género y las telecomunicaciones, y que dan cuenta de la colaboración entre el sistema de las Naciones Unidas, los Estados Miembros, las instituciones académicas y el sector privado.</w:t>
      </w:r>
    </w:p>
    <w:p w14:paraId="4DA3839D" w14:textId="77777777" w:rsidR="00F13B27" w:rsidRPr="00D851BF" w:rsidRDefault="00F13B27" w:rsidP="00CA00C3">
      <w:pPr>
        <w:pStyle w:val="Headingb"/>
        <w:tabs>
          <w:tab w:val="clear" w:pos="567"/>
          <w:tab w:val="left" w:pos="284"/>
        </w:tabs>
        <w:ind w:left="0" w:firstLine="0"/>
        <w:rPr>
          <w:rFonts w:asciiTheme="minorHAnsi" w:hAnsiTheme="minorHAnsi" w:cstheme="minorHAnsi"/>
          <w:b w:val="0"/>
          <w:bCs/>
          <w:color w:val="000000"/>
          <w:shd w:val="clear" w:color="auto" w:fill="FFFFFF"/>
          <w:lang w:val="es-ES"/>
        </w:rPr>
      </w:pPr>
      <w:r w:rsidRPr="00CA00C3">
        <w:rPr>
          <w:lang w:val="es-ES"/>
        </w:rPr>
        <w:t>Órgano Asesor de Alto Nivel sobre Inteligencia Artificial del Secretario General de las Naciones Unidas</w:t>
      </w:r>
    </w:p>
    <w:p w14:paraId="14FCFE65" w14:textId="7BA2FBA6" w:rsidR="00F13B27" w:rsidRPr="00BA01BC" w:rsidRDefault="00F13B27" w:rsidP="00BA01BC">
      <w:r w:rsidRPr="00BA01BC">
        <w:t>En octubre de 2023 el Secretario General de las Naciones Unidas creó un Órgano Asesor de Alto Nivel sobre Inteligencia Artificial (HLAB-AI) multipartito a fin de realizar un análisis de la gobernanza internacional de la IA y formular recomendaciones al respecto. Este órgano emitió un Informe provisional en diciembre de 2023 y se espera un informe final a finales de este año.</w:t>
      </w:r>
    </w:p>
    <w:p w14:paraId="48B832CC" w14:textId="77777777" w:rsidR="00F13B27" w:rsidRPr="00D851BF" w:rsidRDefault="00F13B27" w:rsidP="00BA01BC">
      <w:pPr>
        <w:rPr>
          <w:shd w:val="clear" w:color="auto" w:fill="FFFFFF"/>
          <w:lang w:val="es-ES"/>
        </w:rPr>
      </w:pPr>
      <w:r w:rsidRPr="00BA01BC">
        <w:t>La UIT recibió a los miembros del HLAB-AI en la Sede de Ginebra en marzo de 2024. Se invitó a los miembros del HLAB-AI a la Cumbre AI for Good de 2024 y asistirán a varias de sus sesiones. Se presentó el Libro Blanco del IAWG-AI a la consideración del HLAB-AI en el marco de la preparación de su informe final, cuyas conclusiones preliminares se publicaron en diciembre.</w:t>
      </w:r>
    </w:p>
    <w:p w14:paraId="5D81883C" w14:textId="77777777" w:rsidR="00F13B27" w:rsidRPr="00D851BF" w:rsidRDefault="00F13B27" w:rsidP="00BA01BC">
      <w:pPr>
        <w:pStyle w:val="Headingb"/>
        <w:rPr>
          <w:rFonts w:asciiTheme="minorHAnsi" w:hAnsiTheme="minorHAnsi" w:cstheme="minorHAnsi"/>
          <w:b w:val="0"/>
          <w:bCs/>
          <w:lang w:val="es-ES"/>
        </w:rPr>
      </w:pPr>
      <w:r w:rsidRPr="00BA01BC">
        <w:rPr>
          <w:lang w:val="es-ES"/>
        </w:rPr>
        <w:t>Colaboración multipartita a través de AI for Good</w:t>
      </w:r>
    </w:p>
    <w:p w14:paraId="4D54549E" w14:textId="44BE0EA8" w:rsidR="00F13B27" w:rsidRPr="00BA01BC" w:rsidRDefault="00F13B27" w:rsidP="00BA01BC">
      <w:r w:rsidRPr="00BA01BC">
        <w:t xml:space="preserve">La plataforma AI for Good se ha convertido en una potente herramienta de promoción de asociaciones público-privadas, facilitación del intercambio de conocimientos y asistencia a los países en desarrollo para el desarrollo sostenible mediante la aplicación práctica de casos de uso de IA de elevado potencial. </w:t>
      </w:r>
    </w:p>
    <w:p w14:paraId="373EFDAD" w14:textId="51A187FB" w:rsidR="00F13B27" w:rsidRPr="00191E8A" w:rsidRDefault="00F13B27" w:rsidP="00BA01BC">
      <w:pPr>
        <w:rPr>
          <w:rFonts w:asciiTheme="minorHAnsi" w:hAnsiTheme="minorHAnsi" w:cstheme="minorBidi"/>
          <w:color w:val="000000"/>
          <w:shd w:val="clear" w:color="auto" w:fill="FFFFFF"/>
          <w:lang w:val="es-ES"/>
        </w:rPr>
      </w:pPr>
      <w:r w:rsidRPr="00BA01BC">
        <w:t xml:space="preserve">Desde su creación en 2017, la plataforma AI for Good ha pasado de ser una cumbre anual a adoptar un formato </w:t>
      </w:r>
      <w:r w:rsidR="00BA01BC" w:rsidRPr="00BA01BC">
        <w:t>"</w:t>
      </w:r>
      <w:r w:rsidRPr="00BA01BC">
        <w:t>Todo el año, siempre en línea</w:t>
      </w:r>
      <w:r w:rsidR="00BA01BC" w:rsidRPr="00BA01BC">
        <w:t>"</w:t>
      </w:r>
      <w:r w:rsidRPr="00BA01BC">
        <w:t>, en cuyo marco se celebran más de 150</w:t>
      </w:r>
      <w:r w:rsidR="00E9579B">
        <w:t> </w:t>
      </w:r>
      <w:r w:rsidRPr="00BA01BC">
        <w:t>eventos en línea al año, además de la celebración de la Cumbre anual en Ginebra. Esta expansión no sólo ha dado visibilidad a la UIT en el seno de la comunidad de la IA y</w:t>
      </w:r>
      <w:r w:rsidR="00BA01BC" w:rsidRPr="00BA01BC">
        <w:t xml:space="preserve"> ha</w:t>
      </w:r>
      <w:r w:rsidRPr="00BA01BC">
        <w:t xml:space="preserve"> atraído a nuevos Miembros a la UIT, sino que también ha conseguido una cobertura mediática internacional de gran alcance en gigantes del sector como BBC, Wired y CNN.</w:t>
      </w:r>
      <w:r w:rsidRPr="00191E8A">
        <w:rPr>
          <w:rFonts w:asciiTheme="minorHAnsi" w:hAnsiTheme="minorHAnsi" w:cstheme="minorBidi"/>
          <w:color w:val="000000"/>
          <w:shd w:val="clear" w:color="auto" w:fill="FFFFFF"/>
          <w:lang w:val="es-ES"/>
        </w:rPr>
        <w:t xml:space="preserve"> </w:t>
      </w:r>
    </w:p>
    <w:p w14:paraId="0696AC3E" w14:textId="1F89FED6" w:rsidR="00F13B27" w:rsidRPr="00BA01BC" w:rsidRDefault="00F13B27" w:rsidP="00BA01BC">
      <w:r w:rsidRPr="00BA01BC">
        <w:t xml:space="preserve">Gracias a las </w:t>
      </w:r>
      <w:hyperlink r:id="rId23" w:anchor="/es" w:history="1">
        <w:r w:rsidRPr="00EB1256">
          <w:rPr>
            <w:rStyle w:val="Hyperlink"/>
            <w:rFonts w:asciiTheme="minorHAnsi" w:eastAsiaTheme="minorHAnsi" w:hAnsiTheme="minorHAnsi" w:cstheme="minorHAnsi"/>
            <w:color w:val="0563C1"/>
            <w:kern w:val="2"/>
            <w:szCs w:val="24"/>
            <w:lang w:val="en-GB"/>
            <w14:ligatures w14:val="standardContextual"/>
          </w:rPr>
          <w:t>Iniciativas AI for Good</w:t>
        </w:r>
        <w:r w:rsidRPr="00EB1256">
          <w:rPr>
            <w:rStyle w:val="Hyperlink"/>
            <w:rFonts w:asciiTheme="minorHAnsi" w:eastAsiaTheme="minorHAnsi" w:hAnsiTheme="minorHAnsi" w:cstheme="minorHAnsi"/>
            <w:color w:val="0563C1"/>
            <w:kern w:val="2"/>
            <w:szCs w:val="24"/>
            <w:lang w:val="en-GB"/>
            <w14:ligatures w14:val="standardContextual"/>
          </w:rPr>
          <w:t xml:space="preserve"> </w:t>
        </w:r>
        <w:r w:rsidRPr="00EB1256">
          <w:rPr>
            <w:rStyle w:val="Hyperlink"/>
            <w:rFonts w:asciiTheme="minorHAnsi" w:eastAsiaTheme="minorHAnsi" w:hAnsiTheme="minorHAnsi" w:cstheme="minorHAnsi"/>
            <w:color w:val="0563C1"/>
            <w:kern w:val="2"/>
            <w:szCs w:val="24"/>
            <w:lang w:val="en-GB"/>
            <w14:ligatures w14:val="standardContextual"/>
          </w:rPr>
          <w:t>de la UIT</w:t>
        </w:r>
      </w:hyperlink>
      <w:r w:rsidRPr="00BA01BC">
        <w:t xml:space="preserve">, como </w:t>
      </w:r>
      <w:hyperlink r:id="rId24" w:anchor="/es" w:tgtFrame="_blank" w:history="1">
        <w:r w:rsidRPr="00EB1256">
          <w:rPr>
            <w:rStyle w:val="Hyperlink"/>
            <w:rFonts w:asciiTheme="minorHAnsi" w:eastAsiaTheme="minorHAnsi" w:hAnsiTheme="minorHAnsi" w:cstheme="minorHAnsi"/>
            <w:color w:val="0563C1"/>
            <w:kern w:val="2"/>
            <w:szCs w:val="24"/>
            <w:lang w:val="en-GB"/>
            <w14:ligatures w14:val="standardContextual"/>
          </w:rPr>
          <w:t>AI sta</w:t>
        </w:r>
        <w:r w:rsidRPr="00EB1256">
          <w:rPr>
            <w:rStyle w:val="Hyperlink"/>
            <w:rFonts w:asciiTheme="minorHAnsi" w:eastAsiaTheme="minorHAnsi" w:hAnsiTheme="minorHAnsi" w:cstheme="minorHAnsi"/>
            <w:color w:val="0563C1"/>
            <w:kern w:val="2"/>
            <w:szCs w:val="24"/>
            <w:lang w:val="en-GB"/>
            <w14:ligatures w14:val="standardContextual"/>
          </w:rPr>
          <w:t>r</w:t>
        </w:r>
        <w:r w:rsidRPr="00EB1256">
          <w:rPr>
            <w:rStyle w:val="Hyperlink"/>
            <w:rFonts w:asciiTheme="minorHAnsi" w:eastAsiaTheme="minorHAnsi" w:hAnsiTheme="minorHAnsi" w:cstheme="minorHAnsi"/>
            <w:color w:val="0563C1"/>
            <w:kern w:val="2"/>
            <w:szCs w:val="24"/>
            <w:lang w:val="en-GB"/>
            <w14:ligatures w14:val="standardContextual"/>
          </w:rPr>
          <w:t>t-up</w:t>
        </w:r>
      </w:hyperlink>
      <w:r w:rsidRPr="00BA01BC">
        <w:t xml:space="preserve"> y los </w:t>
      </w:r>
      <w:hyperlink r:id="rId25" w:anchor="/es" w:tgtFrame="_blank" w:history="1">
        <w:r w:rsidRPr="00EB1256">
          <w:rPr>
            <w:rStyle w:val="Hyperlink"/>
            <w:rFonts w:asciiTheme="minorHAnsi" w:eastAsiaTheme="minorHAnsi" w:hAnsiTheme="minorHAnsi" w:cstheme="minorHAnsi"/>
            <w:color w:val="0563C1"/>
            <w:kern w:val="2"/>
            <w:szCs w:val="24"/>
            <w:lang w:val="en-GB"/>
            <w14:ligatures w14:val="standardContextual"/>
          </w:rPr>
          <w:t xml:space="preserve">concursos </w:t>
        </w:r>
        <w:r w:rsidRPr="00EB1256">
          <w:rPr>
            <w:rStyle w:val="Hyperlink"/>
            <w:rFonts w:asciiTheme="minorHAnsi" w:eastAsiaTheme="minorHAnsi" w:hAnsiTheme="minorHAnsi" w:cstheme="minorHAnsi"/>
            <w:color w:val="0563C1"/>
            <w:kern w:val="2"/>
            <w:szCs w:val="24"/>
            <w:lang w:val="en-GB"/>
            <w14:ligatures w14:val="standardContextual"/>
          </w:rPr>
          <w:t>d</w:t>
        </w:r>
        <w:r w:rsidRPr="00EB1256">
          <w:rPr>
            <w:rStyle w:val="Hyperlink"/>
            <w:rFonts w:asciiTheme="minorHAnsi" w:eastAsiaTheme="minorHAnsi" w:hAnsiTheme="minorHAnsi" w:cstheme="minorHAnsi"/>
            <w:color w:val="0563C1"/>
            <w:kern w:val="2"/>
            <w:szCs w:val="24"/>
            <w:lang w:val="en-GB"/>
            <w14:ligatures w14:val="standardContextual"/>
          </w:rPr>
          <w:t>e robótica</w:t>
        </w:r>
      </w:hyperlink>
      <w:r w:rsidRPr="00EB1256">
        <w:rPr>
          <w:rStyle w:val="Hyperlink"/>
          <w:rFonts w:asciiTheme="minorHAnsi" w:eastAsiaTheme="minorHAnsi" w:hAnsiTheme="minorHAnsi" w:cstheme="minorHAnsi"/>
          <w:color w:val="0563C1"/>
          <w:kern w:val="2"/>
          <w:szCs w:val="24"/>
          <w:lang w:val="en-GB"/>
          <w14:ligatures w14:val="standardContextual"/>
        </w:rPr>
        <w:t xml:space="preserve"> </w:t>
      </w:r>
      <w:hyperlink r:id="rId26" w:tgtFrame="_blank" w:history="1">
        <w:r w:rsidRPr="00EB1256">
          <w:rPr>
            <w:rStyle w:val="Hyperlink"/>
            <w:rFonts w:asciiTheme="minorHAnsi" w:eastAsiaTheme="minorHAnsi" w:hAnsiTheme="minorHAnsi" w:cstheme="minorHAnsi"/>
            <w:color w:val="0563C1"/>
            <w:kern w:val="2"/>
            <w:szCs w:val="24"/>
            <w:lang w:val="en-GB"/>
            <w14:ligatures w14:val="standardContextual"/>
          </w:rPr>
          <w:t>y de aprendizaje automático</w:t>
        </w:r>
      </w:hyperlink>
      <w:r w:rsidRPr="00BA01BC">
        <w:t xml:space="preserve">, así como a la </w:t>
      </w:r>
      <w:hyperlink r:id="rId27" w:history="1">
        <w:r w:rsidRPr="00EB1256">
          <w:rPr>
            <w:rStyle w:val="Hyperlink"/>
            <w:rFonts w:asciiTheme="minorHAnsi" w:eastAsiaTheme="minorHAnsi" w:hAnsiTheme="minorHAnsi" w:cstheme="minorHAnsi"/>
            <w:color w:val="0563C1"/>
            <w:kern w:val="2"/>
            <w:szCs w:val="24"/>
            <w:lang w:val="en-GB"/>
            <w14:ligatures w14:val="standardContextual"/>
          </w:rPr>
          <w:t xml:space="preserve">Gaceta </w:t>
        </w:r>
        <w:r w:rsidRPr="00EB1256">
          <w:rPr>
            <w:rStyle w:val="Hyperlink"/>
            <w:rFonts w:asciiTheme="minorHAnsi" w:eastAsiaTheme="minorHAnsi" w:hAnsiTheme="minorHAnsi" w:cstheme="minorHAnsi"/>
            <w:color w:val="0563C1"/>
            <w:kern w:val="2"/>
            <w:szCs w:val="24"/>
            <w:lang w:val="en-GB"/>
            <w14:ligatures w14:val="standardContextual"/>
          </w:rPr>
          <w:t>d</w:t>
        </w:r>
        <w:r w:rsidRPr="00EB1256">
          <w:rPr>
            <w:rStyle w:val="Hyperlink"/>
            <w:rFonts w:asciiTheme="minorHAnsi" w:eastAsiaTheme="minorHAnsi" w:hAnsiTheme="minorHAnsi" w:cstheme="minorHAnsi"/>
            <w:color w:val="0563C1"/>
            <w:kern w:val="2"/>
            <w:szCs w:val="24"/>
            <w:lang w:val="en-GB"/>
            <w14:ligatures w14:val="standardContextual"/>
          </w:rPr>
          <w:t>e la UIT sobre Tecnologías Futuras y en Evolución</w:t>
        </w:r>
      </w:hyperlink>
      <w:r w:rsidRPr="00BA01BC">
        <w:t>, estamos creando un repositorio de conocimientos y aplicaciones de IA con influencia sobre los ODS. A partir de aquí podremos contribuir a la masa de conocimiento en pro del desarrollo sostenible acorde con los ODS.</w:t>
      </w:r>
    </w:p>
    <w:p w14:paraId="5D5A8A8F" w14:textId="57E99842" w:rsidR="00F13B27" w:rsidRPr="00E81056" w:rsidRDefault="00F13B27" w:rsidP="00E81056">
      <w:r w:rsidRPr="00E81056">
        <w:lastRenderedPageBreak/>
        <w:t xml:space="preserve">La próxima </w:t>
      </w:r>
      <w:hyperlink r:id="rId28" w:anchor="/es" w:history="1">
        <w:r w:rsidRPr="00EB1256">
          <w:rPr>
            <w:rStyle w:val="Hyperlink"/>
            <w:rFonts w:asciiTheme="minorHAnsi" w:eastAsiaTheme="minorHAnsi" w:hAnsiTheme="minorHAnsi" w:cstheme="minorHAnsi"/>
            <w:color w:val="0563C1"/>
            <w:kern w:val="2"/>
            <w:szCs w:val="24"/>
            <w:lang w:val="en-GB"/>
            <w14:ligatures w14:val="standardContextual"/>
          </w:rPr>
          <w:t>Iniciativa AI for G</w:t>
        </w:r>
        <w:r w:rsidRPr="00EB1256">
          <w:rPr>
            <w:rStyle w:val="Hyperlink"/>
            <w:rFonts w:asciiTheme="minorHAnsi" w:eastAsiaTheme="minorHAnsi" w:hAnsiTheme="minorHAnsi" w:cstheme="minorHAnsi"/>
            <w:color w:val="0563C1"/>
            <w:kern w:val="2"/>
            <w:szCs w:val="24"/>
            <w:lang w:val="en-GB"/>
            <w14:ligatures w14:val="standardContextual"/>
          </w:rPr>
          <w:t>o</w:t>
        </w:r>
        <w:r w:rsidRPr="00EB1256">
          <w:rPr>
            <w:rStyle w:val="Hyperlink"/>
            <w:rFonts w:asciiTheme="minorHAnsi" w:eastAsiaTheme="minorHAnsi" w:hAnsiTheme="minorHAnsi" w:cstheme="minorHAnsi"/>
            <w:color w:val="0563C1"/>
            <w:kern w:val="2"/>
            <w:szCs w:val="24"/>
            <w:lang w:val="en-GB"/>
            <w14:ligatures w14:val="standardContextual"/>
          </w:rPr>
          <w:t>od Impact</w:t>
        </w:r>
      </w:hyperlink>
      <w:r w:rsidRPr="00E81056">
        <w:t xml:space="preserve"> desempeñará un papel esencial en la movilización de los recursos necesarios para llevar las aplicaciones de IA a todo el mundo, garantizando un progreso equitativo de todos los ODS en todas las regiones. </w:t>
      </w:r>
    </w:p>
    <w:p w14:paraId="75826716" w14:textId="5FFA8E8E" w:rsidR="00F13B27" w:rsidRPr="00191E8A" w:rsidRDefault="00F13B27" w:rsidP="00E81056">
      <w:pPr>
        <w:rPr>
          <w:rFonts w:asciiTheme="minorHAnsi" w:hAnsiTheme="minorHAnsi" w:cstheme="minorHAnsi"/>
          <w:color w:val="000000"/>
          <w:shd w:val="clear" w:color="auto" w:fill="FFFFFF"/>
          <w:lang w:val="es-ES"/>
        </w:rPr>
      </w:pPr>
      <w:r w:rsidRPr="00E81056">
        <w:t xml:space="preserve">En asociación con la </w:t>
      </w:r>
      <w:hyperlink r:id="rId29" w:history="1">
        <w:r w:rsidRPr="00EB1256">
          <w:rPr>
            <w:rStyle w:val="Hyperlink"/>
            <w:rFonts w:asciiTheme="minorHAnsi" w:eastAsiaTheme="minorHAnsi" w:hAnsiTheme="minorHAnsi" w:cstheme="minorHAnsi"/>
            <w:color w:val="0563C1"/>
            <w:kern w:val="2"/>
            <w:szCs w:val="24"/>
            <w:lang w:val="en-GB"/>
            <w14:ligatures w14:val="standardContextual"/>
          </w:rPr>
          <w:t>Coalición Digital Pa</w:t>
        </w:r>
        <w:r w:rsidRPr="00EB1256">
          <w:rPr>
            <w:rStyle w:val="Hyperlink"/>
            <w:rFonts w:asciiTheme="minorHAnsi" w:eastAsiaTheme="minorHAnsi" w:hAnsiTheme="minorHAnsi" w:cstheme="minorHAnsi"/>
            <w:color w:val="0563C1"/>
            <w:kern w:val="2"/>
            <w:szCs w:val="24"/>
            <w:lang w:val="en-GB"/>
            <w14:ligatures w14:val="standardContextual"/>
          </w:rPr>
          <w:t>r</w:t>
        </w:r>
        <w:r w:rsidRPr="00EB1256">
          <w:rPr>
            <w:rStyle w:val="Hyperlink"/>
            <w:rFonts w:asciiTheme="minorHAnsi" w:eastAsiaTheme="minorHAnsi" w:hAnsiTheme="minorHAnsi" w:cstheme="minorHAnsi"/>
            <w:color w:val="0563C1"/>
            <w:kern w:val="2"/>
            <w:szCs w:val="24"/>
            <w:lang w:val="en-GB"/>
            <w14:ligatures w14:val="standardContextual"/>
          </w:rPr>
          <w:t>tner2Connect</w:t>
        </w:r>
      </w:hyperlink>
      <w:r w:rsidRPr="00E81056">
        <w:t>, la UIT fomenta la presentación de contribuciones de distintos sectores sobre proyectos y compromisos financieros, centrándose en el acceso por IA a la tecnología y la conectividad y en la aceleración de la adopción gracias a la adquisición de competencias y la inclusión digital.</w:t>
      </w:r>
    </w:p>
    <w:p w14:paraId="26B9C0B6" w14:textId="77777777" w:rsidR="00F13B27" w:rsidRPr="00191E8A" w:rsidRDefault="00F13B27" w:rsidP="00E81056">
      <w:pPr>
        <w:pStyle w:val="Headingb"/>
        <w:rPr>
          <w:rFonts w:asciiTheme="minorHAnsi" w:hAnsiTheme="minorHAnsi" w:cstheme="minorBidi"/>
          <w:b w:val="0"/>
          <w:bCs/>
          <w:lang w:val="es-ES"/>
        </w:rPr>
      </w:pPr>
      <w:r w:rsidRPr="00E81056">
        <w:rPr>
          <w:lang w:val="es-ES"/>
        </w:rPr>
        <w:t>Demanda de más actividades</w:t>
      </w:r>
    </w:p>
    <w:p w14:paraId="3F22DA90" w14:textId="77777777" w:rsidR="00F13B27" w:rsidRPr="00277D03" w:rsidRDefault="00F13B27" w:rsidP="00277D03">
      <w:r w:rsidRPr="00277D03">
        <w:t xml:space="preserve">La UIT es testigo de un aumento de la demanda de asistencia para la definición de políticas y la capacitación, así como de su iniciativa AI for Good, lo que da fe del reconocimiento mundial de su influencia. </w:t>
      </w:r>
    </w:p>
    <w:p w14:paraId="372794FD" w14:textId="77777777" w:rsidR="00F13B27" w:rsidRPr="00277D03" w:rsidRDefault="00F13B27" w:rsidP="00277D03">
      <w:r w:rsidRPr="00277D03">
        <w:t xml:space="preserve">A petición del Gobierno de India, AI for Good celebrará su primer evento regional – AI for Good Impact India – con ocasión de la Asamblea Mundial de Normalización de las Telecomunicaciones (AMNT-24), que se celebrará en Nueva Delhi. </w:t>
      </w:r>
    </w:p>
    <w:p w14:paraId="048B7D1D" w14:textId="77777777" w:rsidR="00F13B27" w:rsidRPr="00277D03" w:rsidRDefault="00F13B27" w:rsidP="00277D03">
      <w:r w:rsidRPr="00277D03">
        <w:t>Se ha recibido de los Miembros un número importante de demandas para acoger eventos regionales similares.</w:t>
      </w:r>
    </w:p>
    <w:p w14:paraId="764B74C8" w14:textId="77777777" w:rsidR="00F13B27" w:rsidRPr="00967119" w:rsidRDefault="00F13B27" w:rsidP="00277D03">
      <w:pPr>
        <w:rPr>
          <w:rFonts w:asciiTheme="minorHAnsi" w:hAnsiTheme="minorHAnsi" w:cstheme="minorBidi"/>
          <w:lang w:val="es-ES"/>
        </w:rPr>
      </w:pPr>
      <w:r w:rsidRPr="00277D03">
        <w:t>La iniciativa AI for Good de la UIT sigue recibiendo su financiación principalmente de patrocinadores de la industria. La creciente demanda de ayuda en materia de IA indicada (capacitación, formaciones y elaboración de material docente) exige recursos adicionales, motivo por el cual la Secretaría invita a los Estados Miembros a expresar su apoyo a este trabajo con contribuciones voluntarias.</w:t>
      </w:r>
    </w:p>
    <w:p w14:paraId="47CC2626" w14:textId="77777777" w:rsidR="00F13B27" w:rsidRPr="0043267D" w:rsidRDefault="00F13B27" w:rsidP="00F13B27">
      <w:pPr>
        <w:spacing w:before="840"/>
        <w:jc w:val="center"/>
        <w:rPr>
          <w:rFonts w:asciiTheme="minorHAnsi" w:hAnsiTheme="minorHAnsi" w:cstheme="minorHAnsi"/>
        </w:rPr>
      </w:pPr>
      <w:r>
        <w:rPr>
          <w:rFonts w:asciiTheme="minorHAnsi" w:hAnsiTheme="minorHAnsi" w:cstheme="minorHAnsi"/>
        </w:rPr>
        <w:t>________________</w:t>
      </w:r>
    </w:p>
    <w:sectPr w:rsidR="00F13B27" w:rsidRPr="0043267D"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173207C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836E0">
            <w:rPr>
              <w:bCs/>
            </w:rPr>
            <w:t>67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36721DF"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836E0">
            <w:rPr>
              <w:bCs/>
            </w:rPr>
            <w:t>67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4DC"/>
    <w:multiLevelType w:val="multilevel"/>
    <w:tmpl w:val="3B86F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025E02"/>
    <w:multiLevelType w:val="hybridMultilevel"/>
    <w:tmpl w:val="7A2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75911">
    <w:abstractNumId w:val="1"/>
  </w:num>
  <w:num w:numId="2" w16cid:durableId="141389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0311"/>
    <w:rsid w:val="001F14A2"/>
    <w:rsid w:val="00277D03"/>
    <w:rsid w:val="002801AA"/>
    <w:rsid w:val="002C4676"/>
    <w:rsid w:val="002C70B0"/>
    <w:rsid w:val="002D47AD"/>
    <w:rsid w:val="002F3CC4"/>
    <w:rsid w:val="003273A4"/>
    <w:rsid w:val="00473962"/>
    <w:rsid w:val="004B5D49"/>
    <w:rsid w:val="00513630"/>
    <w:rsid w:val="00560125"/>
    <w:rsid w:val="005646ED"/>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6D5FC9"/>
    <w:rsid w:val="00726872"/>
    <w:rsid w:val="00760F1C"/>
    <w:rsid w:val="007657F0"/>
    <w:rsid w:val="0077252D"/>
    <w:rsid w:val="007955DA"/>
    <w:rsid w:val="007E5DD3"/>
    <w:rsid w:val="007F350B"/>
    <w:rsid w:val="00820BE4"/>
    <w:rsid w:val="008451E8"/>
    <w:rsid w:val="008652AF"/>
    <w:rsid w:val="008836E0"/>
    <w:rsid w:val="00913B9C"/>
    <w:rsid w:val="00927F93"/>
    <w:rsid w:val="00956E77"/>
    <w:rsid w:val="009F4811"/>
    <w:rsid w:val="00AA390C"/>
    <w:rsid w:val="00B0200A"/>
    <w:rsid w:val="00B27DC4"/>
    <w:rsid w:val="00B574DB"/>
    <w:rsid w:val="00B826C2"/>
    <w:rsid w:val="00B8298E"/>
    <w:rsid w:val="00BA01BC"/>
    <w:rsid w:val="00BD0723"/>
    <w:rsid w:val="00BD2518"/>
    <w:rsid w:val="00BF1D1C"/>
    <w:rsid w:val="00C20C59"/>
    <w:rsid w:val="00C223BD"/>
    <w:rsid w:val="00C2727F"/>
    <w:rsid w:val="00C538FC"/>
    <w:rsid w:val="00C55B1F"/>
    <w:rsid w:val="00CA00C3"/>
    <w:rsid w:val="00CB421D"/>
    <w:rsid w:val="00CF1A67"/>
    <w:rsid w:val="00D2750E"/>
    <w:rsid w:val="00D43B85"/>
    <w:rsid w:val="00D50A36"/>
    <w:rsid w:val="00D62446"/>
    <w:rsid w:val="00DA4EA2"/>
    <w:rsid w:val="00DC3D3E"/>
    <w:rsid w:val="00DE20B2"/>
    <w:rsid w:val="00DE2C90"/>
    <w:rsid w:val="00DE3B24"/>
    <w:rsid w:val="00E06947"/>
    <w:rsid w:val="00E34072"/>
    <w:rsid w:val="00E3592D"/>
    <w:rsid w:val="00E50D76"/>
    <w:rsid w:val="00E81056"/>
    <w:rsid w:val="00E92DE8"/>
    <w:rsid w:val="00E9579B"/>
    <w:rsid w:val="00EB1212"/>
    <w:rsid w:val="00EB1256"/>
    <w:rsid w:val="00ED65AB"/>
    <w:rsid w:val="00F12850"/>
    <w:rsid w:val="00F13B27"/>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13B27"/>
  </w:style>
  <w:style w:type="paragraph" w:styleId="ListParagraph">
    <w:name w:val="List Paragraph"/>
    <w:basedOn w:val="Normal"/>
    <w:uiPriority w:val="34"/>
    <w:qFormat/>
    <w:rsid w:val="00F13B2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T-FG-AI4AD-2021-02/es" TargetMode="External"/><Relationship Id="rId18" Type="http://schemas.openxmlformats.org/officeDocument/2006/relationships/hyperlink" Target="https://aiforgood.itu.int/neural-network/" TargetMode="External"/><Relationship Id="rId26" Type="http://schemas.openxmlformats.org/officeDocument/2006/relationships/hyperlink" Target="https://aiforgood.itu.int/about-ai-for-good/aiml-in-5g-challenge/" TargetMode="External"/><Relationship Id="rId3" Type="http://schemas.openxmlformats.org/officeDocument/2006/relationships/settings" Target="settings.xml"/><Relationship Id="rId21" Type="http://schemas.openxmlformats.org/officeDocument/2006/relationships/hyperlink" Target="https://aiforgood.itu.int/ai-landscape-survey/" TargetMode="External"/><Relationship Id="rId34" Type="http://schemas.openxmlformats.org/officeDocument/2006/relationships/theme" Target="theme/theme1.xml"/><Relationship Id="rId7" Type="http://schemas.openxmlformats.org/officeDocument/2006/relationships/hyperlink" Target="https://www.itu.int/md/S24-CL-INF-0015/es" TargetMode="External"/><Relationship Id="rId12" Type="http://schemas.openxmlformats.org/officeDocument/2006/relationships/hyperlink" Target="https://www.itu.int/en/ITU-T/focusgroups/ai4ndm/Pages/default.aspx" TargetMode="External"/><Relationship Id="rId17" Type="http://schemas.openxmlformats.org/officeDocument/2006/relationships/hyperlink" Target="https://www.itu.int/es/ITU-D/Initiatives/GIGA/Pages/default.aspx" TargetMode="External"/><Relationship Id="rId25" Type="http://schemas.openxmlformats.org/officeDocument/2006/relationships/hyperlink" Target="https://aiforgood.itu.int/robotics-for-good-youth-challeng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forgood.itu.int/innovate-for-impact/" TargetMode="External"/><Relationship Id="rId20" Type="http://schemas.openxmlformats.org/officeDocument/2006/relationships/hyperlink" Target="https://aiforgood.itu.int/summit24/programme/" TargetMode="External"/><Relationship Id="rId29" Type="http://schemas.openxmlformats.org/officeDocument/2006/relationships/hyperlink" Target="https://www.itu.int/itu-d/sites/partner2connec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ai4a/Pages/default.aspx" TargetMode="External"/><Relationship Id="rId24" Type="http://schemas.openxmlformats.org/officeDocument/2006/relationships/hyperlink" Target="https://aiforgood.itu.int/about-ai-for-good/innovation-factor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iforgood.itu.int/event/detecting-deepfakes-and-generative-ai-standards-for-ai-watermarking-and-multimedia-authenticity/" TargetMode="External"/><Relationship Id="rId23" Type="http://schemas.openxmlformats.org/officeDocument/2006/relationships/hyperlink" Target="https://aiforgood.itu.int/programme-ai-for-good/" TargetMode="External"/><Relationship Id="rId28" Type="http://schemas.openxmlformats.org/officeDocument/2006/relationships/hyperlink" Target="https://aiforgood.itu.int/impact-initiative/" TargetMode="External"/><Relationship Id="rId10" Type="http://schemas.openxmlformats.org/officeDocument/2006/relationships/hyperlink" Target="https://www.itu.int/en/ITU-T/focusgroups/ai4h/Pages/default.aspx" TargetMode="External"/><Relationship Id="rId19" Type="http://schemas.openxmlformats.org/officeDocument/2006/relationships/hyperlink" Target="https://www.itu.int/en/ITU-D/Emergency-Telecommunications/Pages/Early-Warnings-for-All-Initiative.asp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iforgood.itu.int/" TargetMode="External"/><Relationship Id="rId14" Type="http://schemas.openxmlformats.org/officeDocument/2006/relationships/hyperlink" Target="https://www.itu.int/rec/T-REC-Y.Sup72-202211-I/es" TargetMode="External"/><Relationship Id="rId22" Type="http://schemas.openxmlformats.org/officeDocument/2006/relationships/hyperlink" Target="https://unsceb.org/united-nations-system-white-paper-ai-governance" TargetMode="External"/><Relationship Id="rId27" Type="http://schemas.openxmlformats.org/officeDocument/2006/relationships/hyperlink" Target="https://www.itu.int/en/journal/j-fet/Pages/default.aspx" TargetMode="External"/><Relationship Id="rId30" Type="http://schemas.openxmlformats.org/officeDocument/2006/relationships/footer" Target="footer1.xml"/><Relationship Id="rId8" Type="http://schemas.openxmlformats.org/officeDocument/2006/relationships/hyperlink" Target="https://documents.un.org/doc/undoc/ltd/n24/065/95/pdf/n2406595.pdf?token=eei3MKdmDfOaioDTT2&amp;fe=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2628</Words>
  <Characters>15348</Characters>
  <Application>Microsoft Office Word</Application>
  <DocSecurity>0</DocSecurity>
  <Lines>127</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17941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10</cp:revision>
  <cp:lastPrinted>2006-03-24T09:51:00Z</cp:lastPrinted>
  <dcterms:created xsi:type="dcterms:W3CDTF">2024-05-23T08:41:00Z</dcterms:created>
  <dcterms:modified xsi:type="dcterms:W3CDTF">2024-05-23T11:15:00Z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