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E24D59" w:rsidRPr="00E24D59" w14:paraId="66F1FBCC" w14:textId="77777777" w:rsidTr="00E31DCE">
        <w:trPr>
          <w:cantSplit/>
          <w:trHeight w:val="23"/>
        </w:trPr>
        <w:tc>
          <w:tcPr>
            <w:tcW w:w="3969" w:type="dxa"/>
            <w:vMerge w:val="restart"/>
            <w:tcMar>
              <w:left w:w="0" w:type="dxa"/>
            </w:tcMar>
          </w:tcPr>
          <w:p w14:paraId="4A136AB1" w14:textId="023C0BB7" w:rsidR="00E24D59" w:rsidRPr="00E24D59" w:rsidRDefault="00E24D59" w:rsidP="00E31DCE">
            <w:pPr>
              <w:tabs>
                <w:tab w:val="left" w:pos="851"/>
              </w:tabs>
              <w:spacing w:before="0" w:line="240" w:lineRule="atLeast"/>
              <w:rPr>
                <w:b/>
                <w:bCs/>
              </w:rPr>
            </w:pPr>
            <w:bookmarkStart w:id="0" w:name="dmeeting" w:colFirst="0" w:colLast="0"/>
            <w:bookmarkStart w:id="1" w:name="dnum" w:colFirst="1" w:colLast="1"/>
            <w:bookmarkStart w:id="2" w:name="_Hlk133421839"/>
            <w:proofErr w:type="spellStart"/>
            <w:r w:rsidRPr="00E24D59">
              <w:rPr>
                <w:rFonts w:cstheme="minorHAnsi" w:hint="eastAsia"/>
                <w:b/>
                <w:bCs/>
                <w:lang w:val="ru-RU"/>
              </w:rPr>
              <w:t>议项</w:t>
            </w:r>
            <w:proofErr w:type="spellEnd"/>
            <w:r w:rsidRPr="00E24D59">
              <w:rPr>
                <w:rFonts w:cstheme="minorHAnsi" w:hint="eastAsia"/>
                <w:b/>
                <w:bCs/>
                <w:lang w:val="ru-RU"/>
              </w:rPr>
              <w:t>：</w:t>
            </w:r>
            <w:r w:rsidR="00FE31D1" w:rsidRPr="00FE31D1">
              <w:rPr>
                <w:b/>
                <w:bCs/>
                <w:lang w:val="zh-CN"/>
              </w:rPr>
              <w:t>PL 2</w:t>
            </w:r>
          </w:p>
        </w:tc>
        <w:tc>
          <w:tcPr>
            <w:tcW w:w="5245" w:type="dxa"/>
          </w:tcPr>
          <w:p w14:paraId="65F0EE47" w14:textId="5A37160E" w:rsidR="00E24D59" w:rsidRPr="00E24D59" w:rsidRDefault="00E24D59" w:rsidP="00E31DCE">
            <w:pPr>
              <w:tabs>
                <w:tab w:val="left" w:pos="851"/>
              </w:tabs>
              <w:spacing w:before="0" w:line="240" w:lineRule="atLeast"/>
              <w:jc w:val="right"/>
              <w:rPr>
                <w:b/>
                <w:lang w:val="fr-CH"/>
              </w:rPr>
            </w:pPr>
            <w:proofErr w:type="spellStart"/>
            <w:r w:rsidRPr="00E24D59">
              <w:rPr>
                <w:rFonts w:cstheme="minorHAnsi"/>
                <w:b/>
                <w:bCs/>
                <w:lang w:val="ru-RU"/>
              </w:rPr>
              <w:t>文件</w:t>
            </w:r>
            <w:proofErr w:type="spellEnd"/>
            <w:r>
              <w:rPr>
                <w:rFonts w:cstheme="minorHAnsi" w:hint="eastAsia"/>
                <w:b/>
                <w:bCs/>
                <w:lang w:val="ru-RU"/>
              </w:rPr>
              <w:t xml:space="preserve"> </w:t>
            </w:r>
            <w:r w:rsidRPr="00E24D59">
              <w:rPr>
                <w:b/>
                <w:lang w:val="fr-CH"/>
              </w:rPr>
              <w:t>C2</w:t>
            </w:r>
            <w:r w:rsidR="00B93453">
              <w:rPr>
                <w:b/>
                <w:lang w:val="fr-CH"/>
              </w:rPr>
              <w:t>4</w:t>
            </w:r>
            <w:r w:rsidRPr="00E24D59">
              <w:rPr>
                <w:b/>
                <w:lang w:val="fr-CH"/>
              </w:rPr>
              <w:t>/</w:t>
            </w:r>
            <w:r w:rsidR="00FE31D1">
              <w:rPr>
                <w:b/>
                <w:lang w:val="fr-CH"/>
              </w:rPr>
              <w:t>66</w:t>
            </w:r>
            <w:r w:rsidRPr="00E24D59">
              <w:rPr>
                <w:b/>
                <w:lang w:val="fr-CH"/>
              </w:rPr>
              <w:t>-C</w:t>
            </w:r>
          </w:p>
        </w:tc>
      </w:tr>
      <w:tr w:rsidR="00E24D59" w:rsidRPr="00813E5E" w14:paraId="2D41B404" w14:textId="77777777" w:rsidTr="00E31DCE">
        <w:trPr>
          <w:cantSplit/>
        </w:trPr>
        <w:tc>
          <w:tcPr>
            <w:tcW w:w="3969" w:type="dxa"/>
            <w:vMerge/>
          </w:tcPr>
          <w:p w14:paraId="6C55B16D" w14:textId="77777777" w:rsidR="00E24D59" w:rsidRPr="00E24D59" w:rsidRDefault="00E24D59" w:rsidP="00E31DCE">
            <w:pPr>
              <w:tabs>
                <w:tab w:val="left" w:pos="851"/>
              </w:tabs>
              <w:spacing w:line="240" w:lineRule="atLeast"/>
              <w:rPr>
                <w:b/>
                <w:lang w:val="fr-CH"/>
              </w:rPr>
            </w:pPr>
            <w:bookmarkStart w:id="3" w:name="ddate" w:colFirst="1" w:colLast="1"/>
            <w:bookmarkEnd w:id="0"/>
            <w:bookmarkEnd w:id="1"/>
          </w:p>
        </w:tc>
        <w:tc>
          <w:tcPr>
            <w:tcW w:w="5245" w:type="dxa"/>
          </w:tcPr>
          <w:p w14:paraId="2E848727" w14:textId="2A974CA7" w:rsidR="00E24D59" w:rsidRPr="00E85629" w:rsidRDefault="00E24D59" w:rsidP="00E31DCE">
            <w:pPr>
              <w:tabs>
                <w:tab w:val="left" w:pos="851"/>
              </w:tabs>
              <w:spacing w:before="0"/>
              <w:jc w:val="right"/>
              <w:rPr>
                <w:b/>
              </w:rPr>
            </w:pPr>
            <w:r>
              <w:rPr>
                <w:b/>
              </w:rPr>
              <w:t>202</w:t>
            </w:r>
            <w:r w:rsidR="00B93453">
              <w:rPr>
                <w:b/>
              </w:rPr>
              <w:t>4</w:t>
            </w:r>
            <w:r w:rsidR="00C45EB2">
              <w:rPr>
                <w:rFonts w:hint="eastAsia"/>
                <w:b/>
                <w:lang w:eastAsia="zh-CN"/>
              </w:rPr>
              <w:t>年</w:t>
            </w:r>
            <w:r w:rsidR="00FE31D1">
              <w:rPr>
                <w:b/>
                <w:lang w:eastAsia="zh-CN"/>
              </w:rPr>
              <w:t>5</w:t>
            </w:r>
            <w:r w:rsidR="00C45EB2">
              <w:rPr>
                <w:rFonts w:hint="eastAsia"/>
                <w:b/>
                <w:lang w:eastAsia="zh-CN"/>
              </w:rPr>
              <w:t>月</w:t>
            </w:r>
            <w:r w:rsidR="00FE31D1">
              <w:rPr>
                <w:b/>
                <w:lang w:eastAsia="zh-CN"/>
              </w:rPr>
              <w:t>3</w:t>
            </w:r>
            <w:r w:rsidR="00C45EB2">
              <w:rPr>
                <w:rFonts w:hint="eastAsia"/>
                <w:b/>
                <w:lang w:eastAsia="zh-CN"/>
              </w:rPr>
              <w:t>日</w:t>
            </w:r>
          </w:p>
        </w:tc>
      </w:tr>
      <w:tr w:rsidR="00E24D59" w:rsidRPr="00813E5E" w14:paraId="68FFE44E" w14:textId="77777777" w:rsidTr="00E31DCE">
        <w:trPr>
          <w:cantSplit/>
          <w:trHeight w:val="23"/>
        </w:trPr>
        <w:tc>
          <w:tcPr>
            <w:tcW w:w="3969" w:type="dxa"/>
            <w:vMerge/>
          </w:tcPr>
          <w:p w14:paraId="4CA3D6EB" w14:textId="77777777" w:rsidR="00E24D59" w:rsidRPr="00813E5E" w:rsidRDefault="00E24D59" w:rsidP="00E31DCE">
            <w:pPr>
              <w:tabs>
                <w:tab w:val="left" w:pos="851"/>
              </w:tabs>
              <w:spacing w:line="240" w:lineRule="atLeast"/>
              <w:rPr>
                <w:b/>
              </w:rPr>
            </w:pPr>
            <w:bookmarkStart w:id="4" w:name="dorlang" w:colFirst="1" w:colLast="1"/>
            <w:bookmarkEnd w:id="3"/>
          </w:p>
        </w:tc>
        <w:tc>
          <w:tcPr>
            <w:tcW w:w="5245" w:type="dxa"/>
          </w:tcPr>
          <w:p w14:paraId="4478CA91" w14:textId="32D59E92" w:rsidR="00E24D59" w:rsidRPr="00E85629" w:rsidRDefault="00E24D59" w:rsidP="00E31DCE">
            <w:pPr>
              <w:tabs>
                <w:tab w:val="left" w:pos="851"/>
              </w:tabs>
              <w:spacing w:before="0" w:line="240" w:lineRule="atLeast"/>
              <w:jc w:val="right"/>
              <w:rPr>
                <w:b/>
                <w:lang w:eastAsia="zh-CN"/>
              </w:rPr>
            </w:pPr>
            <w:proofErr w:type="spellStart"/>
            <w:r w:rsidRPr="00E24D59">
              <w:rPr>
                <w:rFonts w:cstheme="minorHAnsi"/>
                <w:b/>
                <w:bCs/>
                <w:lang w:val="ru-RU"/>
              </w:rPr>
              <w:t>原文</w:t>
            </w:r>
            <w:proofErr w:type="spellEnd"/>
            <w:r w:rsidRPr="00E24D59">
              <w:rPr>
                <w:rFonts w:cstheme="minorHAnsi"/>
                <w:b/>
                <w:bCs/>
                <w:lang w:val="ru-RU"/>
              </w:rPr>
              <w:t>：</w:t>
            </w:r>
            <w:r w:rsidR="00FE31D1">
              <w:rPr>
                <w:rFonts w:cstheme="minorHAnsi" w:hint="eastAsia"/>
                <w:b/>
                <w:bCs/>
                <w:lang w:val="ru-RU" w:eastAsia="zh-CN"/>
              </w:rPr>
              <w:t>英文</w:t>
            </w:r>
          </w:p>
        </w:tc>
      </w:tr>
      <w:tr w:rsidR="00E24D59" w:rsidRPr="00813E5E" w14:paraId="19200AE9" w14:textId="77777777" w:rsidTr="00E31DCE">
        <w:trPr>
          <w:cantSplit/>
          <w:trHeight w:val="23"/>
        </w:trPr>
        <w:tc>
          <w:tcPr>
            <w:tcW w:w="3969" w:type="dxa"/>
          </w:tcPr>
          <w:p w14:paraId="3BE6770D" w14:textId="77777777" w:rsidR="00E24D59" w:rsidRPr="00813E5E" w:rsidRDefault="00E24D59" w:rsidP="00E31DCE">
            <w:pPr>
              <w:tabs>
                <w:tab w:val="left" w:pos="851"/>
              </w:tabs>
              <w:spacing w:line="240" w:lineRule="atLeast"/>
              <w:rPr>
                <w:b/>
              </w:rPr>
            </w:pPr>
          </w:p>
        </w:tc>
        <w:tc>
          <w:tcPr>
            <w:tcW w:w="5245" w:type="dxa"/>
          </w:tcPr>
          <w:p w14:paraId="13720B16" w14:textId="77777777" w:rsidR="00E24D59" w:rsidRDefault="00E24D59" w:rsidP="00E31DCE">
            <w:pPr>
              <w:tabs>
                <w:tab w:val="left" w:pos="851"/>
              </w:tabs>
              <w:spacing w:before="0" w:line="240" w:lineRule="atLeast"/>
              <w:jc w:val="right"/>
              <w:rPr>
                <w:b/>
              </w:rPr>
            </w:pPr>
          </w:p>
        </w:tc>
      </w:tr>
      <w:tr w:rsidR="00E24D59" w:rsidRPr="00813E5E" w14:paraId="64029AF1" w14:textId="77777777" w:rsidTr="00E31DCE">
        <w:trPr>
          <w:cantSplit/>
        </w:trPr>
        <w:tc>
          <w:tcPr>
            <w:tcW w:w="9214" w:type="dxa"/>
            <w:gridSpan w:val="2"/>
            <w:tcMar>
              <w:left w:w="0" w:type="dxa"/>
            </w:tcMar>
          </w:tcPr>
          <w:p w14:paraId="7D4F3DCB" w14:textId="77777777" w:rsidR="00E24D59" w:rsidRPr="00E24D59" w:rsidRDefault="008F64AD" w:rsidP="00E24D59">
            <w:pPr>
              <w:pStyle w:val="Source"/>
              <w:jc w:val="left"/>
              <w:rPr>
                <w:sz w:val="34"/>
                <w:szCs w:val="34"/>
                <w:lang w:eastAsia="zh-CN"/>
              </w:rPr>
            </w:pPr>
            <w:bookmarkStart w:id="5" w:name="dsource" w:colFirst="0" w:colLast="0"/>
            <w:bookmarkEnd w:id="4"/>
            <w:r w:rsidRPr="008F64AD">
              <w:rPr>
                <w:rFonts w:cstheme="minorHAnsi" w:hint="eastAsia"/>
                <w:sz w:val="34"/>
                <w:szCs w:val="34"/>
                <w:lang w:val="ru-RU" w:eastAsia="zh-CN"/>
              </w:rPr>
              <w:t>秘书长的报告</w:t>
            </w:r>
          </w:p>
        </w:tc>
      </w:tr>
      <w:tr w:rsidR="00E24D59" w:rsidRPr="00813E5E" w14:paraId="1A23DDCB" w14:textId="77777777" w:rsidTr="00E31DCE">
        <w:trPr>
          <w:cantSplit/>
        </w:trPr>
        <w:tc>
          <w:tcPr>
            <w:tcW w:w="9214" w:type="dxa"/>
            <w:gridSpan w:val="2"/>
            <w:tcMar>
              <w:left w:w="0" w:type="dxa"/>
            </w:tcMar>
          </w:tcPr>
          <w:p w14:paraId="52FEF5AD" w14:textId="0F7BDFCD" w:rsidR="00E24D59" w:rsidRPr="00E24D59" w:rsidRDefault="00FE31D1" w:rsidP="00E31DCE">
            <w:pPr>
              <w:pStyle w:val="Subtitle"/>
              <w:framePr w:hSpace="0" w:wrap="auto" w:hAnchor="text" w:xAlign="left" w:yAlign="inline"/>
              <w:rPr>
                <w:rFonts w:ascii="SimSun" w:eastAsia="SimSun" w:hAnsi="SimSun"/>
                <w:lang w:eastAsia="zh-CN"/>
              </w:rPr>
            </w:pPr>
            <w:bookmarkStart w:id="6" w:name="dtitle1" w:colFirst="0" w:colLast="0"/>
            <w:bookmarkEnd w:id="5"/>
            <w:r w:rsidRPr="00FE31D1">
              <w:rPr>
                <w:rFonts w:ascii="SimSun" w:eastAsia="SimSun" w:hAnsi="SimSun" w:cstheme="minorHAnsi" w:hint="eastAsia"/>
                <w:lang w:eastAsia="zh-CN"/>
              </w:rPr>
              <w:t>加强区域代表性</w:t>
            </w:r>
            <w:r w:rsidR="00907663" w:rsidRPr="00FD05A2">
              <w:rPr>
                <w:rFonts w:asciiTheme="minorHAnsi" w:eastAsia="SimSun" w:hAnsiTheme="minorHAnsi" w:cstheme="minorHAnsi"/>
                <w:lang w:eastAsia="zh-CN"/>
              </w:rPr>
              <w:t xml:space="preserve"> – </w:t>
            </w:r>
            <w:r>
              <w:rPr>
                <w:rFonts w:ascii="SimSun" w:eastAsia="SimSun" w:hAnsi="SimSun" w:cstheme="minorHAnsi"/>
                <w:lang w:eastAsia="zh-CN"/>
              </w:rPr>
              <w:br/>
            </w:r>
            <w:r w:rsidRPr="00FE31D1">
              <w:rPr>
                <w:rFonts w:ascii="SimSun" w:eastAsia="SimSun" w:hAnsi="SimSun" w:cstheme="minorHAnsi" w:hint="eastAsia"/>
                <w:lang w:eastAsia="zh-CN"/>
              </w:rPr>
              <w:t>设立未来区域代表处和地区办事处的标准</w:t>
            </w:r>
          </w:p>
        </w:tc>
      </w:tr>
      <w:tr w:rsidR="00E24D59" w:rsidRPr="00813E5E" w14:paraId="23D9B4B1" w14:textId="77777777" w:rsidTr="00E31DCE">
        <w:trPr>
          <w:cantSplit/>
        </w:trPr>
        <w:tc>
          <w:tcPr>
            <w:tcW w:w="9214" w:type="dxa"/>
            <w:gridSpan w:val="2"/>
            <w:tcBorders>
              <w:top w:val="single" w:sz="4" w:space="0" w:color="auto"/>
              <w:bottom w:val="single" w:sz="4" w:space="0" w:color="auto"/>
            </w:tcBorders>
            <w:tcMar>
              <w:left w:w="0" w:type="dxa"/>
            </w:tcMar>
          </w:tcPr>
          <w:p w14:paraId="6D007675" w14:textId="29D9C555"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目的</w:t>
            </w:r>
          </w:p>
          <w:p w14:paraId="520B1423" w14:textId="77777777" w:rsidR="009B25E6" w:rsidRPr="00FE31D1" w:rsidRDefault="00FE31D1" w:rsidP="009B25E6">
            <w:pPr>
              <w:ind w:firstLineChars="200" w:firstLine="480"/>
              <w:rPr>
                <w:rFonts w:eastAsia="Calibri" w:cs="Calibri"/>
                <w:lang w:eastAsia="zh-CN"/>
              </w:rPr>
            </w:pPr>
            <w:r>
              <w:rPr>
                <w:lang w:val="zh-CN" w:eastAsia="zh-CN"/>
              </w:rPr>
              <w:t>本文件总结了迄今为止就设立未来区域代表处和地区办事处的标准</w:t>
            </w:r>
            <w:r w:rsidR="00C337EE" w:rsidRPr="008D3CEC">
              <w:rPr>
                <w:rFonts w:cs="Calibri" w:hint="eastAsia"/>
                <w:lang w:val="zh-CN" w:eastAsia="zh-CN"/>
              </w:rPr>
              <w:t>所进行</w:t>
            </w:r>
            <w:r w:rsidR="00C337EE" w:rsidRPr="008D3CEC">
              <w:rPr>
                <w:rFonts w:cs="Calibri"/>
                <w:lang w:val="zh-CN" w:eastAsia="zh-CN"/>
              </w:rPr>
              <w:t>的</w:t>
            </w:r>
            <w:r>
              <w:rPr>
                <w:lang w:val="zh-CN" w:eastAsia="zh-CN"/>
              </w:rPr>
              <w:t>讨论。还将提交给</w:t>
            </w:r>
            <w:r>
              <w:rPr>
                <w:lang w:val="zh-CN" w:eastAsia="zh-CN"/>
              </w:rPr>
              <w:t>TDAG</w:t>
            </w:r>
            <w:r>
              <w:rPr>
                <w:lang w:val="zh-CN" w:eastAsia="zh-CN"/>
              </w:rPr>
              <w:t>和</w:t>
            </w:r>
            <w:r w:rsidR="00907663" w:rsidRPr="00907663">
              <w:rPr>
                <w:rFonts w:hint="eastAsia"/>
                <w:lang w:val="zh-CN" w:eastAsia="zh-CN"/>
              </w:rPr>
              <w:t>跨部门协调组</w:t>
            </w:r>
            <w:r w:rsidR="00907663">
              <w:rPr>
                <w:rFonts w:hint="eastAsia"/>
                <w:lang w:val="zh-CN" w:eastAsia="zh-CN"/>
              </w:rPr>
              <w:t>（</w:t>
            </w:r>
            <w:r>
              <w:rPr>
                <w:lang w:val="zh-CN" w:eastAsia="zh-CN"/>
              </w:rPr>
              <w:t>ISCG</w:t>
            </w:r>
            <w:r w:rsidR="00907663">
              <w:rPr>
                <w:rFonts w:hint="eastAsia"/>
                <w:lang w:val="zh-CN" w:eastAsia="zh-CN"/>
              </w:rPr>
              <w:t>）</w:t>
            </w:r>
            <w:r>
              <w:rPr>
                <w:lang w:val="zh-CN" w:eastAsia="zh-CN"/>
              </w:rPr>
              <w:t>2024</w:t>
            </w:r>
            <w:r>
              <w:rPr>
                <w:lang w:val="zh-CN" w:eastAsia="zh-CN"/>
              </w:rPr>
              <w:t>年</w:t>
            </w:r>
            <w:r>
              <w:rPr>
                <w:lang w:val="zh-CN" w:eastAsia="zh-CN"/>
              </w:rPr>
              <w:t>5</w:t>
            </w:r>
            <w:r>
              <w:rPr>
                <w:lang w:val="zh-CN" w:eastAsia="zh-CN"/>
              </w:rPr>
              <w:t>月的会议，并相应更新。</w:t>
            </w:r>
          </w:p>
          <w:p w14:paraId="6FE20DDA" w14:textId="0E1066BF"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理事会需采取的行动</w:t>
            </w:r>
          </w:p>
          <w:p w14:paraId="4E3A533D" w14:textId="78375F3A" w:rsidR="008F64AD" w:rsidRPr="00FE31D1" w:rsidRDefault="00FE31D1" w:rsidP="00FE31D1">
            <w:pPr>
              <w:ind w:firstLineChars="200" w:firstLine="480"/>
              <w:rPr>
                <w:rFonts w:eastAsia="Calibri" w:cs="Calibri"/>
                <w:lang w:eastAsia="zh-CN"/>
              </w:rPr>
            </w:pPr>
            <w:r>
              <w:rPr>
                <w:lang w:val="zh-CN" w:eastAsia="zh-CN"/>
              </w:rPr>
              <w:t>请理事会</w:t>
            </w:r>
            <w:r w:rsidRPr="004D281E">
              <w:rPr>
                <w:b/>
                <w:bCs/>
                <w:lang w:val="zh-CN" w:eastAsia="zh-CN"/>
              </w:rPr>
              <w:t>审议</w:t>
            </w:r>
            <w:r>
              <w:rPr>
                <w:lang w:val="zh-CN" w:eastAsia="zh-CN"/>
              </w:rPr>
              <w:t>本文件。</w:t>
            </w:r>
          </w:p>
          <w:p w14:paraId="2E982C7E" w14:textId="77777777" w:rsidR="008F64AD" w:rsidRPr="008F64AD"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hint="eastAsia"/>
                <w:b/>
                <w:bCs/>
                <w:sz w:val="26"/>
                <w:szCs w:val="26"/>
                <w:lang w:eastAsia="zh-CN"/>
              </w:rPr>
              <w:t>与</w:t>
            </w:r>
            <w:r w:rsidRPr="008F64AD">
              <w:rPr>
                <w:rFonts w:ascii="SimSun" w:eastAsia="SimSun" w:hAnsi="SimSun" w:cstheme="minorHAnsi"/>
                <w:b/>
                <w:bCs/>
                <w:sz w:val="26"/>
                <w:szCs w:val="26"/>
                <w:lang w:eastAsia="zh-CN"/>
              </w:rPr>
              <w:t>《战略规划》</w:t>
            </w:r>
            <w:r w:rsidRPr="008F64AD">
              <w:rPr>
                <w:rFonts w:ascii="SimSun" w:eastAsia="SimSun" w:hAnsi="SimSun" w:cstheme="minorHAnsi" w:hint="eastAsia"/>
                <w:b/>
                <w:bCs/>
                <w:sz w:val="26"/>
                <w:szCs w:val="26"/>
                <w:lang w:eastAsia="zh-CN"/>
              </w:rPr>
              <w:t>的关联</w:t>
            </w:r>
          </w:p>
          <w:p w14:paraId="1EEFB5BE" w14:textId="77698C42" w:rsidR="008F64AD" w:rsidRPr="008F64AD" w:rsidRDefault="00FE31D1" w:rsidP="00FE31D1">
            <w:pPr>
              <w:ind w:firstLineChars="200" w:firstLine="480"/>
              <w:rPr>
                <w:rFonts w:ascii="SimSun" w:hAnsi="SimSun" w:cstheme="minorHAnsi"/>
                <w:b/>
                <w:bCs/>
                <w:sz w:val="26"/>
                <w:szCs w:val="26"/>
                <w:lang w:eastAsia="zh-CN"/>
              </w:rPr>
            </w:pPr>
            <w:r>
              <w:rPr>
                <w:lang w:val="zh-CN" w:eastAsia="zh-CN"/>
              </w:rPr>
              <w:t>卓越的人力资源和组织创新。</w:t>
            </w:r>
          </w:p>
          <w:p w14:paraId="6D1BF6F0" w14:textId="22741896" w:rsidR="00E24D59" w:rsidRDefault="008F64AD" w:rsidP="008F64AD">
            <w:pPr>
              <w:pStyle w:val="Subtitle"/>
              <w:framePr w:hSpace="0" w:wrap="auto" w:hAnchor="text" w:xAlign="left" w:yAlign="inline"/>
              <w:rPr>
                <w:rFonts w:ascii="SimSun" w:eastAsia="SimSun" w:hAnsi="SimSun" w:cstheme="minorHAnsi"/>
                <w:b/>
                <w:bCs/>
                <w:sz w:val="26"/>
                <w:szCs w:val="26"/>
                <w:lang w:eastAsia="zh-CN"/>
              </w:rPr>
            </w:pPr>
            <w:r w:rsidRPr="008F64AD">
              <w:rPr>
                <w:rFonts w:ascii="SimSun" w:eastAsia="SimSun" w:hAnsi="SimSun" w:cstheme="minorHAnsi"/>
                <w:b/>
                <w:bCs/>
                <w:sz w:val="26"/>
                <w:szCs w:val="26"/>
                <w:lang w:eastAsia="zh-CN"/>
              </w:rPr>
              <w:t>财务影响</w:t>
            </w:r>
          </w:p>
          <w:p w14:paraId="2231FF5A" w14:textId="0D1F5C9B" w:rsidR="00FE31D1" w:rsidRPr="00FE31D1" w:rsidRDefault="00FE31D1" w:rsidP="00FE31D1">
            <w:pPr>
              <w:ind w:firstLineChars="200" w:firstLine="480"/>
              <w:rPr>
                <w:lang w:eastAsia="zh-CN"/>
              </w:rPr>
            </w:pPr>
            <w:r>
              <w:rPr>
                <w:lang w:val="zh-CN" w:eastAsia="zh-CN"/>
              </w:rPr>
              <w:t>在批准的</w:t>
            </w:r>
            <w:r>
              <w:rPr>
                <w:lang w:val="zh-CN" w:eastAsia="zh-CN"/>
              </w:rPr>
              <w:t>2024-2025</w:t>
            </w:r>
            <w:r>
              <w:rPr>
                <w:lang w:val="zh-CN" w:eastAsia="zh-CN"/>
              </w:rPr>
              <w:t>年预算范围内。</w:t>
            </w:r>
          </w:p>
          <w:p w14:paraId="64DD48E0" w14:textId="77777777" w:rsidR="00E24D59" w:rsidRP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b/>
                <w:bCs/>
                <w:sz w:val="26"/>
                <w:szCs w:val="26"/>
                <w:lang w:eastAsia="zh-CN"/>
              </w:rPr>
              <w:t>__________________</w:t>
            </w:r>
          </w:p>
          <w:p w14:paraId="1841A49A" w14:textId="677E0CA2" w:rsidR="00E24D59" w:rsidRDefault="00E24D59" w:rsidP="00E24D59">
            <w:pPr>
              <w:pStyle w:val="Subtitle"/>
              <w:framePr w:hSpace="0" w:wrap="auto" w:hAnchor="text" w:xAlign="left" w:yAlign="inline"/>
              <w:rPr>
                <w:rFonts w:ascii="SimSun" w:eastAsia="SimSun" w:hAnsi="SimSun" w:cstheme="minorHAnsi"/>
                <w:b/>
                <w:bCs/>
                <w:sz w:val="26"/>
                <w:szCs w:val="26"/>
                <w:lang w:eastAsia="zh-CN"/>
              </w:rPr>
            </w:pPr>
            <w:r w:rsidRPr="00E24D59">
              <w:rPr>
                <w:rFonts w:ascii="SimSun" w:eastAsia="SimSun" w:hAnsi="SimSun" w:cstheme="minorHAnsi" w:hint="eastAsia"/>
                <w:b/>
                <w:bCs/>
                <w:sz w:val="26"/>
                <w:szCs w:val="26"/>
                <w:lang w:eastAsia="zh-CN"/>
              </w:rPr>
              <w:t>参考文件</w:t>
            </w:r>
          </w:p>
          <w:p w14:paraId="69B77F03" w14:textId="752E5646" w:rsidR="00C337EE" w:rsidRDefault="00C337EE" w:rsidP="004D281E">
            <w:pPr>
              <w:pStyle w:val="enumlev1"/>
              <w:rPr>
                <w:rFonts w:cs="Calibri"/>
                <w:lang w:eastAsia="zh-CN"/>
              </w:rPr>
            </w:pPr>
            <w:r w:rsidRPr="00964212">
              <w:rPr>
                <w:rFonts w:cs="Calibri"/>
                <w:lang w:eastAsia="zh-CN"/>
              </w:rPr>
              <w:t>–</w:t>
            </w:r>
            <w:r w:rsidRPr="00964212">
              <w:rPr>
                <w:rFonts w:cs="Calibri"/>
                <w:lang w:eastAsia="zh-CN"/>
              </w:rPr>
              <w:tab/>
            </w:r>
            <w:r w:rsidR="00964212">
              <w:fldChar w:fldCharType="begin"/>
            </w:r>
            <w:r w:rsidR="00964212">
              <w:instrText>HYPERLINK "https://www.itu.int/md/D22-TDAG31-C-0021/en"</w:instrText>
            </w:r>
            <w:r w:rsidR="00964212">
              <w:fldChar w:fldCharType="separate"/>
            </w:r>
            <w:hyperlink r:id="rId8" w:history="1">
              <w:r w:rsidRPr="008D3CEC">
                <w:rPr>
                  <w:rStyle w:val="Hyperlink"/>
                  <w:rFonts w:cs="Calibri"/>
                  <w:lang w:eastAsia="zh-CN"/>
                </w:rPr>
                <w:t>D22-TDAG31-C-0021</w:t>
              </w:r>
            </w:hyperlink>
            <w:r>
              <w:rPr>
                <w:rFonts w:hint="eastAsia"/>
                <w:lang w:eastAsia="zh-CN"/>
              </w:rPr>
              <w:t xml:space="preserve"> </w:t>
            </w:r>
            <w:r>
              <w:rPr>
                <w:lang w:eastAsia="zh-CN"/>
              </w:rPr>
              <w:t>–</w:t>
            </w:r>
            <w:r>
              <w:rPr>
                <w:rFonts w:hint="eastAsia"/>
                <w:lang w:eastAsia="zh-CN"/>
              </w:rPr>
              <w:t xml:space="preserve"> </w:t>
            </w:r>
            <w:r w:rsidRPr="008D3CEC">
              <w:rPr>
                <w:rFonts w:cs="Calibri"/>
                <w:lang w:eastAsia="zh-CN"/>
              </w:rPr>
              <w:t>收到的联络声明</w:t>
            </w:r>
            <w:r>
              <w:rPr>
                <w:rFonts w:cs="Calibri" w:hint="eastAsia"/>
                <w:lang w:eastAsia="zh-CN"/>
              </w:rPr>
              <w:t xml:space="preserve"> </w:t>
            </w:r>
            <w:r w:rsidRPr="00F5745D">
              <w:rPr>
                <w:rFonts w:cs="Calibri"/>
                <w:lang w:eastAsia="zh-CN"/>
              </w:rPr>
              <w:t>–</w:t>
            </w:r>
            <w:r>
              <w:rPr>
                <w:rFonts w:cs="Calibri" w:hint="eastAsia"/>
                <w:lang w:eastAsia="zh-CN"/>
              </w:rPr>
              <w:t xml:space="preserve"> </w:t>
            </w:r>
            <w:r w:rsidRPr="008D3CEC">
              <w:rPr>
                <w:rFonts w:cs="Calibri"/>
                <w:lang w:eastAsia="zh-CN"/>
              </w:rPr>
              <w:t>就设立未来地区办事处的标准致</w:t>
            </w:r>
            <w:r w:rsidRPr="008D3CEC">
              <w:rPr>
                <w:rFonts w:cs="Calibri"/>
                <w:lang w:eastAsia="zh-CN"/>
              </w:rPr>
              <w:t>TDAG</w:t>
            </w:r>
            <w:r w:rsidRPr="008D3CEC">
              <w:rPr>
                <w:rFonts w:cs="Calibri"/>
                <w:lang w:eastAsia="zh-CN"/>
              </w:rPr>
              <w:t>和</w:t>
            </w:r>
            <w:r w:rsidRPr="008D3CEC">
              <w:rPr>
                <w:rFonts w:cs="Calibri"/>
                <w:lang w:eastAsia="zh-CN"/>
              </w:rPr>
              <w:t>ISCG</w:t>
            </w:r>
            <w:r w:rsidRPr="008D3CEC">
              <w:rPr>
                <w:rFonts w:cs="Calibri"/>
                <w:lang w:eastAsia="zh-CN"/>
              </w:rPr>
              <w:t>的联络声明。</w:t>
            </w:r>
            <w:r w:rsidR="00964212">
              <w:rPr>
                <w:rFonts w:cs="Calibri"/>
                <w:lang w:eastAsia="zh-CN"/>
              </w:rPr>
              <w:fldChar w:fldCharType="end"/>
            </w:r>
          </w:p>
          <w:p w14:paraId="1373DAEB" w14:textId="77B0842F" w:rsidR="00C337EE" w:rsidRPr="00C337EE" w:rsidRDefault="00C337EE" w:rsidP="004D281E">
            <w:pPr>
              <w:pStyle w:val="enumlev1"/>
              <w:rPr>
                <w:rFonts w:ascii="SimSun" w:hAnsi="SimSun" w:cstheme="minorHAnsi"/>
                <w:b/>
                <w:bCs/>
                <w:sz w:val="26"/>
                <w:szCs w:val="26"/>
                <w:lang w:eastAsia="zh-CN"/>
              </w:rPr>
            </w:pPr>
            <w:r w:rsidRPr="00964212">
              <w:rPr>
                <w:rFonts w:cs="Calibri"/>
                <w:lang w:eastAsia="zh-CN"/>
              </w:rPr>
              <w:t>–</w:t>
            </w:r>
            <w:r w:rsidRPr="00964212">
              <w:rPr>
                <w:rFonts w:cs="Calibri"/>
                <w:lang w:eastAsia="zh-CN"/>
              </w:rPr>
              <w:tab/>
            </w:r>
            <w:r w:rsidR="00964212">
              <w:fldChar w:fldCharType="begin"/>
            </w:r>
            <w:r w:rsidR="00964212">
              <w:instrText>HYPERLINK "https://www.itu.int/md/meetingdoc.asp?lang=en&amp;parent=S23-CWGFHR16-C-0010"</w:instrText>
            </w:r>
            <w:r w:rsidR="00964212">
              <w:fldChar w:fldCharType="separate"/>
            </w:r>
            <w:hyperlink r:id="rId9" w:history="1">
              <w:r w:rsidRPr="004E7BB0">
                <w:rPr>
                  <w:rStyle w:val="Hyperlink"/>
                  <w:lang w:eastAsia="zh-CN"/>
                </w:rPr>
                <w:t>CWG-FHR-16/10</w:t>
              </w:r>
            </w:hyperlink>
            <w:r w:rsidRPr="00C337EE">
              <w:rPr>
                <w:rFonts w:cs="Calibri"/>
                <w:lang w:eastAsia="zh-CN"/>
              </w:rPr>
              <w:t xml:space="preserve"> – </w:t>
            </w:r>
            <w:r w:rsidRPr="00C337EE">
              <w:rPr>
                <w:rFonts w:cs="Calibri"/>
                <w:lang w:eastAsia="zh-CN"/>
              </w:rPr>
              <w:t>加强区域代表性</w:t>
            </w:r>
            <w:r w:rsidRPr="00C337EE">
              <w:rPr>
                <w:rFonts w:cs="Calibri" w:hint="eastAsia"/>
                <w:lang w:eastAsia="zh-CN"/>
              </w:rPr>
              <w:t xml:space="preserve"> </w:t>
            </w:r>
            <w:r w:rsidRPr="00C337EE">
              <w:rPr>
                <w:rFonts w:cs="Calibri"/>
                <w:lang w:eastAsia="zh-CN"/>
              </w:rPr>
              <w:t>–</w:t>
            </w:r>
            <w:r w:rsidRPr="00C337EE">
              <w:rPr>
                <w:rFonts w:cs="Calibri" w:hint="eastAsia"/>
                <w:lang w:eastAsia="zh-CN"/>
              </w:rPr>
              <w:t xml:space="preserve"> </w:t>
            </w:r>
            <w:r w:rsidRPr="00C337EE">
              <w:rPr>
                <w:rFonts w:cs="Calibri"/>
                <w:lang w:eastAsia="zh-CN"/>
              </w:rPr>
              <w:t>设立未来地区办事处的标准，由秘书长提交。</w:t>
            </w:r>
            <w:r w:rsidR="00964212">
              <w:rPr>
                <w:rFonts w:cs="Calibri"/>
                <w:lang w:eastAsia="zh-CN"/>
              </w:rPr>
              <w:fldChar w:fldCharType="end"/>
            </w:r>
          </w:p>
          <w:p w14:paraId="295458A7" w14:textId="74A3D339" w:rsidR="00E24D59" w:rsidRDefault="00C337EE" w:rsidP="004D281E">
            <w:pPr>
              <w:pStyle w:val="enumlev1"/>
              <w:rPr>
                <w:lang w:eastAsia="zh-CN"/>
              </w:rPr>
            </w:pPr>
            <w:r w:rsidRPr="00964212">
              <w:rPr>
                <w:rFonts w:cs="Calibri"/>
                <w:lang w:eastAsia="zh-CN"/>
              </w:rPr>
              <w:t>–</w:t>
            </w:r>
            <w:r w:rsidRPr="00964212">
              <w:rPr>
                <w:rFonts w:cs="Calibri"/>
                <w:lang w:eastAsia="zh-CN"/>
              </w:rPr>
              <w:tab/>
            </w:r>
            <w:r w:rsidR="00964212">
              <w:fldChar w:fldCharType="begin"/>
            </w:r>
            <w:r w:rsidR="00964212">
              <w:instrText>HYPERLINK "https://www.itu.int/md/meetingdoc.asp?lang=en&amp;parent=S23-CWGFHR16-C-0024"</w:instrText>
            </w:r>
            <w:r w:rsidR="00964212">
              <w:fldChar w:fldCharType="separate"/>
            </w:r>
            <w:hyperlink r:id="rId10" w:history="1">
              <w:r w:rsidRPr="00E9660A">
                <w:rPr>
                  <w:rStyle w:val="Hyperlink"/>
                  <w:rFonts w:cs="Calibri"/>
                  <w:lang w:eastAsia="zh-CN"/>
                </w:rPr>
                <w:t>CWG-FHR-16/24(Rev.1)</w:t>
              </w:r>
            </w:hyperlink>
            <w:r w:rsidRPr="008D3CEC">
              <w:rPr>
                <w:rFonts w:cs="Calibri"/>
                <w:lang w:eastAsia="zh-CN"/>
              </w:rPr>
              <w:t xml:space="preserve"> – </w:t>
            </w:r>
            <w:r w:rsidRPr="008D3CEC">
              <w:rPr>
                <w:rFonts w:cs="Calibri"/>
                <w:lang w:eastAsia="zh-CN"/>
              </w:rPr>
              <w:t>多国文稿</w:t>
            </w:r>
            <w:r w:rsidRPr="00F5745D">
              <w:rPr>
                <w:rFonts w:cs="Calibri" w:hint="eastAsia"/>
                <w:lang w:eastAsia="zh-CN"/>
              </w:rPr>
              <w:t xml:space="preserve"> </w:t>
            </w:r>
            <w:r w:rsidRPr="00F5745D">
              <w:rPr>
                <w:rFonts w:cs="Calibri"/>
                <w:lang w:eastAsia="zh-CN"/>
              </w:rPr>
              <w:t>–</w:t>
            </w:r>
            <w:r>
              <w:rPr>
                <w:rFonts w:cs="Calibri" w:hint="eastAsia"/>
                <w:lang w:eastAsia="zh-CN"/>
              </w:rPr>
              <w:t xml:space="preserve"> </w:t>
            </w:r>
            <w:r w:rsidRPr="008D3CEC">
              <w:rPr>
                <w:rFonts w:cs="Calibri"/>
                <w:lang w:eastAsia="zh-CN"/>
              </w:rPr>
              <w:t>有关设立未来地区办事处的提案，来自阿尔及利亚、中国、古巴、俄罗斯联邦和南非</w:t>
            </w:r>
            <w:r w:rsidR="00964212">
              <w:rPr>
                <w:rFonts w:cs="Calibri"/>
                <w:lang w:eastAsia="zh-CN"/>
              </w:rPr>
              <w:fldChar w:fldCharType="end"/>
            </w:r>
          </w:p>
        </w:tc>
      </w:tr>
      <w:bookmarkEnd w:id="2"/>
      <w:bookmarkEnd w:id="6"/>
    </w:tbl>
    <w:p w14:paraId="7C3BCD34" w14:textId="77777777" w:rsidR="00E24D59" w:rsidRDefault="00E24D59">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08D44575" w14:textId="142EE8EE" w:rsidR="00C337EE" w:rsidRDefault="00C337EE" w:rsidP="00C337EE">
      <w:pPr>
        <w:pStyle w:val="Heading1"/>
        <w:rPr>
          <w:lang w:eastAsia="zh-CN"/>
        </w:rPr>
      </w:pPr>
      <w:r>
        <w:rPr>
          <w:rFonts w:hint="eastAsia"/>
          <w:lang w:eastAsia="zh-CN"/>
        </w:rPr>
        <w:lastRenderedPageBreak/>
        <w:t>1</w:t>
      </w:r>
      <w:r>
        <w:rPr>
          <w:lang w:eastAsia="zh-CN"/>
        </w:rPr>
        <w:tab/>
      </w:r>
      <w:r>
        <w:rPr>
          <w:rFonts w:hint="eastAsia"/>
          <w:lang w:eastAsia="zh-CN"/>
        </w:rPr>
        <w:t>对以往讨论情况的介绍和总结</w:t>
      </w:r>
    </w:p>
    <w:p w14:paraId="52794377" w14:textId="4117B455" w:rsidR="00C337EE" w:rsidRDefault="00C337EE" w:rsidP="00C337EE">
      <w:pPr>
        <w:rPr>
          <w:lang w:eastAsia="zh-CN"/>
        </w:rPr>
      </w:pPr>
      <w:r>
        <w:rPr>
          <w:rFonts w:hint="eastAsia"/>
          <w:lang w:eastAsia="zh-CN"/>
        </w:rPr>
        <w:t>1.1</w:t>
      </w:r>
      <w:r>
        <w:rPr>
          <w:rFonts w:hint="eastAsia"/>
          <w:lang w:eastAsia="zh-CN"/>
        </w:rPr>
        <w:tab/>
      </w:r>
      <w:r>
        <w:rPr>
          <w:rFonts w:hint="eastAsia"/>
          <w:lang w:eastAsia="zh-CN"/>
        </w:rPr>
        <w:t>理事会财务和人力资源工作组（</w:t>
      </w:r>
      <w:r>
        <w:rPr>
          <w:rFonts w:hint="eastAsia"/>
          <w:lang w:eastAsia="zh-CN"/>
        </w:rPr>
        <w:t>CWG-FHR</w:t>
      </w:r>
      <w:r>
        <w:rPr>
          <w:rFonts w:hint="eastAsia"/>
          <w:lang w:eastAsia="zh-CN"/>
        </w:rPr>
        <w:t>）在</w:t>
      </w:r>
      <w:r>
        <w:rPr>
          <w:rFonts w:hint="eastAsia"/>
          <w:lang w:eastAsia="zh-CN"/>
        </w:rPr>
        <w:t>2023</w:t>
      </w:r>
      <w:r>
        <w:rPr>
          <w:rFonts w:hint="eastAsia"/>
          <w:lang w:eastAsia="zh-CN"/>
        </w:rPr>
        <w:t>年</w:t>
      </w:r>
      <w:r>
        <w:rPr>
          <w:rFonts w:hint="eastAsia"/>
          <w:lang w:eastAsia="zh-CN"/>
        </w:rPr>
        <w:t>10</w:t>
      </w:r>
      <w:r>
        <w:rPr>
          <w:rFonts w:hint="eastAsia"/>
          <w:lang w:eastAsia="zh-CN"/>
        </w:rPr>
        <w:t>月</w:t>
      </w:r>
      <w:r>
        <w:rPr>
          <w:rFonts w:hint="eastAsia"/>
          <w:lang w:eastAsia="zh-CN"/>
        </w:rPr>
        <w:t>11-13</w:t>
      </w:r>
      <w:r>
        <w:rPr>
          <w:rFonts w:hint="eastAsia"/>
          <w:lang w:eastAsia="zh-CN"/>
        </w:rPr>
        <w:t>日的会议上，简单审议并讨论了以下两份文件，均涉及制定未来地区办事处的创建</w:t>
      </w:r>
      <w:r w:rsidR="00C15E51">
        <w:rPr>
          <w:rFonts w:hint="eastAsia"/>
          <w:lang w:eastAsia="zh-CN"/>
        </w:rPr>
        <w:t>制定</w:t>
      </w:r>
      <w:r>
        <w:rPr>
          <w:rFonts w:hint="eastAsia"/>
          <w:lang w:eastAsia="zh-CN"/>
        </w:rPr>
        <w:t>标准：</w:t>
      </w:r>
    </w:p>
    <w:p w14:paraId="111DFB48" w14:textId="3EB09AA7" w:rsidR="00C337EE" w:rsidRDefault="00C337EE" w:rsidP="00C337EE">
      <w:pPr>
        <w:pStyle w:val="enumlev1"/>
        <w:rPr>
          <w:lang w:eastAsia="zh-CN"/>
        </w:rPr>
      </w:pPr>
      <w:r>
        <w:rPr>
          <w:lang w:eastAsia="zh-CN"/>
        </w:rPr>
        <w:t>•</w:t>
      </w:r>
      <w:r>
        <w:rPr>
          <w:rFonts w:hint="eastAsia"/>
          <w:lang w:eastAsia="zh-CN"/>
        </w:rPr>
        <w:tab/>
      </w:r>
      <w:hyperlink r:id="rId11" w:history="1">
        <w:r w:rsidRPr="00C15E51">
          <w:rPr>
            <w:rStyle w:val="Hyperlink"/>
            <w:rFonts w:hint="eastAsia"/>
            <w:lang w:eastAsia="zh-CN"/>
          </w:rPr>
          <w:t>CWG-FHR-16/10</w:t>
        </w:r>
      </w:hyperlink>
      <w:r>
        <w:rPr>
          <w:lang w:eastAsia="zh-CN"/>
        </w:rPr>
        <w:t xml:space="preserve"> –</w:t>
      </w:r>
      <w:r>
        <w:rPr>
          <w:rFonts w:hint="eastAsia"/>
          <w:lang w:eastAsia="zh-CN"/>
        </w:rPr>
        <w:t xml:space="preserve"> </w:t>
      </w:r>
      <w:r>
        <w:rPr>
          <w:rFonts w:hint="eastAsia"/>
          <w:lang w:eastAsia="zh-CN"/>
        </w:rPr>
        <w:t>加强区域代表性</w:t>
      </w:r>
      <w:r>
        <w:rPr>
          <w:rFonts w:hint="eastAsia"/>
          <w:lang w:eastAsia="zh-CN"/>
        </w:rPr>
        <w:t xml:space="preserve"> </w:t>
      </w:r>
      <w:r>
        <w:rPr>
          <w:lang w:eastAsia="zh-CN"/>
        </w:rPr>
        <w:t>–</w:t>
      </w:r>
      <w:r>
        <w:rPr>
          <w:rFonts w:hint="eastAsia"/>
          <w:lang w:eastAsia="zh-CN"/>
        </w:rPr>
        <w:t xml:space="preserve"> </w:t>
      </w:r>
      <w:r>
        <w:rPr>
          <w:rFonts w:hint="eastAsia"/>
          <w:lang w:eastAsia="zh-CN"/>
        </w:rPr>
        <w:t>设立未来地区办事处的标准，由秘书长提交。</w:t>
      </w:r>
    </w:p>
    <w:p w14:paraId="463DC4D5" w14:textId="526E76BE" w:rsidR="00C337EE" w:rsidRDefault="00C337EE" w:rsidP="00C337EE">
      <w:pPr>
        <w:pStyle w:val="enumlev1"/>
        <w:rPr>
          <w:lang w:eastAsia="zh-CN"/>
        </w:rPr>
      </w:pPr>
      <w:r>
        <w:rPr>
          <w:lang w:eastAsia="zh-CN"/>
        </w:rPr>
        <w:t>•</w:t>
      </w:r>
      <w:r>
        <w:rPr>
          <w:rFonts w:hint="eastAsia"/>
          <w:lang w:eastAsia="zh-CN"/>
        </w:rPr>
        <w:tab/>
      </w:r>
      <w:hyperlink r:id="rId12" w:history="1">
        <w:r w:rsidRPr="00C15E51">
          <w:rPr>
            <w:rStyle w:val="Hyperlink"/>
            <w:rFonts w:hint="eastAsia"/>
            <w:lang w:eastAsia="zh-CN"/>
          </w:rPr>
          <w:t>CWG-FHR-16/24</w:t>
        </w:r>
        <w:r w:rsidR="001E5350">
          <w:rPr>
            <w:rStyle w:val="Hyperlink"/>
            <w:rFonts w:hint="eastAsia"/>
            <w:lang w:eastAsia="zh-CN"/>
          </w:rPr>
          <w:t>(</w:t>
        </w:r>
        <w:r w:rsidRPr="00C15E51">
          <w:rPr>
            <w:rStyle w:val="Hyperlink"/>
            <w:rFonts w:hint="eastAsia"/>
            <w:lang w:eastAsia="zh-CN"/>
          </w:rPr>
          <w:t>Rev.1</w:t>
        </w:r>
        <w:r w:rsidR="001E5350">
          <w:rPr>
            <w:rStyle w:val="Hyperlink"/>
            <w:rFonts w:hint="eastAsia"/>
            <w:lang w:eastAsia="zh-CN"/>
          </w:rPr>
          <w:t>)</w:t>
        </w:r>
      </w:hyperlink>
      <w:r>
        <w:rPr>
          <w:rFonts w:hint="eastAsia"/>
          <w:lang w:eastAsia="zh-CN"/>
        </w:rPr>
        <w:t xml:space="preserve"> </w:t>
      </w:r>
      <w:r>
        <w:rPr>
          <w:lang w:eastAsia="zh-CN"/>
        </w:rPr>
        <w:t>–</w:t>
      </w:r>
      <w:r>
        <w:rPr>
          <w:rFonts w:hint="eastAsia"/>
          <w:lang w:eastAsia="zh-CN"/>
        </w:rPr>
        <w:t xml:space="preserve"> </w:t>
      </w:r>
      <w:r>
        <w:rPr>
          <w:rFonts w:hint="eastAsia"/>
          <w:lang w:eastAsia="zh-CN"/>
        </w:rPr>
        <w:t>多国文稿</w:t>
      </w:r>
      <w:r>
        <w:rPr>
          <w:rFonts w:hint="eastAsia"/>
          <w:lang w:eastAsia="zh-CN"/>
        </w:rPr>
        <w:t xml:space="preserve"> </w:t>
      </w:r>
      <w:r>
        <w:rPr>
          <w:lang w:eastAsia="zh-CN"/>
        </w:rPr>
        <w:t>–</w:t>
      </w:r>
      <w:r>
        <w:rPr>
          <w:rFonts w:hint="eastAsia"/>
          <w:lang w:eastAsia="zh-CN"/>
        </w:rPr>
        <w:t xml:space="preserve"> </w:t>
      </w:r>
      <w:r>
        <w:rPr>
          <w:rFonts w:hint="eastAsia"/>
          <w:lang w:eastAsia="zh-CN"/>
        </w:rPr>
        <w:t>有关设立未来地区办事处的提案，来自阿尔及利亚、中国、古巴、俄罗斯联邦和南非</w:t>
      </w:r>
    </w:p>
    <w:p w14:paraId="4AB50AC0" w14:textId="158C6DF6" w:rsidR="00C337EE" w:rsidRDefault="00C337EE" w:rsidP="00C337EE">
      <w:pPr>
        <w:rPr>
          <w:lang w:eastAsia="zh-CN"/>
        </w:rPr>
      </w:pPr>
      <w:r>
        <w:rPr>
          <w:rFonts w:hint="eastAsia"/>
          <w:lang w:eastAsia="zh-CN"/>
        </w:rPr>
        <w:t>1.2</w:t>
      </w:r>
      <w:r>
        <w:rPr>
          <w:rFonts w:hint="eastAsia"/>
          <w:lang w:eastAsia="zh-CN"/>
        </w:rPr>
        <w:tab/>
      </w:r>
      <w:r w:rsidR="00C15E51" w:rsidRPr="008B7F9A">
        <w:rPr>
          <w:lang w:val="zh-CN" w:eastAsia="zh-CN"/>
        </w:rPr>
        <w:t>这些文件已</w:t>
      </w:r>
      <w:r w:rsidR="00C15E51" w:rsidRPr="008B7F9A">
        <w:rPr>
          <w:rFonts w:hint="eastAsia"/>
          <w:lang w:val="zh-CN" w:eastAsia="zh-CN"/>
        </w:rPr>
        <w:t>于</w:t>
      </w:r>
      <w:r w:rsidR="00C15E51" w:rsidRPr="008B7F9A">
        <w:rPr>
          <w:lang w:val="zh-CN" w:eastAsia="zh-CN"/>
        </w:rPr>
        <w:t>2024</w:t>
      </w:r>
      <w:r w:rsidR="00C15E51" w:rsidRPr="008B7F9A">
        <w:rPr>
          <w:lang w:val="zh-CN" w:eastAsia="zh-CN"/>
        </w:rPr>
        <w:t>年</w:t>
      </w:r>
      <w:r w:rsidR="00C15E51" w:rsidRPr="008B7F9A">
        <w:rPr>
          <w:lang w:val="zh-CN" w:eastAsia="zh-CN"/>
        </w:rPr>
        <w:t>1</w:t>
      </w:r>
      <w:r w:rsidR="00C15E51" w:rsidRPr="008B7F9A">
        <w:rPr>
          <w:lang w:val="zh-CN" w:eastAsia="zh-CN"/>
        </w:rPr>
        <w:t>月呈交</w:t>
      </w:r>
      <w:r w:rsidR="00C15E51" w:rsidRPr="008B7F9A">
        <w:rPr>
          <w:lang w:val="zh-CN" w:eastAsia="zh-CN"/>
        </w:rPr>
        <w:t>CWG-FHR</w:t>
      </w:r>
      <w:r w:rsidR="00C15E51" w:rsidRPr="008B7F9A">
        <w:rPr>
          <w:lang w:val="zh-CN" w:eastAsia="zh-CN"/>
        </w:rPr>
        <w:t>会议，以便继续讨论并</w:t>
      </w:r>
      <w:r w:rsidR="00C15E51" w:rsidRPr="008B7F9A">
        <w:rPr>
          <w:rFonts w:hint="eastAsia"/>
          <w:lang w:val="zh-CN" w:eastAsia="zh-CN"/>
        </w:rPr>
        <w:t>在可能的情况下</w:t>
      </w:r>
      <w:r w:rsidR="00C15E51" w:rsidRPr="008B7F9A">
        <w:rPr>
          <w:lang w:val="zh-CN" w:eastAsia="zh-CN"/>
        </w:rPr>
        <w:t>审议将</w:t>
      </w:r>
      <w:r w:rsidR="00C15E51" w:rsidRPr="008B7F9A">
        <w:rPr>
          <w:rFonts w:hint="eastAsia"/>
          <w:lang w:val="zh-CN" w:eastAsia="zh-CN"/>
        </w:rPr>
        <w:t>呈交</w:t>
      </w:r>
      <w:r w:rsidR="00C15E51" w:rsidRPr="008B7F9A">
        <w:rPr>
          <w:lang w:val="zh-CN" w:eastAsia="zh-CN"/>
        </w:rPr>
        <w:t>理事会的提案。</w:t>
      </w:r>
    </w:p>
    <w:p w14:paraId="1E6A4CC1" w14:textId="77777777" w:rsidR="00C337EE" w:rsidRDefault="00C337EE" w:rsidP="00C337EE">
      <w:pPr>
        <w:rPr>
          <w:lang w:eastAsia="zh-CN"/>
        </w:rPr>
      </w:pPr>
      <w:r>
        <w:rPr>
          <w:rFonts w:hint="eastAsia"/>
          <w:lang w:eastAsia="zh-CN"/>
        </w:rPr>
        <w:t>1.3</w:t>
      </w:r>
      <w:r>
        <w:rPr>
          <w:rFonts w:hint="eastAsia"/>
          <w:lang w:eastAsia="zh-CN"/>
        </w:rPr>
        <w:tab/>
        <w:t>CWG-FHR</w:t>
      </w:r>
      <w:r>
        <w:rPr>
          <w:rFonts w:hint="eastAsia"/>
          <w:lang w:eastAsia="zh-CN"/>
        </w:rPr>
        <w:t>在</w:t>
      </w:r>
      <w:r>
        <w:rPr>
          <w:rFonts w:hint="eastAsia"/>
          <w:lang w:eastAsia="zh-CN"/>
        </w:rPr>
        <w:t>2024</w:t>
      </w:r>
      <w:r>
        <w:rPr>
          <w:rFonts w:hint="eastAsia"/>
          <w:lang w:eastAsia="zh-CN"/>
        </w:rPr>
        <w:t>年</w:t>
      </w:r>
      <w:r>
        <w:rPr>
          <w:rFonts w:hint="eastAsia"/>
          <w:lang w:eastAsia="zh-CN"/>
        </w:rPr>
        <w:t>1</w:t>
      </w:r>
      <w:r>
        <w:rPr>
          <w:rFonts w:hint="eastAsia"/>
          <w:lang w:eastAsia="zh-CN"/>
        </w:rPr>
        <w:t>月</w:t>
      </w:r>
      <w:r>
        <w:rPr>
          <w:rFonts w:hint="eastAsia"/>
          <w:lang w:eastAsia="zh-CN"/>
        </w:rPr>
        <w:t>24-26</w:t>
      </w:r>
      <w:r>
        <w:rPr>
          <w:rFonts w:hint="eastAsia"/>
          <w:lang w:eastAsia="zh-CN"/>
        </w:rPr>
        <w:t>日的会议上做出以下决议：</w:t>
      </w:r>
    </w:p>
    <w:p w14:paraId="6F0F5C41" w14:textId="400C4FA7" w:rsidR="00C337EE" w:rsidRDefault="00C337EE" w:rsidP="00C337EE">
      <w:pPr>
        <w:rPr>
          <w:lang w:eastAsia="zh-CN"/>
        </w:rPr>
      </w:pPr>
      <w:r>
        <w:rPr>
          <w:rFonts w:hint="eastAsia"/>
          <w:lang w:eastAsia="zh-CN"/>
        </w:rPr>
        <w:t>1.3.1</w:t>
      </w:r>
      <w:r>
        <w:rPr>
          <w:rFonts w:hint="eastAsia"/>
          <w:lang w:eastAsia="zh-CN"/>
        </w:rPr>
        <w:tab/>
      </w:r>
      <w:r>
        <w:rPr>
          <w:rFonts w:hint="eastAsia"/>
          <w:lang w:eastAsia="zh-CN"/>
        </w:rPr>
        <w:t>一些成员国要求将报告提交理事会批准，而另一些成员国则期待顾问委员会提供更多的信息，与国际电联其它部门协调，并增强文件的总体忠实度。会议注意到，拟议的标准应是可衡量的，并应纳入区域组织的作用。</w:t>
      </w:r>
      <w:r w:rsidR="00C15E51" w:rsidRPr="008B7F9A">
        <w:rPr>
          <w:lang w:val="zh-CN" w:eastAsia="zh-CN"/>
        </w:rPr>
        <w:t>经过对该议题的进一步一般性讨论</w:t>
      </w:r>
      <w:r>
        <w:rPr>
          <w:rFonts w:hint="eastAsia"/>
          <w:lang w:eastAsia="zh-CN"/>
        </w:rPr>
        <w:t>，会议决定由</w:t>
      </w:r>
      <w:r>
        <w:rPr>
          <w:rFonts w:hint="eastAsia"/>
          <w:lang w:eastAsia="zh-CN"/>
        </w:rPr>
        <w:t>CWG-FHR</w:t>
      </w:r>
      <w:r>
        <w:rPr>
          <w:rFonts w:hint="eastAsia"/>
          <w:lang w:eastAsia="zh-CN"/>
        </w:rPr>
        <w:t>向</w:t>
      </w:r>
      <w:r>
        <w:rPr>
          <w:rFonts w:hint="eastAsia"/>
          <w:lang w:eastAsia="zh-CN"/>
        </w:rPr>
        <w:t>TDAG</w:t>
      </w:r>
      <w:r>
        <w:rPr>
          <w:rFonts w:hint="eastAsia"/>
          <w:lang w:eastAsia="zh-CN"/>
        </w:rPr>
        <w:t>和</w:t>
      </w:r>
      <w:r>
        <w:rPr>
          <w:rFonts w:hint="eastAsia"/>
          <w:lang w:eastAsia="zh-CN"/>
        </w:rPr>
        <w:t>ISCG</w:t>
      </w:r>
      <w:r>
        <w:rPr>
          <w:rFonts w:hint="eastAsia"/>
          <w:lang w:eastAsia="zh-CN"/>
        </w:rPr>
        <w:t>发出联络声明，请顾问组和</w:t>
      </w:r>
      <w:r>
        <w:rPr>
          <w:rFonts w:hint="eastAsia"/>
          <w:lang w:eastAsia="zh-CN"/>
        </w:rPr>
        <w:t>ISCG</w:t>
      </w:r>
      <w:r>
        <w:rPr>
          <w:rFonts w:hint="eastAsia"/>
          <w:lang w:eastAsia="zh-CN"/>
        </w:rPr>
        <w:t>审议并向理事会下次会议提供反馈。</w:t>
      </w:r>
    </w:p>
    <w:p w14:paraId="3B532924" w14:textId="494B8386" w:rsidR="00C337EE" w:rsidRDefault="00C337EE" w:rsidP="00C337EE">
      <w:pPr>
        <w:pStyle w:val="Heading1"/>
        <w:rPr>
          <w:lang w:eastAsia="zh-CN"/>
        </w:rPr>
      </w:pPr>
      <w:r>
        <w:rPr>
          <w:rFonts w:hint="eastAsia"/>
          <w:lang w:eastAsia="zh-CN"/>
        </w:rPr>
        <w:t>2</w:t>
      </w:r>
      <w:r>
        <w:rPr>
          <w:rFonts w:hint="eastAsia"/>
          <w:lang w:eastAsia="zh-CN"/>
        </w:rPr>
        <w:tab/>
      </w:r>
      <w:r>
        <w:rPr>
          <w:rFonts w:hint="eastAsia"/>
          <w:lang w:eastAsia="zh-CN"/>
        </w:rPr>
        <w:t>参考文件中的摘要</w:t>
      </w:r>
    </w:p>
    <w:p w14:paraId="005E29EA" w14:textId="77777777" w:rsidR="00C337EE" w:rsidRDefault="00C337EE" w:rsidP="00C337EE">
      <w:pPr>
        <w:pStyle w:val="Heading2"/>
        <w:rPr>
          <w:lang w:eastAsia="zh-CN"/>
        </w:rPr>
      </w:pPr>
      <w:r>
        <w:rPr>
          <w:lang w:eastAsia="zh-CN"/>
        </w:rPr>
        <w:t>2.1</w:t>
      </w:r>
      <w:r>
        <w:rPr>
          <w:lang w:eastAsia="zh-CN"/>
        </w:rPr>
        <w:tab/>
        <w:t>CWG-FHR-16/10</w:t>
      </w:r>
    </w:p>
    <w:p w14:paraId="377AB5B3" w14:textId="34A24460" w:rsidR="00C337EE" w:rsidRDefault="00C337EE" w:rsidP="00C337EE">
      <w:pPr>
        <w:rPr>
          <w:lang w:eastAsia="zh-CN"/>
        </w:rPr>
      </w:pPr>
      <w:r>
        <w:rPr>
          <w:rFonts w:hint="eastAsia"/>
          <w:lang w:eastAsia="zh-CN"/>
        </w:rPr>
        <w:t>2.1.1</w:t>
      </w:r>
      <w:r>
        <w:rPr>
          <w:rFonts w:hint="eastAsia"/>
          <w:lang w:eastAsia="zh-CN"/>
        </w:rPr>
        <w:tab/>
      </w:r>
      <w:r>
        <w:rPr>
          <w:rFonts w:hint="eastAsia"/>
          <w:lang w:eastAsia="zh-CN"/>
        </w:rPr>
        <w:t>该文件规定，如果经核实国际电联的覆盖范围存在差距，且有充分的国家足以证明其扩大的合理性，则应考虑扩大国际电联区域代表处。应开展评估，以确定目前国际电联区域代表性的覆盖范围是否存在</w:t>
      </w:r>
      <w:r w:rsidR="00A6252D">
        <w:rPr>
          <w:rFonts w:hint="eastAsia"/>
          <w:lang w:eastAsia="zh-CN"/>
        </w:rPr>
        <w:t>任何</w:t>
      </w:r>
      <w:r>
        <w:rPr>
          <w:rFonts w:hint="eastAsia"/>
          <w:lang w:eastAsia="zh-CN"/>
        </w:rPr>
        <w:t>差距。</w:t>
      </w:r>
      <w:r w:rsidR="00A6252D" w:rsidRPr="00A6252D">
        <w:rPr>
          <w:rFonts w:hint="eastAsia"/>
          <w:lang w:eastAsia="zh-CN"/>
        </w:rPr>
        <w:t>如果评估发现存在地域差距，多个国家未被有效覆盖，</w:t>
      </w:r>
      <w:proofErr w:type="gramStart"/>
      <w:r w:rsidR="00A6252D" w:rsidRPr="00A6252D">
        <w:rPr>
          <w:rFonts w:hint="eastAsia"/>
          <w:lang w:eastAsia="zh-CN"/>
        </w:rPr>
        <w:t>则应将其确定为国际电联覆盖的潜在</w:t>
      </w:r>
      <w:r w:rsidR="00A6252D">
        <w:rPr>
          <w:rFonts w:hint="eastAsia"/>
          <w:lang w:eastAsia="zh-CN"/>
        </w:rPr>
        <w:t>“</w:t>
      </w:r>
      <w:proofErr w:type="gramEnd"/>
      <w:r w:rsidR="00A6252D" w:rsidRPr="00A6252D">
        <w:rPr>
          <w:rFonts w:hint="eastAsia"/>
          <w:lang w:eastAsia="zh-CN"/>
        </w:rPr>
        <w:t>地区</w:t>
      </w:r>
      <w:r w:rsidR="00A6252D">
        <w:rPr>
          <w:rFonts w:hint="eastAsia"/>
          <w:lang w:eastAsia="zh-CN"/>
        </w:rPr>
        <w:t>”</w:t>
      </w:r>
      <w:r w:rsidR="00A6252D" w:rsidRPr="00A6252D">
        <w:rPr>
          <w:rFonts w:hint="eastAsia"/>
          <w:lang w:eastAsia="zh-CN"/>
        </w:rPr>
        <w:t>，可能适合建立国际电联新的代表处。</w:t>
      </w:r>
    </w:p>
    <w:p w14:paraId="799956A3" w14:textId="6DA404DA" w:rsidR="00C337EE" w:rsidRDefault="00C337EE" w:rsidP="00C337EE">
      <w:pPr>
        <w:rPr>
          <w:lang w:eastAsia="zh-CN"/>
        </w:rPr>
      </w:pPr>
      <w:r>
        <w:rPr>
          <w:rFonts w:hint="eastAsia"/>
          <w:lang w:eastAsia="zh-CN"/>
        </w:rPr>
        <w:t>2.1.2</w:t>
      </w:r>
      <w:r>
        <w:rPr>
          <w:rFonts w:hint="eastAsia"/>
          <w:lang w:eastAsia="zh-CN"/>
        </w:rPr>
        <w:tab/>
      </w:r>
      <w:r>
        <w:rPr>
          <w:rFonts w:hint="eastAsia"/>
          <w:lang w:eastAsia="zh-CN"/>
        </w:rPr>
        <w:t>一旦确定存在一个由多个国家组成的地理区域无法由现有办事处有效地开展工作，下一步就是确定是否有必要扩大国际电联的区域代表处以弥补这一差距</w:t>
      </w:r>
      <w:r w:rsidR="00A6252D">
        <w:rPr>
          <w:rFonts w:hint="eastAsia"/>
          <w:lang w:eastAsia="zh-CN"/>
        </w:rPr>
        <w:t>，</w:t>
      </w:r>
      <w:r>
        <w:rPr>
          <w:rFonts w:hint="eastAsia"/>
          <w:lang w:eastAsia="zh-CN"/>
        </w:rPr>
        <w:t>以及国际电联在该地区的代表处应</w:t>
      </w:r>
      <w:r w:rsidR="00A6252D" w:rsidRPr="008B7F9A">
        <w:rPr>
          <w:rFonts w:hint="eastAsia"/>
          <w:lang w:val="zh-CN" w:eastAsia="zh-CN"/>
        </w:rPr>
        <w:t>设在何处</w:t>
      </w:r>
      <w:r>
        <w:rPr>
          <w:rFonts w:hint="eastAsia"/>
          <w:lang w:eastAsia="zh-CN"/>
        </w:rPr>
        <w:t>。</w:t>
      </w:r>
    </w:p>
    <w:p w14:paraId="0A9DA5CD" w14:textId="77777777" w:rsidR="00C337EE" w:rsidRDefault="00C337EE" w:rsidP="00C337EE">
      <w:pPr>
        <w:rPr>
          <w:lang w:eastAsia="zh-CN"/>
        </w:rPr>
      </w:pPr>
      <w:r>
        <w:rPr>
          <w:rFonts w:hint="eastAsia"/>
          <w:lang w:eastAsia="zh-CN"/>
        </w:rPr>
        <w:t>2.1.3</w:t>
      </w:r>
      <w:r>
        <w:rPr>
          <w:rFonts w:hint="eastAsia"/>
          <w:lang w:eastAsia="zh-CN"/>
        </w:rPr>
        <w:tab/>
      </w:r>
      <w:r>
        <w:rPr>
          <w:rFonts w:hint="eastAsia"/>
          <w:lang w:eastAsia="zh-CN"/>
        </w:rPr>
        <w:t>以下是关于在已发现差距的领域开设新存在的标准：</w:t>
      </w:r>
    </w:p>
    <w:p w14:paraId="5CEE633E" w14:textId="18FD900E" w:rsidR="00C337EE" w:rsidRDefault="00C337EE" w:rsidP="00C337EE">
      <w:pPr>
        <w:pStyle w:val="enumlev1"/>
        <w:rPr>
          <w:lang w:eastAsia="zh-CN"/>
        </w:rPr>
      </w:pPr>
      <w:r>
        <w:rPr>
          <w:lang w:eastAsia="zh-CN"/>
        </w:rPr>
        <w:t>•</w:t>
      </w:r>
      <w:r>
        <w:rPr>
          <w:rFonts w:hint="eastAsia"/>
          <w:lang w:eastAsia="zh-CN"/>
        </w:rPr>
        <w:tab/>
      </w:r>
      <w:r w:rsidRPr="00C15E51">
        <w:rPr>
          <w:rFonts w:hint="eastAsia"/>
          <w:b/>
          <w:bCs/>
          <w:lang w:eastAsia="zh-CN"/>
        </w:rPr>
        <w:t>相关性</w:t>
      </w:r>
      <w:r>
        <w:rPr>
          <w:rFonts w:hint="eastAsia"/>
          <w:lang w:eastAsia="zh-CN"/>
        </w:rPr>
        <w:t xml:space="preserve"> </w:t>
      </w:r>
      <w:r>
        <w:rPr>
          <w:lang w:eastAsia="zh-CN"/>
        </w:rPr>
        <w:t>–</w:t>
      </w:r>
      <w:r>
        <w:rPr>
          <w:rFonts w:hint="eastAsia"/>
          <w:lang w:eastAsia="zh-CN"/>
        </w:rPr>
        <w:t xml:space="preserve"> </w:t>
      </w:r>
      <w:r>
        <w:rPr>
          <w:rFonts w:hint="eastAsia"/>
          <w:lang w:eastAsia="zh-CN"/>
        </w:rPr>
        <w:t>拟议的新地点应能改善国际电联在多个国家产生影响的能力。</w:t>
      </w:r>
    </w:p>
    <w:p w14:paraId="40621D16" w14:textId="3789C174" w:rsidR="00C337EE" w:rsidRDefault="00C337EE" w:rsidP="00C337EE">
      <w:pPr>
        <w:pStyle w:val="enumlev1"/>
        <w:rPr>
          <w:lang w:eastAsia="zh-CN"/>
        </w:rPr>
      </w:pPr>
      <w:r>
        <w:rPr>
          <w:lang w:eastAsia="zh-CN"/>
        </w:rPr>
        <w:t>•</w:t>
      </w:r>
      <w:r>
        <w:rPr>
          <w:rFonts w:hint="eastAsia"/>
          <w:lang w:eastAsia="zh-CN"/>
        </w:rPr>
        <w:tab/>
      </w:r>
      <w:r w:rsidRPr="00C15E51">
        <w:rPr>
          <w:rFonts w:hint="eastAsia"/>
          <w:b/>
          <w:bCs/>
          <w:lang w:eastAsia="zh-CN"/>
        </w:rPr>
        <w:t>排他性</w:t>
      </w:r>
      <w:r>
        <w:rPr>
          <w:rFonts w:hint="eastAsia"/>
          <w:lang w:eastAsia="zh-CN"/>
        </w:rPr>
        <w:t xml:space="preserve"> </w:t>
      </w:r>
      <w:r>
        <w:rPr>
          <w:lang w:eastAsia="zh-CN"/>
        </w:rPr>
        <w:t>–</w:t>
      </w:r>
      <w:r>
        <w:rPr>
          <w:rFonts w:hint="eastAsia"/>
          <w:lang w:eastAsia="zh-CN"/>
        </w:rPr>
        <w:t xml:space="preserve"> </w:t>
      </w:r>
      <w:r w:rsidR="00A6252D" w:rsidRPr="008B7F9A">
        <w:rPr>
          <w:rFonts w:cs="Calibri"/>
          <w:szCs w:val="24"/>
          <w:lang w:val="zh-CN" w:eastAsia="zh-CN"/>
        </w:rPr>
        <w:t>建议的地点不会</w:t>
      </w:r>
      <w:r w:rsidR="00A6252D" w:rsidRPr="008B7F9A">
        <w:rPr>
          <w:rFonts w:cs="Calibri" w:hint="eastAsia"/>
          <w:szCs w:val="24"/>
          <w:lang w:val="zh-CN" w:eastAsia="zh-CN"/>
        </w:rPr>
        <w:t>与</w:t>
      </w:r>
      <w:r w:rsidR="00A6252D" w:rsidRPr="008B7F9A">
        <w:rPr>
          <w:rFonts w:cs="Calibri"/>
          <w:szCs w:val="24"/>
          <w:lang w:val="zh-CN" w:eastAsia="zh-CN"/>
        </w:rPr>
        <w:t>任何次区域层面的现有</w:t>
      </w:r>
      <w:r w:rsidR="00A6252D" w:rsidRPr="008B7F9A">
        <w:rPr>
          <w:rFonts w:cs="Calibri" w:hint="eastAsia"/>
          <w:szCs w:val="24"/>
          <w:lang w:val="zh-CN" w:eastAsia="zh-CN"/>
        </w:rPr>
        <w:t>代表性重叠</w:t>
      </w:r>
      <w:r w:rsidR="00A6252D" w:rsidRPr="008B7F9A">
        <w:rPr>
          <w:rFonts w:cs="Calibri"/>
          <w:szCs w:val="24"/>
          <w:lang w:val="zh-CN" w:eastAsia="zh-CN"/>
        </w:rPr>
        <w:t>。</w:t>
      </w:r>
    </w:p>
    <w:p w14:paraId="0F02AD7C" w14:textId="798AB791" w:rsidR="00C337EE" w:rsidRDefault="00C337EE" w:rsidP="00C337EE">
      <w:pPr>
        <w:pStyle w:val="enumlev1"/>
        <w:rPr>
          <w:lang w:eastAsia="zh-CN"/>
        </w:rPr>
      </w:pPr>
      <w:r>
        <w:rPr>
          <w:lang w:eastAsia="zh-CN"/>
        </w:rPr>
        <w:t>•</w:t>
      </w:r>
      <w:r>
        <w:rPr>
          <w:rFonts w:hint="eastAsia"/>
          <w:lang w:eastAsia="zh-CN"/>
        </w:rPr>
        <w:tab/>
      </w:r>
      <w:r w:rsidRPr="00C15E51">
        <w:rPr>
          <w:rFonts w:hint="eastAsia"/>
          <w:b/>
          <w:bCs/>
          <w:lang w:eastAsia="zh-CN"/>
        </w:rPr>
        <w:t>可行性</w:t>
      </w:r>
      <w:r>
        <w:rPr>
          <w:rFonts w:hint="eastAsia"/>
          <w:lang w:eastAsia="zh-CN"/>
        </w:rPr>
        <w:t xml:space="preserve"> </w:t>
      </w:r>
      <w:r>
        <w:rPr>
          <w:lang w:eastAsia="zh-CN"/>
        </w:rPr>
        <w:t>–</w:t>
      </w:r>
      <w:r>
        <w:rPr>
          <w:rFonts w:hint="eastAsia"/>
          <w:lang w:eastAsia="zh-CN"/>
        </w:rPr>
        <w:t xml:space="preserve"> </w:t>
      </w:r>
      <w:r>
        <w:rPr>
          <w:rFonts w:hint="eastAsia"/>
          <w:lang w:eastAsia="zh-CN"/>
        </w:rPr>
        <w:t>可获得足够资源建立办事处</w:t>
      </w:r>
      <w:r w:rsidR="00A6252D">
        <w:rPr>
          <w:rFonts w:hint="eastAsia"/>
          <w:lang w:eastAsia="zh-CN"/>
        </w:rPr>
        <w:t>，</w:t>
      </w:r>
      <w:r>
        <w:rPr>
          <w:rFonts w:hint="eastAsia"/>
          <w:lang w:eastAsia="zh-CN"/>
        </w:rPr>
        <w:t>并在较长时间内支持最低</w:t>
      </w:r>
      <w:r w:rsidR="00A6252D">
        <w:rPr>
          <w:rFonts w:hint="eastAsia"/>
          <w:lang w:eastAsia="zh-CN"/>
        </w:rPr>
        <w:t>限度</w:t>
      </w:r>
      <w:r>
        <w:rPr>
          <w:rFonts w:hint="eastAsia"/>
          <w:lang w:eastAsia="zh-CN"/>
        </w:rPr>
        <w:t>的技术技能，而且东道国有资源和承诺履行设在国际电联代表处所需的义务。</w:t>
      </w:r>
    </w:p>
    <w:p w14:paraId="74C63560" w14:textId="545570C2" w:rsidR="00C337EE" w:rsidRDefault="00C337EE" w:rsidP="00C337EE">
      <w:pPr>
        <w:pStyle w:val="enumlev1"/>
        <w:rPr>
          <w:lang w:eastAsia="zh-CN"/>
        </w:rPr>
      </w:pPr>
      <w:r>
        <w:rPr>
          <w:lang w:eastAsia="zh-CN"/>
        </w:rPr>
        <w:t>•</w:t>
      </w:r>
      <w:r>
        <w:rPr>
          <w:rFonts w:hint="eastAsia"/>
          <w:lang w:eastAsia="zh-CN"/>
        </w:rPr>
        <w:tab/>
      </w:r>
      <w:r w:rsidRPr="00C15E51">
        <w:rPr>
          <w:rFonts w:hint="eastAsia"/>
          <w:b/>
          <w:bCs/>
          <w:lang w:eastAsia="zh-CN"/>
        </w:rPr>
        <w:t>安全</w:t>
      </w:r>
      <w:r w:rsidR="00A6252D">
        <w:rPr>
          <w:rFonts w:hint="eastAsia"/>
          <w:b/>
          <w:bCs/>
          <w:lang w:eastAsia="zh-CN"/>
        </w:rPr>
        <w:t>性</w:t>
      </w:r>
      <w:r>
        <w:rPr>
          <w:rFonts w:hint="eastAsia"/>
          <w:lang w:eastAsia="zh-CN"/>
        </w:rPr>
        <w:t xml:space="preserve"> </w:t>
      </w:r>
      <w:r>
        <w:rPr>
          <w:lang w:eastAsia="zh-CN"/>
        </w:rPr>
        <w:t>–</w:t>
      </w:r>
      <w:r>
        <w:rPr>
          <w:rFonts w:hint="eastAsia"/>
          <w:lang w:eastAsia="zh-CN"/>
        </w:rPr>
        <w:t xml:space="preserve"> </w:t>
      </w:r>
      <w:r w:rsidR="00907663" w:rsidRPr="00907663">
        <w:rPr>
          <w:rFonts w:hint="eastAsia"/>
          <w:lang w:eastAsia="zh-CN"/>
        </w:rPr>
        <w:t>联合国安全和安保部</w:t>
      </w:r>
      <w:r w:rsidR="00907663">
        <w:rPr>
          <w:rFonts w:hint="eastAsia"/>
          <w:lang w:eastAsia="zh-CN"/>
        </w:rPr>
        <w:t>（</w:t>
      </w:r>
      <w:r>
        <w:rPr>
          <w:rFonts w:hint="eastAsia"/>
          <w:lang w:eastAsia="zh-CN"/>
        </w:rPr>
        <w:t>UNDSS</w:t>
      </w:r>
      <w:r w:rsidR="00907663">
        <w:rPr>
          <w:rFonts w:hint="eastAsia"/>
          <w:lang w:eastAsia="zh-CN"/>
        </w:rPr>
        <w:t>）</w:t>
      </w:r>
      <w:r>
        <w:rPr>
          <w:rFonts w:hint="eastAsia"/>
          <w:lang w:eastAsia="zh-CN"/>
        </w:rPr>
        <w:t>应对该地点的低安全级别进行评估，即该地点不得对职员安全和业务连续性构成任何具体威胁。</w:t>
      </w:r>
    </w:p>
    <w:p w14:paraId="72FAA114" w14:textId="0FFC0613" w:rsidR="00C337EE" w:rsidRDefault="00C337EE" w:rsidP="00C337EE">
      <w:pPr>
        <w:pStyle w:val="enumlev1"/>
        <w:rPr>
          <w:lang w:eastAsia="zh-CN"/>
        </w:rPr>
      </w:pPr>
      <w:r>
        <w:rPr>
          <w:lang w:eastAsia="zh-CN"/>
        </w:rPr>
        <w:t>•</w:t>
      </w:r>
      <w:r>
        <w:rPr>
          <w:rFonts w:hint="eastAsia"/>
          <w:lang w:eastAsia="zh-CN"/>
        </w:rPr>
        <w:tab/>
      </w:r>
      <w:r w:rsidRPr="00C15E51">
        <w:rPr>
          <w:rFonts w:hint="eastAsia"/>
          <w:b/>
          <w:bCs/>
          <w:lang w:eastAsia="zh-CN"/>
        </w:rPr>
        <w:t>邻近</w:t>
      </w:r>
      <w:r w:rsidR="00A6252D">
        <w:rPr>
          <w:rFonts w:hint="eastAsia"/>
          <w:b/>
          <w:bCs/>
          <w:lang w:eastAsia="zh-CN"/>
        </w:rPr>
        <w:t>性</w:t>
      </w:r>
      <w:r>
        <w:rPr>
          <w:rFonts w:hint="eastAsia"/>
          <w:lang w:eastAsia="zh-CN"/>
        </w:rPr>
        <w:t xml:space="preserve"> </w:t>
      </w:r>
      <w:r>
        <w:rPr>
          <w:lang w:eastAsia="zh-CN"/>
        </w:rPr>
        <w:t>–</w:t>
      </w:r>
      <w:r>
        <w:rPr>
          <w:rFonts w:hint="eastAsia"/>
          <w:lang w:eastAsia="zh-CN"/>
        </w:rPr>
        <w:t xml:space="preserve"> </w:t>
      </w:r>
      <w:r>
        <w:rPr>
          <w:rFonts w:hint="eastAsia"/>
          <w:lang w:eastAsia="zh-CN"/>
        </w:rPr>
        <w:t>有效地理邻近有需要的国家，特别是最不发达国家、内陆发展中国家、小岛屿发展中国家，并方便访问其他联合国机构和</w:t>
      </w:r>
      <w:r>
        <w:rPr>
          <w:rFonts w:hint="eastAsia"/>
          <w:lang w:eastAsia="zh-CN"/>
        </w:rPr>
        <w:t>/</w:t>
      </w:r>
      <w:r>
        <w:rPr>
          <w:rFonts w:hint="eastAsia"/>
          <w:lang w:eastAsia="zh-CN"/>
        </w:rPr>
        <w:t>或区域电信组织的区域或次区域中心。</w:t>
      </w:r>
    </w:p>
    <w:p w14:paraId="14026A30" w14:textId="107D2210" w:rsidR="00C337EE" w:rsidRDefault="00C337EE" w:rsidP="00C337EE">
      <w:pPr>
        <w:pStyle w:val="enumlev1"/>
        <w:rPr>
          <w:lang w:eastAsia="zh-CN"/>
        </w:rPr>
      </w:pPr>
      <w:r>
        <w:rPr>
          <w:lang w:eastAsia="zh-CN"/>
        </w:rPr>
        <w:t>•</w:t>
      </w:r>
      <w:r>
        <w:rPr>
          <w:rFonts w:hint="eastAsia"/>
          <w:lang w:eastAsia="zh-CN"/>
        </w:rPr>
        <w:tab/>
      </w:r>
      <w:r w:rsidRPr="00C15E51">
        <w:rPr>
          <w:rFonts w:hint="eastAsia"/>
          <w:b/>
          <w:bCs/>
          <w:lang w:eastAsia="zh-CN"/>
        </w:rPr>
        <w:t>可达性</w:t>
      </w:r>
      <w:r>
        <w:rPr>
          <w:rFonts w:hint="eastAsia"/>
          <w:lang w:eastAsia="zh-CN"/>
        </w:rPr>
        <w:t xml:space="preserve"> </w:t>
      </w:r>
      <w:r>
        <w:rPr>
          <w:lang w:eastAsia="zh-CN"/>
        </w:rPr>
        <w:t>–</w:t>
      </w:r>
      <w:r>
        <w:rPr>
          <w:rFonts w:hint="eastAsia"/>
          <w:lang w:eastAsia="zh-CN"/>
        </w:rPr>
        <w:t xml:space="preserve"> </w:t>
      </w:r>
      <w:r>
        <w:rPr>
          <w:rFonts w:hint="eastAsia"/>
          <w:lang w:eastAsia="zh-CN"/>
        </w:rPr>
        <w:t>建议的位置提供通往航空公司枢纽的通道，该枢纽拥有广泛的国际连接（便于外部访问）以及与次区域其他国家的直接连接。</w:t>
      </w:r>
    </w:p>
    <w:p w14:paraId="3BB078E6" w14:textId="77777777" w:rsidR="00C337EE" w:rsidRDefault="00C337EE" w:rsidP="00C337EE">
      <w:pPr>
        <w:rPr>
          <w:lang w:eastAsia="zh-CN"/>
        </w:rPr>
      </w:pPr>
      <w:r>
        <w:rPr>
          <w:rFonts w:hint="eastAsia"/>
          <w:lang w:eastAsia="zh-CN"/>
        </w:rPr>
        <w:lastRenderedPageBreak/>
        <w:t>2.1.4</w:t>
      </w:r>
      <w:r>
        <w:rPr>
          <w:rFonts w:hint="eastAsia"/>
          <w:lang w:eastAsia="zh-CN"/>
        </w:rPr>
        <w:tab/>
      </w:r>
      <w:r>
        <w:rPr>
          <w:rFonts w:hint="eastAsia"/>
          <w:lang w:eastAsia="zh-CN"/>
        </w:rPr>
        <w:t>在确定有必要增加国际电联代表处并确定其可能的位置之后，应确定存在的形式。这可能涉及开设新的区域代表处或地区办事处，或与其它国际机构或实体合作，以增加国际电联在该地区的活动。</w:t>
      </w:r>
    </w:p>
    <w:p w14:paraId="7C1AD1A3" w14:textId="6D3D8B5A" w:rsidR="00C337EE" w:rsidRDefault="00C337EE" w:rsidP="00C337EE">
      <w:pPr>
        <w:pStyle w:val="Heading2"/>
        <w:rPr>
          <w:lang w:eastAsia="zh-CN"/>
        </w:rPr>
      </w:pPr>
      <w:r>
        <w:rPr>
          <w:rFonts w:hint="eastAsia"/>
          <w:lang w:eastAsia="zh-CN"/>
        </w:rPr>
        <w:t>2.2</w:t>
      </w:r>
      <w:r>
        <w:rPr>
          <w:rFonts w:hint="eastAsia"/>
          <w:lang w:eastAsia="zh-CN"/>
        </w:rPr>
        <w:tab/>
      </w:r>
      <w:r w:rsidR="002A033D" w:rsidRPr="002A033D">
        <w:rPr>
          <w:rFonts w:eastAsia="Times New Roman"/>
          <w:bCs/>
          <w:szCs w:val="24"/>
        </w:rPr>
        <w:t>CWG-FHR-16/24(Rev.1)</w:t>
      </w:r>
    </w:p>
    <w:p w14:paraId="2BE9625C" w14:textId="6812EFAF" w:rsidR="00C337EE" w:rsidRDefault="00C337EE" w:rsidP="00C337EE">
      <w:pPr>
        <w:rPr>
          <w:lang w:eastAsia="zh-CN"/>
        </w:rPr>
      </w:pPr>
      <w:r>
        <w:rPr>
          <w:rFonts w:hint="eastAsia"/>
          <w:lang w:eastAsia="zh-CN"/>
        </w:rPr>
        <w:t>2.2.1</w:t>
      </w:r>
      <w:r>
        <w:rPr>
          <w:rFonts w:hint="eastAsia"/>
          <w:lang w:eastAsia="zh-CN"/>
        </w:rPr>
        <w:tab/>
      </w:r>
      <w:r>
        <w:rPr>
          <w:rFonts w:hint="eastAsia"/>
          <w:lang w:eastAsia="zh-CN"/>
        </w:rPr>
        <w:t>文件指出，区域代表处在完成国际电联的使命、增强国际电联对当地情况的了解和有效响应各国需求方面发挥着至关重要的作用，尤其国际电联区域代表处和地区办事处的作用是在许多领域向区域内的国家提供帮助，例如项目执行和跟进，其中包括与区域性举措、缩小标准化工作差距、与频率管理相关的能力建设、各区域有关国际电联活动的最新情况以及加强与区域性电信组织的协作等相关的举措。</w:t>
      </w:r>
    </w:p>
    <w:p w14:paraId="336F3EE9" w14:textId="77777777" w:rsidR="00C337EE" w:rsidRDefault="00C337EE" w:rsidP="00C337EE">
      <w:pPr>
        <w:rPr>
          <w:lang w:eastAsia="zh-CN"/>
        </w:rPr>
      </w:pPr>
      <w:r>
        <w:rPr>
          <w:rFonts w:hint="eastAsia"/>
          <w:lang w:eastAsia="zh-CN"/>
        </w:rPr>
        <w:t>2.</w:t>
      </w:r>
      <w:proofErr w:type="gramStart"/>
      <w:r>
        <w:rPr>
          <w:rFonts w:hint="eastAsia"/>
          <w:lang w:eastAsia="zh-CN"/>
        </w:rPr>
        <w:t>2.2</w:t>
      </w:r>
      <w:r>
        <w:rPr>
          <w:rFonts w:hint="eastAsia"/>
          <w:lang w:eastAsia="zh-CN"/>
        </w:rPr>
        <w:tab/>
      </w:r>
      <w:r>
        <w:rPr>
          <w:rFonts w:hint="eastAsia"/>
          <w:lang w:eastAsia="zh-CN"/>
        </w:rPr>
        <w:t>本文件阐述了有关国际电联发展部门通过区域代表处提供的支持的观点。报告指出</w:t>
      </w:r>
      <w:proofErr w:type="gramEnd"/>
      <w:r>
        <w:rPr>
          <w:rFonts w:hint="eastAsia"/>
          <w:lang w:eastAsia="zh-CN"/>
        </w:rPr>
        <w:t>，为加强区域代表性而提出的大多数建议已经落实或正在取得进展，而且自</w:t>
      </w:r>
      <w:r>
        <w:rPr>
          <w:rFonts w:hint="eastAsia"/>
          <w:lang w:eastAsia="zh-CN"/>
        </w:rPr>
        <w:t>2019</w:t>
      </w:r>
      <w:r>
        <w:rPr>
          <w:rFonts w:hint="eastAsia"/>
          <w:lang w:eastAsia="zh-CN"/>
        </w:rPr>
        <w:t>年以来成果稳步改善。</w:t>
      </w:r>
    </w:p>
    <w:p w14:paraId="4DCD422A" w14:textId="77777777" w:rsidR="00C337EE" w:rsidRDefault="00C337EE" w:rsidP="00C337EE">
      <w:pPr>
        <w:rPr>
          <w:lang w:eastAsia="zh-CN"/>
        </w:rPr>
      </w:pPr>
      <w:r>
        <w:rPr>
          <w:rFonts w:hint="eastAsia"/>
          <w:lang w:eastAsia="zh-CN"/>
        </w:rPr>
        <w:t>2.2.3</w:t>
      </w:r>
      <w:r>
        <w:rPr>
          <w:rFonts w:hint="eastAsia"/>
          <w:lang w:eastAsia="zh-CN"/>
        </w:rPr>
        <w:tab/>
      </w:r>
      <w:r>
        <w:rPr>
          <w:rFonts w:hint="eastAsia"/>
          <w:lang w:eastAsia="zh-CN"/>
        </w:rPr>
        <w:t>该文件提出如下提案：</w:t>
      </w:r>
    </w:p>
    <w:p w14:paraId="56703713" w14:textId="77777777" w:rsidR="00C337EE" w:rsidRDefault="00C337EE" w:rsidP="00C337EE">
      <w:pPr>
        <w:pStyle w:val="enumlev1"/>
        <w:rPr>
          <w:lang w:eastAsia="zh-CN"/>
        </w:rPr>
      </w:pPr>
      <w:r>
        <w:rPr>
          <w:rFonts w:hint="eastAsia"/>
          <w:lang w:eastAsia="zh-CN"/>
        </w:rPr>
        <w:t>1)</w:t>
      </w:r>
      <w:r>
        <w:rPr>
          <w:rFonts w:hint="eastAsia"/>
          <w:lang w:eastAsia="zh-CN"/>
        </w:rPr>
        <w:tab/>
      </w:r>
      <w:r>
        <w:rPr>
          <w:rFonts w:hint="eastAsia"/>
          <w:lang w:eastAsia="zh-CN"/>
        </w:rPr>
        <w:t>设立地区办事处应综合考虑各种因素，包括东道国的意愿、相关地区的需求、可用财务资源、地理代表性等，并应考虑到以往的经验。</w:t>
      </w:r>
    </w:p>
    <w:p w14:paraId="29FDAA5F" w14:textId="77777777" w:rsidR="00C337EE" w:rsidRDefault="00C337EE" w:rsidP="00C337EE">
      <w:pPr>
        <w:pStyle w:val="enumlev1"/>
        <w:rPr>
          <w:lang w:eastAsia="zh-CN"/>
        </w:rPr>
      </w:pPr>
      <w:r>
        <w:rPr>
          <w:rFonts w:hint="eastAsia"/>
          <w:lang w:eastAsia="zh-CN"/>
        </w:rPr>
        <w:t>2)</w:t>
      </w:r>
      <w:r>
        <w:rPr>
          <w:rFonts w:hint="eastAsia"/>
          <w:lang w:eastAsia="zh-CN"/>
        </w:rPr>
        <w:tab/>
      </w:r>
      <w:r>
        <w:rPr>
          <w:rFonts w:hint="eastAsia"/>
          <w:lang w:eastAsia="zh-CN"/>
        </w:rPr>
        <w:t>考虑到电信发展局负责区域代表处和地区办事处，应由</w:t>
      </w:r>
      <w:r>
        <w:rPr>
          <w:rFonts w:hint="eastAsia"/>
          <w:lang w:eastAsia="zh-CN"/>
        </w:rPr>
        <w:t>TDAG</w:t>
      </w:r>
      <w:r>
        <w:rPr>
          <w:rFonts w:hint="eastAsia"/>
          <w:lang w:eastAsia="zh-CN"/>
        </w:rPr>
        <w:t>和未来理事会全面审议和讨论设立地区办事处的标准，以便调查并充分了解在为成员国提供服务方面可能存在的差距，提出每个区域相应的程序和必要的标准和指标，同时报告给未来的理事会批准。</w:t>
      </w:r>
    </w:p>
    <w:p w14:paraId="037DC985" w14:textId="77777777" w:rsidR="00C337EE" w:rsidRDefault="00C337EE" w:rsidP="00C337EE">
      <w:pPr>
        <w:pStyle w:val="enumlev1"/>
        <w:rPr>
          <w:lang w:eastAsia="zh-CN"/>
        </w:rPr>
      </w:pPr>
      <w:r>
        <w:rPr>
          <w:rFonts w:hint="eastAsia"/>
          <w:lang w:eastAsia="zh-CN"/>
        </w:rPr>
        <w:t>3)</w:t>
      </w:r>
      <w:r>
        <w:rPr>
          <w:rFonts w:hint="eastAsia"/>
          <w:lang w:eastAsia="zh-CN"/>
        </w:rPr>
        <w:tab/>
      </w:r>
      <w:r>
        <w:rPr>
          <w:rFonts w:hint="eastAsia"/>
          <w:lang w:eastAsia="zh-CN"/>
        </w:rPr>
        <w:t>设立地区办事处的主要目的是为需要援助的成员国提供更好的服务。任何拟制定的设立地区办事处的标准都应实现这一目标。</w:t>
      </w:r>
    </w:p>
    <w:p w14:paraId="311AC970" w14:textId="1CC78C2A" w:rsidR="00C15E51" w:rsidRPr="0078480B" w:rsidRDefault="00C337EE" w:rsidP="00C15E51">
      <w:pPr>
        <w:pStyle w:val="enumlev1"/>
        <w:rPr>
          <w:lang w:eastAsia="zh-CN"/>
        </w:rPr>
      </w:pPr>
      <w:r>
        <w:rPr>
          <w:rFonts w:hint="eastAsia"/>
          <w:lang w:eastAsia="zh-CN"/>
        </w:rPr>
        <w:t>4)</w:t>
      </w:r>
      <w:r>
        <w:rPr>
          <w:rFonts w:hint="eastAsia"/>
          <w:lang w:eastAsia="zh-CN"/>
        </w:rPr>
        <w:tab/>
      </w:r>
      <w:r>
        <w:rPr>
          <w:rFonts w:hint="eastAsia"/>
          <w:lang w:eastAsia="zh-CN"/>
        </w:rPr>
        <w:t>设立地区办事处应考虑到所服务国家的社会和经济发展，尤其应优先考虑为最不发达国家（</w:t>
      </w:r>
      <w:r>
        <w:rPr>
          <w:rFonts w:hint="eastAsia"/>
          <w:lang w:eastAsia="zh-CN"/>
        </w:rPr>
        <w:t>LDC</w:t>
      </w:r>
      <w:r>
        <w:rPr>
          <w:rFonts w:hint="eastAsia"/>
          <w:lang w:eastAsia="zh-CN"/>
        </w:rPr>
        <w:t>）服务的地区办事处。</w:t>
      </w:r>
    </w:p>
    <w:p w14:paraId="0257F12E" w14:textId="77777777" w:rsidR="00F00027" w:rsidRDefault="00F00027" w:rsidP="00411C49">
      <w:pPr>
        <w:pStyle w:val="Reasons"/>
      </w:pPr>
    </w:p>
    <w:p w14:paraId="02CC28B7" w14:textId="77777777" w:rsidR="00F00027" w:rsidRDefault="00F00027">
      <w:pPr>
        <w:jc w:val="center"/>
      </w:pPr>
      <w:r>
        <w:t>______________</w:t>
      </w:r>
    </w:p>
    <w:sectPr w:rsidR="00F00027" w:rsidSect="00E24D59">
      <w:footerReference w:type="default" r:id="rId13"/>
      <w:headerReference w:type="first" r:id="rId14"/>
      <w:footerReference w:type="first" r:id="rId15"/>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2C780" w14:textId="77777777" w:rsidR="003D3CF3" w:rsidRDefault="003D3CF3">
      <w:r>
        <w:separator/>
      </w:r>
    </w:p>
  </w:endnote>
  <w:endnote w:type="continuationSeparator" w:id="0">
    <w:p w14:paraId="2E77776A" w14:textId="77777777" w:rsidR="003D3CF3" w:rsidRDefault="003D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华文楷体"/>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050F77B8" w14:textId="77777777" w:rsidTr="00E31DCE">
      <w:trPr>
        <w:jc w:val="center"/>
      </w:trPr>
      <w:tc>
        <w:tcPr>
          <w:tcW w:w="1803" w:type="dxa"/>
          <w:vAlign w:val="center"/>
        </w:tcPr>
        <w:p w14:paraId="3281C4C8" w14:textId="00913083" w:rsidR="00E24D59" w:rsidRDefault="00964212" w:rsidP="00E24D59">
          <w:pPr>
            <w:pStyle w:val="Header"/>
            <w:jc w:val="left"/>
            <w:rPr>
              <w:noProof/>
            </w:rPr>
          </w:pPr>
          <w:r>
            <w:rPr>
              <w:noProof/>
            </w:rPr>
            <w:t>R2400669</w:t>
          </w:r>
        </w:p>
      </w:tc>
      <w:tc>
        <w:tcPr>
          <w:tcW w:w="8261" w:type="dxa"/>
        </w:tcPr>
        <w:p w14:paraId="3766FD48" w14:textId="2806CF70"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337EE">
            <w:rPr>
              <w:bCs/>
            </w:rPr>
            <w:t>66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3D70890A" w14:textId="77777777" w:rsidR="00B40A53" w:rsidRPr="00E24D59" w:rsidRDefault="00B40A53" w:rsidP="00E24D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24D59" w:rsidRPr="00784011" w14:paraId="266AF1E2" w14:textId="77777777" w:rsidTr="00E31DCE">
      <w:trPr>
        <w:jc w:val="center"/>
      </w:trPr>
      <w:tc>
        <w:tcPr>
          <w:tcW w:w="1803" w:type="dxa"/>
          <w:vAlign w:val="center"/>
        </w:tcPr>
        <w:p w14:paraId="364B6EAF" w14:textId="77777777" w:rsidR="00E24D59" w:rsidRDefault="00E24D59" w:rsidP="00E24D59">
          <w:pPr>
            <w:pStyle w:val="Header"/>
            <w:jc w:val="left"/>
            <w:rPr>
              <w:noProof/>
            </w:rPr>
          </w:pPr>
          <w:r w:rsidRPr="00B93453">
            <w:rPr>
              <w:color w:val="0563C1"/>
              <w:szCs w:val="14"/>
            </w:rPr>
            <w:t>www.itu.int/council</w:t>
          </w:r>
        </w:p>
      </w:tc>
      <w:tc>
        <w:tcPr>
          <w:tcW w:w="8261" w:type="dxa"/>
        </w:tcPr>
        <w:p w14:paraId="06E1FB1B" w14:textId="57E8104D" w:rsidR="00E24D59" w:rsidRPr="00E06FD5" w:rsidRDefault="00E24D59" w:rsidP="00E24D5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w:t>
          </w:r>
          <w:r w:rsidR="00B93453">
            <w:rPr>
              <w:bCs/>
            </w:rPr>
            <w:t>4</w:t>
          </w:r>
          <w:r w:rsidRPr="00623AE3">
            <w:rPr>
              <w:bCs/>
            </w:rPr>
            <w:t>/</w:t>
          </w:r>
          <w:r w:rsidR="00C337EE">
            <w:rPr>
              <w:bCs/>
            </w:rPr>
            <w:t>66</w:t>
          </w:r>
          <w:r w:rsidRPr="00623AE3">
            <w:rPr>
              <w:bCs/>
            </w:rPr>
            <w:t>-</w:t>
          </w:r>
          <w:r>
            <w:rPr>
              <w:bCs/>
            </w:rPr>
            <w:t>C</w:t>
          </w:r>
          <w:r>
            <w:rPr>
              <w:bCs/>
            </w:rPr>
            <w:tab/>
          </w:r>
          <w:r>
            <w:fldChar w:fldCharType="begin"/>
          </w:r>
          <w:r>
            <w:instrText>PAGE</w:instrText>
          </w:r>
          <w:r>
            <w:fldChar w:fldCharType="separate"/>
          </w:r>
          <w:r>
            <w:t>1</w:t>
          </w:r>
          <w:r>
            <w:rPr>
              <w:noProof/>
            </w:rPr>
            <w:fldChar w:fldCharType="end"/>
          </w:r>
        </w:p>
      </w:tc>
    </w:tr>
  </w:tbl>
  <w:p w14:paraId="6FCE31FB" w14:textId="77777777" w:rsidR="00AC516F" w:rsidRPr="00E24D59" w:rsidRDefault="00AC516F" w:rsidP="00E24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076F9" w14:textId="77777777" w:rsidR="003D3CF3" w:rsidRDefault="003D3CF3">
      <w:r>
        <w:t>____________________</w:t>
      </w:r>
    </w:p>
  </w:footnote>
  <w:footnote w:type="continuationSeparator" w:id="0">
    <w:p w14:paraId="6EDED7AD" w14:textId="77777777" w:rsidR="003D3CF3" w:rsidRDefault="003D3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E24D59" w:rsidRPr="00784011" w14:paraId="21D5992A" w14:textId="77777777" w:rsidTr="00E31DCE">
      <w:trPr>
        <w:trHeight w:val="1104"/>
        <w:jc w:val="center"/>
      </w:trPr>
      <w:tc>
        <w:tcPr>
          <w:tcW w:w="4390" w:type="dxa"/>
          <w:vAlign w:val="center"/>
        </w:tcPr>
        <w:p w14:paraId="17263AFF" w14:textId="77777777" w:rsidR="00E24D59" w:rsidRPr="009621F8" w:rsidRDefault="00B93453" w:rsidP="00E24D59">
          <w:pPr>
            <w:pStyle w:val="Header"/>
            <w:jc w:val="left"/>
            <w:rPr>
              <w:rFonts w:ascii="Arial" w:hAnsi="Arial" w:cs="Arial"/>
              <w:b/>
              <w:bCs/>
              <w:color w:val="009CD6"/>
              <w:sz w:val="36"/>
              <w:szCs w:val="36"/>
            </w:rPr>
          </w:pPr>
          <w:bookmarkStart w:id="7" w:name="_Hlk133422111"/>
          <w:r>
            <w:rPr>
              <w:noProof/>
            </w:rPr>
            <w:drawing>
              <wp:inline distT="0" distB="0" distL="0" distR="0" wp14:anchorId="074B78E2" wp14:editId="75691FFC">
                <wp:extent cx="1987200" cy="558000"/>
                <wp:effectExtent l="0" t="0" r="0" b="0"/>
                <wp:docPr id="118978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200" cy="558000"/>
                        </a:xfrm>
                        <a:prstGeom prst="rect">
                          <a:avLst/>
                        </a:prstGeom>
                        <a:noFill/>
                        <a:ln>
                          <a:noFill/>
                        </a:ln>
                      </pic:spPr>
                    </pic:pic>
                  </a:graphicData>
                </a:graphic>
              </wp:inline>
            </w:drawing>
          </w:r>
        </w:p>
      </w:tc>
      <w:tc>
        <w:tcPr>
          <w:tcW w:w="5630" w:type="dxa"/>
        </w:tcPr>
        <w:p w14:paraId="30B21717" w14:textId="77777777" w:rsidR="00E24D59" w:rsidRDefault="00E24D59" w:rsidP="00E24D59">
          <w:pPr>
            <w:pStyle w:val="Header"/>
            <w:jc w:val="right"/>
            <w:rPr>
              <w:rFonts w:ascii="Arial" w:hAnsi="Arial" w:cs="Arial"/>
              <w:b/>
              <w:bCs/>
              <w:color w:val="009CD6"/>
              <w:szCs w:val="18"/>
            </w:rPr>
          </w:pPr>
        </w:p>
        <w:p w14:paraId="3B2C87A6" w14:textId="77777777" w:rsidR="00E24D59" w:rsidRDefault="00E24D59" w:rsidP="00E24D59">
          <w:pPr>
            <w:pStyle w:val="Header"/>
            <w:jc w:val="right"/>
            <w:rPr>
              <w:rFonts w:ascii="Arial" w:hAnsi="Arial" w:cs="Arial"/>
              <w:b/>
              <w:bCs/>
              <w:color w:val="009CD6"/>
              <w:szCs w:val="18"/>
            </w:rPr>
          </w:pPr>
        </w:p>
        <w:p w14:paraId="365CD148" w14:textId="77777777" w:rsidR="00E24D59" w:rsidRPr="00784011" w:rsidRDefault="00E24D59" w:rsidP="00E24D5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7"/>
  <w:p w14:paraId="1A61AA37" w14:textId="77777777" w:rsidR="00E24D59" w:rsidRDefault="00E24D59">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5CFCF4FD" wp14:editId="6F4F8438">
              <wp:simplePos x="0" y="0"/>
              <wp:positionH relativeFrom="page">
                <wp:posOffset>22225</wp:posOffset>
              </wp:positionH>
              <wp:positionV relativeFrom="topMargin">
                <wp:posOffset>617694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5B0D4" id="Rectangle 5" o:spid="_x0000_s1026" style="position:absolute;margin-left:1.75pt;margin-top:48.6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EC5727"/>
    <w:multiLevelType w:val="hybridMultilevel"/>
    <w:tmpl w:val="527829E6"/>
    <w:lvl w:ilvl="0" w:tplc="BFBE972E">
      <w:start w:val="1"/>
      <w:numFmt w:val="decimal"/>
      <w:lvlText w:val="%1)"/>
      <w:lvlJc w:val="left"/>
      <w:pPr>
        <w:ind w:left="1155" w:hanging="79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B41617C"/>
    <w:multiLevelType w:val="hybridMultilevel"/>
    <w:tmpl w:val="4E745178"/>
    <w:lvl w:ilvl="0" w:tplc="D8AA70EE">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6"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79449368">
    <w:abstractNumId w:val="0"/>
  </w:num>
  <w:num w:numId="2" w16cid:durableId="501241818">
    <w:abstractNumId w:val="3"/>
  </w:num>
  <w:num w:numId="3" w16cid:durableId="371539808">
    <w:abstractNumId w:val="4"/>
  </w:num>
  <w:num w:numId="4" w16cid:durableId="1525828948">
    <w:abstractNumId w:val="6"/>
  </w:num>
  <w:num w:numId="5" w16cid:durableId="2033219779">
    <w:abstractNumId w:val="8"/>
  </w:num>
  <w:num w:numId="6" w16cid:durableId="349645790">
    <w:abstractNumId w:val="7"/>
  </w:num>
  <w:num w:numId="7" w16cid:durableId="1451586466">
    <w:abstractNumId w:val="2"/>
  </w:num>
  <w:num w:numId="8" w16cid:durableId="154344639">
    <w:abstractNumId w:val="5"/>
    <w:lvlOverride w:ilvl="0">
      <w:lvl w:ilvl="0" w:tplc="D8AA70EE">
        <w:start w:val="1"/>
        <w:numFmt w:val="bullet"/>
        <w:lvlText w:val=""/>
        <w:lvlJc w:val="left"/>
        <w:pPr>
          <w:ind w:left="360" w:hanging="360"/>
        </w:pPr>
        <w:rPr>
          <w:rFonts w:ascii="Symbol" w:hAnsi="Symbol" w:hint="default"/>
        </w:rPr>
      </w:lvl>
    </w:lvlOverride>
  </w:num>
  <w:num w:numId="9" w16cid:durableId="2209495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D5"/>
    <w:rsid w:val="00001B77"/>
    <w:rsid w:val="0000517A"/>
    <w:rsid w:val="00031E72"/>
    <w:rsid w:val="000404D2"/>
    <w:rsid w:val="000853C0"/>
    <w:rsid w:val="0009409E"/>
    <w:rsid w:val="000A1C21"/>
    <w:rsid w:val="000C0BC5"/>
    <w:rsid w:val="000D15EA"/>
    <w:rsid w:val="00100D84"/>
    <w:rsid w:val="00124C9D"/>
    <w:rsid w:val="00157773"/>
    <w:rsid w:val="0018251A"/>
    <w:rsid w:val="00190272"/>
    <w:rsid w:val="00193244"/>
    <w:rsid w:val="00195C6C"/>
    <w:rsid w:val="00195FED"/>
    <w:rsid w:val="001A4BD6"/>
    <w:rsid w:val="001D5A18"/>
    <w:rsid w:val="001E5350"/>
    <w:rsid w:val="00224449"/>
    <w:rsid w:val="00280EB8"/>
    <w:rsid w:val="002A033D"/>
    <w:rsid w:val="002A6670"/>
    <w:rsid w:val="00303502"/>
    <w:rsid w:val="00325C25"/>
    <w:rsid w:val="00372C8F"/>
    <w:rsid w:val="00380ECE"/>
    <w:rsid w:val="00393DDF"/>
    <w:rsid w:val="00397F55"/>
    <w:rsid w:val="003B4454"/>
    <w:rsid w:val="003C2E37"/>
    <w:rsid w:val="003D3CF3"/>
    <w:rsid w:val="003F1415"/>
    <w:rsid w:val="0040144C"/>
    <w:rsid w:val="00403EB7"/>
    <w:rsid w:val="00430BF0"/>
    <w:rsid w:val="004672E6"/>
    <w:rsid w:val="00474ED1"/>
    <w:rsid w:val="00493085"/>
    <w:rsid w:val="004A36EC"/>
    <w:rsid w:val="004D163F"/>
    <w:rsid w:val="004D281E"/>
    <w:rsid w:val="004E4BFF"/>
    <w:rsid w:val="004F2598"/>
    <w:rsid w:val="005403F7"/>
    <w:rsid w:val="00540632"/>
    <w:rsid w:val="00541CF4"/>
    <w:rsid w:val="005451E8"/>
    <w:rsid w:val="005507F2"/>
    <w:rsid w:val="005759CC"/>
    <w:rsid w:val="005A72E1"/>
    <w:rsid w:val="005C6632"/>
    <w:rsid w:val="005D1C9E"/>
    <w:rsid w:val="00630DD5"/>
    <w:rsid w:val="00654257"/>
    <w:rsid w:val="0065435A"/>
    <w:rsid w:val="006A2DD3"/>
    <w:rsid w:val="006A5AF8"/>
    <w:rsid w:val="006C36CD"/>
    <w:rsid w:val="00700D1F"/>
    <w:rsid w:val="007205CB"/>
    <w:rsid w:val="00726073"/>
    <w:rsid w:val="00734FE8"/>
    <w:rsid w:val="007360CE"/>
    <w:rsid w:val="00772315"/>
    <w:rsid w:val="00775157"/>
    <w:rsid w:val="007813AE"/>
    <w:rsid w:val="007A37DB"/>
    <w:rsid w:val="007E189D"/>
    <w:rsid w:val="007F0210"/>
    <w:rsid w:val="00806E3F"/>
    <w:rsid w:val="00811259"/>
    <w:rsid w:val="00813AA2"/>
    <w:rsid w:val="008173A3"/>
    <w:rsid w:val="008418F5"/>
    <w:rsid w:val="0086059C"/>
    <w:rsid w:val="00864589"/>
    <w:rsid w:val="00874C82"/>
    <w:rsid w:val="00890AFB"/>
    <w:rsid w:val="00890FC4"/>
    <w:rsid w:val="00895905"/>
    <w:rsid w:val="008F64AD"/>
    <w:rsid w:val="00907663"/>
    <w:rsid w:val="00911867"/>
    <w:rsid w:val="009164A9"/>
    <w:rsid w:val="009258CB"/>
    <w:rsid w:val="0093362E"/>
    <w:rsid w:val="00944563"/>
    <w:rsid w:val="00953160"/>
    <w:rsid w:val="009625D8"/>
    <w:rsid w:val="00964212"/>
    <w:rsid w:val="0098459B"/>
    <w:rsid w:val="00997185"/>
    <w:rsid w:val="009B25E6"/>
    <w:rsid w:val="009C2458"/>
    <w:rsid w:val="009C4A7B"/>
    <w:rsid w:val="009C6123"/>
    <w:rsid w:val="009F1E3E"/>
    <w:rsid w:val="00A1213C"/>
    <w:rsid w:val="00A272FF"/>
    <w:rsid w:val="00A5354B"/>
    <w:rsid w:val="00A6252D"/>
    <w:rsid w:val="00A71B57"/>
    <w:rsid w:val="00AB42C1"/>
    <w:rsid w:val="00AC516F"/>
    <w:rsid w:val="00AE195F"/>
    <w:rsid w:val="00AE2926"/>
    <w:rsid w:val="00B0184B"/>
    <w:rsid w:val="00B035CD"/>
    <w:rsid w:val="00B0769D"/>
    <w:rsid w:val="00B217F8"/>
    <w:rsid w:val="00B332EA"/>
    <w:rsid w:val="00B40A53"/>
    <w:rsid w:val="00B45365"/>
    <w:rsid w:val="00B46A65"/>
    <w:rsid w:val="00B60184"/>
    <w:rsid w:val="00B6104D"/>
    <w:rsid w:val="00B62D20"/>
    <w:rsid w:val="00B81E75"/>
    <w:rsid w:val="00B93453"/>
    <w:rsid w:val="00BD0954"/>
    <w:rsid w:val="00BD1A5A"/>
    <w:rsid w:val="00BD7A9B"/>
    <w:rsid w:val="00BD7BE1"/>
    <w:rsid w:val="00BF416B"/>
    <w:rsid w:val="00C15E51"/>
    <w:rsid w:val="00C337EE"/>
    <w:rsid w:val="00C45EB2"/>
    <w:rsid w:val="00C64E4E"/>
    <w:rsid w:val="00C66E64"/>
    <w:rsid w:val="00C761A0"/>
    <w:rsid w:val="00C85F7E"/>
    <w:rsid w:val="00C90D53"/>
    <w:rsid w:val="00CA0B2E"/>
    <w:rsid w:val="00CA6EF7"/>
    <w:rsid w:val="00CD47F0"/>
    <w:rsid w:val="00CD5566"/>
    <w:rsid w:val="00CD64D7"/>
    <w:rsid w:val="00CE6F22"/>
    <w:rsid w:val="00CF41F6"/>
    <w:rsid w:val="00CF7D3E"/>
    <w:rsid w:val="00D02B4E"/>
    <w:rsid w:val="00D21F11"/>
    <w:rsid w:val="00D36817"/>
    <w:rsid w:val="00D453EE"/>
    <w:rsid w:val="00D55870"/>
    <w:rsid w:val="00D5666C"/>
    <w:rsid w:val="00D666BC"/>
    <w:rsid w:val="00D83542"/>
    <w:rsid w:val="00D92F45"/>
    <w:rsid w:val="00D94637"/>
    <w:rsid w:val="00D9725C"/>
    <w:rsid w:val="00DA7006"/>
    <w:rsid w:val="00DB3621"/>
    <w:rsid w:val="00DC6427"/>
    <w:rsid w:val="00DD62F5"/>
    <w:rsid w:val="00DD66A1"/>
    <w:rsid w:val="00DE196D"/>
    <w:rsid w:val="00DE2639"/>
    <w:rsid w:val="00DF6B49"/>
    <w:rsid w:val="00E067C5"/>
    <w:rsid w:val="00E24D59"/>
    <w:rsid w:val="00E265BF"/>
    <w:rsid w:val="00E378D8"/>
    <w:rsid w:val="00E43A12"/>
    <w:rsid w:val="00E67C67"/>
    <w:rsid w:val="00E77476"/>
    <w:rsid w:val="00E8228B"/>
    <w:rsid w:val="00E9523D"/>
    <w:rsid w:val="00EE5706"/>
    <w:rsid w:val="00EF373D"/>
    <w:rsid w:val="00F00027"/>
    <w:rsid w:val="00F11595"/>
    <w:rsid w:val="00F13BC9"/>
    <w:rsid w:val="00F32727"/>
    <w:rsid w:val="00F357B2"/>
    <w:rsid w:val="00F36556"/>
    <w:rsid w:val="00F705DF"/>
    <w:rsid w:val="00F70622"/>
    <w:rsid w:val="00F85624"/>
    <w:rsid w:val="00F87C05"/>
    <w:rsid w:val="00F93191"/>
    <w:rsid w:val="00F93A17"/>
    <w:rsid w:val="00FA2AF6"/>
    <w:rsid w:val="00FB073D"/>
    <w:rsid w:val="00FB771F"/>
    <w:rsid w:val="00FC5386"/>
    <w:rsid w:val="00FD05A2"/>
    <w:rsid w:val="00FE31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AF13A"/>
  <w15:docId w15:val="{C654A07E-FE61-43B1-8EBC-940CDE16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3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HeaderChar">
    <w:name w:val="Header Char"/>
    <w:basedOn w:val="DefaultParagraphFont"/>
    <w:link w:val="Header"/>
    <w:uiPriority w:val="99"/>
    <w:rsid w:val="00E24D59"/>
    <w:rPr>
      <w:rFonts w:ascii="Calibri" w:hAnsi="Calibri"/>
      <w:sz w:val="18"/>
      <w:lang w:val="fr-FR" w:eastAsia="en-US"/>
    </w:rPr>
  </w:style>
  <w:style w:type="paragraph" w:customStyle="1" w:styleId="Subtitle">
    <w:name w:val="Sub_title"/>
    <w:basedOn w:val="Title1"/>
    <w:qFormat/>
    <w:rsid w:val="00E24D59"/>
    <w:pPr>
      <w:framePr w:hSpace="180" w:wrap="around" w:hAnchor="page" w:x="1821" w:y="2317"/>
      <w:spacing w:before="120" w:after="160"/>
      <w:jc w:val="left"/>
    </w:pPr>
    <w:rPr>
      <w:rFonts w:eastAsia="Times New Roman"/>
      <w:caps w:val="0"/>
      <w:sz w:val="34"/>
    </w:rPr>
  </w:style>
  <w:style w:type="character" w:styleId="UnresolvedMention">
    <w:name w:val="Unresolved Mention"/>
    <w:basedOn w:val="DefaultParagraphFont"/>
    <w:uiPriority w:val="99"/>
    <w:semiHidden/>
    <w:unhideWhenUsed/>
    <w:rsid w:val="00C15E51"/>
    <w:rPr>
      <w:color w:val="605E5C"/>
      <w:shd w:val="clear" w:color="auto" w:fill="E1DFDD"/>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C15E51"/>
    <w:rPr>
      <w:rFonts w:ascii="Calibri" w:eastAsia="Times New Roman"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22-TDAG31-C-0021/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meetingdoc.asp?lang=en&amp;parent=S23-CWGFHR16-C-00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meetingdoc.asp?lang=en&amp;parent=S23-CWGFHR16-C-001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tu.int/md/meetingdoc.asp?lang=en&amp;parent=S23-CWGFHR16-C-0024" TargetMode="External"/><Relationship Id="rId4" Type="http://schemas.openxmlformats.org/officeDocument/2006/relationships/settings" Target="settings.xml"/><Relationship Id="rId9" Type="http://schemas.openxmlformats.org/officeDocument/2006/relationships/hyperlink" Target="https://www.itu.int/md/meetingdoc.asp?lang=en&amp;parent=S23-CWGFHR16-C-001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1DCC2-6DDC-49CF-B01C-00AB9A2F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1874</Words>
  <Characters>1084</Characters>
  <Application>Microsoft Office Word</Application>
  <DocSecurity>0</DocSecurity>
  <Lines>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2953</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ITU Council 2024</dc:subject>
  <dc:creator>LIU, Jiayi</dc:creator>
  <cp:keywords>C2024, C24 Council-24</cp:keywords>
  <dc:description/>
  <cp:lastModifiedBy>Brouard, Ricarda</cp:lastModifiedBy>
  <cp:revision>2</cp:revision>
  <cp:lastPrinted>2015-02-24T13:23:00Z</cp:lastPrinted>
  <dcterms:created xsi:type="dcterms:W3CDTF">2024-05-24T09:29:00Z</dcterms:created>
  <dcterms:modified xsi:type="dcterms:W3CDTF">2024-05-24T09:29:00Z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