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EB5F207" w14:textId="77777777" w:rsidTr="00F363FE">
        <w:tc>
          <w:tcPr>
            <w:tcW w:w="6512" w:type="dxa"/>
          </w:tcPr>
          <w:p w14:paraId="6194888A" w14:textId="4B642D64"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F776E2">
              <w:rPr>
                <w:rFonts w:hint="cs"/>
                <w:b/>
                <w:bCs/>
                <w:rtl/>
                <w:lang w:bidi="ar-EG"/>
              </w:rPr>
              <w:t xml:space="preserve"> </w:t>
            </w:r>
            <w:r w:rsidR="00F776E2">
              <w:rPr>
                <w:b/>
                <w:bCs/>
                <w:lang w:bidi="ar-EG"/>
              </w:rPr>
              <w:t>PL 2</w:t>
            </w:r>
          </w:p>
        </w:tc>
        <w:tc>
          <w:tcPr>
            <w:tcW w:w="3117" w:type="dxa"/>
          </w:tcPr>
          <w:p w14:paraId="1A46F1C6" w14:textId="6E43031D"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F776E2">
              <w:rPr>
                <w:b/>
                <w:bCs/>
                <w:lang w:bidi="ar-EG"/>
              </w:rPr>
              <w:t>66</w:t>
            </w:r>
            <w:r w:rsidRPr="007B0AA0">
              <w:rPr>
                <w:b/>
                <w:bCs/>
                <w:lang w:bidi="ar-EG"/>
              </w:rPr>
              <w:t>-A</w:t>
            </w:r>
          </w:p>
        </w:tc>
      </w:tr>
      <w:tr w:rsidR="007B0AA0" w14:paraId="117F98D8" w14:textId="77777777" w:rsidTr="00F363FE">
        <w:tc>
          <w:tcPr>
            <w:tcW w:w="6512" w:type="dxa"/>
          </w:tcPr>
          <w:p w14:paraId="1512B9C2" w14:textId="77777777" w:rsidR="007B0AA0" w:rsidRPr="007B0AA0" w:rsidRDefault="007B0AA0" w:rsidP="00F363FE">
            <w:pPr>
              <w:spacing w:before="60" w:after="60" w:line="260" w:lineRule="exact"/>
              <w:rPr>
                <w:b/>
                <w:bCs/>
                <w:rtl/>
                <w:lang w:bidi="ar-EG"/>
              </w:rPr>
            </w:pPr>
          </w:p>
        </w:tc>
        <w:tc>
          <w:tcPr>
            <w:tcW w:w="3117" w:type="dxa"/>
          </w:tcPr>
          <w:p w14:paraId="0A6CF855" w14:textId="766412D8" w:rsidR="007B0AA0" w:rsidRPr="007B0AA0" w:rsidRDefault="00F776E2" w:rsidP="00F363FE">
            <w:pPr>
              <w:spacing w:before="60" w:after="60" w:line="260" w:lineRule="exact"/>
              <w:rPr>
                <w:b/>
                <w:bCs/>
                <w:rtl/>
                <w:lang w:bidi="ar-EG"/>
              </w:rPr>
            </w:pPr>
            <w:r>
              <w:rPr>
                <w:b/>
                <w:bCs/>
                <w:lang w:bidi="ar-EG"/>
              </w:rPr>
              <w:t>3</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4CC7E9FC" w14:textId="77777777" w:rsidTr="00F363FE">
        <w:tc>
          <w:tcPr>
            <w:tcW w:w="6512" w:type="dxa"/>
          </w:tcPr>
          <w:p w14:paraId="67174047" w14:textId="77777777" w:rsidR="007B0AA0" w:rsidRPr="007B0AA0" w:rsidRDefault="007B0AA0" w:rsidP="00F363FE">
            <w:pPr>
              <w:spacing w:before="60" w:after="60" w:line="260" w:lineRule="exact"/>
              <w:rPr>
                <w:b/>
                <w:bCs/>
                <w:rtl/>
                <w:lang w:bidi="ar-EG"/>
              </w:rPr>
            </w:pPr>
          </w:p>
        </w:tc>
        <w:tc>
          <w:tcPr>
            <w:tcW w:w="3117" w:type="dxa"/>
          </w:tcPr>
          <w:p w14:paraId="0209CB46" w14:textId="3C0A3FD4"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F776E2">
              <w:rPr>
                <w:rFonts w:hint="cs"/>
                <w:b/>
                <w:bCs/>
                <w:rtl/>
                <w:lang w:bidi="ar-EG"/>
              </w:rPr>
              <w:t>بالإنكليزية</w:t>
            </w:r>
          </w:p>
        </w:tc>
      </w:tr>
      <w:tr w:rsidR="007B0AA0" w14:paraId="249FE369" w14:textId="77777777" w:rsidTr="00F363FE">
        <w:tc>
          <w:tcPr>
            <w:tcW w:w="6512" w:type="dxa"/>
          </w:tcPr>
          <w:p w14:paraId="2C68532C" w14:textId="77777777" w:rsidR="007B0AA0" w:rsidRDefault="007B0AA0" w:rsidP="00F363FE">
            <w:pPr>
              <w:spacing w:before="60" w:after="60" w:line="260" w:lineRule="exact"/>
              <w:rPr>
                <w:lang w:bidi="ar-EG"/>
              </w:rPr>
            </w:pPr>
          </w:p>
        </w:tc>
        <w:tc>
          <w:tcPr>
            <w:tcW w:w="3117" w:type="dxa"/>
          </w:tcPr>
          <w:p w14:paraId="394B9BAC" w14:textId="77777777" w:rsidR="007B0AA0" w:rsidRDefault="007B0AA0" w:rsidP="00F363FE">
            <w:pPr>
              <w:spacing w:before="60" w:after="60" w:line="260" w:lineRule="exact"/>
              <w:rPr>
                <w:rtl/>
                <w:lang w:bidi="ar-EG"/>
              </w:rPr>
            </w:pPr>
          </w:p>
        </w:tc>
      </w:tr>
      <w:tr w:rsidR="007B0AA0" w14:paraId="5B48F76D" w14:textId="77777777" w:rsidTr="00EE7446">
        <w:tc>
          <w:tcPr>
            <w:tcW w:w="9629" w:type="dxa"/>
            <w:gridSpan w:val="2"/>
          </w:tcPr>
          <w:p w14:paraId="24E40964" w14:textId="2D6DE0E7" w:rsidR="007B0AA0" w:rsidRPr="00527146" w:rsidRDefault="00F776E2" w:rsidP="00527146">
            <w:pPr>
              <w:pStyle w:val="Source"/>
              <w:jc w:val="left"/>
              <w:rPr>
                <w:rtl/>
                <w:lang w:bidi="ar-EG"/>
              </w:rPr>
            </w:pPr>
            <w:r w:rsidRPr="00527146">
              <w:rPr>
                <w:rFonts w:hint="cs"/>
                <w:rtl/>
              </w:rPr>
              <w:t>تقرير من الأمينة العامة</w:t>
            </w:r>
          </w:p>
        </w:tc>
      </w:tr>
      <w:tr w:rsidR="007B0AA0" w14:paraId="1E2B52CB" w14:textId="77777777" w:rsidTr="007B0AA0">
        <w:tc>
          <w:tcPr>
            <w:tcW w:w="9629" w:type="dxa"/>
            <w:gridSpan w:val="2"/>
            <w:tcBorders>
              <w:bottom w:val="single" w:sz="4" w:space="0" w:color="auto"/>
            </w:tcBorders>
          </w:tcPr>
          <w:p w14:paraId="1948EFFC" w14:textId="3B1E572D" w:rsidR="007B0AA0" w:rsidRPr="00527146" w:rsidRDefault="00F776E2" w:rsidP="00527146">
            <w:pPr>
              <w:pStyle w:val="Subtitle0"/>
            </w:pPr>
            <w:r w:rsidRPr="00527146">
              <w:rPr>
                <w:rtl/>
              </w:rPr>
              <w:t>تقوية الحضور الإقليمي – معايير إنشاء المكاتب الإقليمية ومكاتب المناطق في</w:t>
            </w:r>
            <w:r w:rsidRPr="00527146">
              <w:rPr>
                <w:rFonts w:hint="cs"/>
                <w:rtl/>
              </w:rPr>
              <w:t> </w:t>
            </w:r>
            <w:r w:rsidRPr="00527146">
              <w:rPr>
                <w:rtl/>
              </w:rPr>
              <w:t>المستقبل</w:t>
            </w:r>
          </w:p>
        </w:tc>
      </w:tr>
      <w:tr w:rsidR="007B0AA0" w14:paraId="1710EE5C" w14:textId="77777777" w:rsidTr="007B0AA0">
        <w:tc>
          <w:tcPr>
            <w:tcW w:w="9629" w:type="dxa"/>
            <w:gridSpan w:val="2"/>
            <w:tcBorders>
              <w:top w:val="single" w:sz="4" w:space="0" w:color="auto"/>
              <w:bottom w:val="single" w:sz="4" w:space="0" w:color="auto"/>
            </w:tcBorders>
          </w:tcPr>
          <w:p w14:paraId="7F13EAB8" w14:textId="1DCA9292" w:rsidR="007B0AA0" w:rsidRPr="007B0AA0" w:rsidRDefault="007B0AA0" w:rsidP="007B0AA0">
            <w:pPr>
              <w:rPr>
                <w:b/>
                <w:bCs/>
                <w:rtl/>
              </w:rPr>
            </w:pPr>
            <w:r w:rsidRPr="007B0AA0">
              <w:rPr>
                <w:rFonts w:hint="cs"/>
                <w:b/>
                <w:bCs/>
                <w:rtl/>
              </w:rPr>
              <w:t>الغرض</w:t>
            </w:r>
          </w:p>
          <w:p w14:paraId="3A207ECB" w14:textId="516D43B6" w:rsidR="007B0AA0" w:rsidRDefault="00F776E2" w:rsidP="00F776E2">
            <w:pPr>
              <w:rPr>
                <w:rtl/>
              </w:rPr>
            </w:pPr>
            <w:r w:rsidRPr="00F776E2">
              <w:rPr>
                <w:rtl/>
              </w:rPr>
              <w:t>تلخص هذه الوثيقة المناقشات التي جرت حتى الآن بشأن معايير إنشاء المكاتب الإقليمية ومكاتب المناطق في</w:t>
            </w:r>
            <w:r w:rsidRPr="00F776E2">
              <w:rPr>
                <w:rFonts w:hint="cs"/>
                <w:rtl/>
              </w:rPr>
              <w:t> </w:t>
            </w:r>
            <w:r w:rsidRPr="00F776E2">
              <w:rPr>
                <w:rtl/>
              </w:rPr>
              <w:t>المستقبل</w:t>
            </w:r>
            <w:r w:rsidRPr="00F776E2">
              <w:rPr>
                <w:rFonts w:hint="cs"/>
                <w:rtl/>
                <w:lang w:bidi="ar-EG"/>
              </w:rPr>
              <w:t>.</w:t>
            </w:r>
            <w:r w:rsidRPr="00F776E2">
              <w:rPr>
                <w:rFonts w:hint="cs"/>
                <w:rtl/>
              </w:rPr>
              <w:t xml:space="preserve"> </w:t>
            </w:r>
            <w:r w:rsidRPr="00F776E2">
              <w:rPr>
                <w:b/>
                <w:bCs/>
                <w:rtl/>
                <w:lang w:bidi="ar-EG"/>
              </w:rPr>
              <w:t>‏</w:t>
            </w:r>
            <w:r w:rsidRPr="00F776E2">
              <w:rPr>
                <w:rtl/>
                <w:lang w:bidi="ar-EG"/>
              </w:rPr>
              <w:t>وستقد</w:t>
            </w:r>
            <w:r w:rsidRPr="00F776E2">
              <w:rPr>
                <w:rFonts w:hint="cs"/>
                <w:rtl/>
                <w:lang w:bidi="ar-EG"/>
              </w:rPr>
              <w:t>َّ</w:t>
            </w:r>
            <w:r w:rsidRPr="00F776E2">
              <w:rPr>
                <w:rtl/>
                <w:lang w:bidi="ar-EG"/>
              </w:rPr>
              <w:t>م أيضا</w:t>
            </w:r>
            <w:r w:rsidRPr="00F776E2">
              <w:rPr>
                <w:rFonts w:hint="cs"/>
                <w:rtl/>
                <w:lang w:bidi="ar-EG"/>
              </w:rPr>
              <w:t>ً</w:t>
            </w:r>
            <w:r w:rsidRPr="00F776E2">
              <w:rPr>
                <w:rtl/>
                <w:lang w:bidi="ar-EG"/>
              </w:rPr>
              <w:t xml:space="preserve"> إلى الفريق الاستشاري لتنمية الاتصالات وإلى فريق التنسيق بين القطاعات (</w:t>
            </w:r>
            <w:r w:rsidRPr="00F776E2">
              <w:rPr>
                <w:cs/>
                <w:lang w:bidi="ar-EG"/>
              </w:rPr>
              <w:t>‎</w:t>
            </w:r>
            <w:r w:rsidRPr="00F776E2">
              <w:t>ISCG</w:t>
            </w:r>
            <w:r w:rsidRPr="00F776E2">
              <w:rPr>
                <w:rtl/>
                <w:lang w:bidi="ar-EG"/>
              </w:rPr>
              <w:t>) ‏لاجتماعهما في</w:t>
            </w:r>
            <w:r w:rsidRPr="00F776E2">
              <w:rPr>
                <w:rFonts w:hint="cs"/>
                <w:rtl/>
              </w:rPr>
              <w:t> </w:t>
            </w:r>
            <w:r w:rsidRPr="00F776E2">
              <w:rPr>
                <w:rtl/>
                <w:lang w:bidi="ar-EG"/>
              </w:rPr>
              <w:t>مايو</w:t>
            </w:r>
            <w:r w:rsidRPr="00F776E2">
              <w:rPr>
                <w:rFonts w:hint="cs"/>
                <w:rtl/>
                <w:lang w:bidi="ar-EG"/>
              </w:rPr>
              <w:t> </w:t>
            </w:r>
            <w:r w:rsidRPr="00F776E2">
              <w:rPr>
                <w:cs/>
                <w:lang w:bidi="ar-EG"/>
              </w:rPr>
              <w:t>‎</w:t>
            </w:r>
            <w:r w:rsidRPr="00F776E2">
              <w:t>2024</w:t>
            </w:r>
            <w:r w:rsidRPr="00F776E2">
              <w:rPr>
                <w:rtl/>
                <w:lang w:bidi="ar-EG"/>
              </w:rPr>
              <w:t>‏، وسيجري تحديثها تبعا لذلك.</w:t>
            </w:r>
            <w:r w:rsidRPr="00F776E2">
              <w:rPr>
                <w:cs/>
                <w:lang w:bidi="ar-EG"/>
              </w:rPr>
              <w:t>‎</w:t>
            </w:r>
          </w:p>
          <w:p w14:paraId="0BAD0598" w14:textId="77777777" w:rsidR="007B0AA0" w:rsidRPr="007B0AA0" w:rsidRDefault="007B0AA0" w:rsidP="007B0AA0">
            <w:pPr>
              <w:rPr>
                <w:b/>
                <w:bCs/>
                <w:rtl/>
              </w:rPr>
            </w:pPr>
            <w:r w:rsidRPr="007B0AA0">
              <w:rPr>
                <w:rFonts w:hint="cs"/>
                <w:b/>
                <w:bCs/>
                <w:rtl/>
              </w:rPr>
              <w:t>الإجراء المطلوب من المجلس</w:t>
            </w:r>
          </w:p>
          <w:p w14:paraId="07BC5584" w14:textId="292359ED" w:rsidR="007B0AA0" w:rsidRDefault="00F776E2" w:rsidP="00F776E2">
            <w:pPr>
              <w:rPr>
                <w:rtl/>
                <w:lang w:bidi="ar-EG"/>
              </w:rPr>
            </w:pPr>
            <w:r w:rsidRPr="00F776E2">
              <w:rPr>
                <w:rtl/>
                <w:lang w:bidi="ar-EG"/>
              </w:rPr>
              <w:t xml:space="preserve">يدعى المجلس إلى </w:t>
            </w:r>
            <w:r w:rsidRPr="00F776E2">
              <w:rPr>
                <w:b/>
                <w:bCs/>
                <w:rtl/>
                <w:lang w:bidi="ar-EG"/>
              </w:rPr>
              <w:t>النظر</w:t>
            </w:r>
            <w:r w:rsidRPr="00F776E2">
              <w:rPr>
                <w:rtl/>
                <w:lang w:bidi="ar-EG"/>
              </w:rPr>
              <w:t xml:space="preserve"> في هذه الوثيقة.</w:t>
            </w:r>
          </w:p>
          <w:p w14:paraId="6062459B" w14:textId="76D49327" w:rsidR="00F776E2" w:rsidRPr="007B0AA0" w:rsidRDefault="00F776E2" w:rsidP="00F776E2">
            <w:pPr>
              <w:rPr>
                <w:b/>
                <w:bCs/>
                <w:rtl/>
              </w:rPr>
            </w:pPr>
            <w:r w:rsidRPr="00F776E2">
              <w:rPr>
                <w:b/>
                <w:bCs/>
                <w:rtl/>
              </w:rPr>
              <w:t>الصلة بالخطة الاستراتيجية</w:t>
            </w:r>
          </w:p>
          <w:p w14:paraId="4C3D939E" w14:textId="056336DC" w:rsidR="00F776E2" w:rsidRDefault="00F776E2" w:rsidP="00F776E2">
            <w:pPr>
              <w:rPr>
                <w:rtl/>
                <w:lang w:bidi="ar-EG"/>
              </w:rPr>
            </w:pPr>
            <w:r w:rsidRPr="00F776E2">
              <w:rPr>
                <w:rtl/>
                <w:lang w:bidi="ar-EG"/>
              </w:rPr>
              <w:t>التميز في الموارد البشرية والابتكار المؤسسي.</w:t>
            </w:r>
          </w:p>
          <w:p w14:paraId="5D48EE05" w14:textId="63DEBA3C" w:rsidR="00F776E2" w:rsidRPr="007B0AA0" w:rsidRDefault="00F776E2" w:rsidP="00F776E2">
            <w:pPr>
              <w:rPr>
                <w:b/>
                <w:bCs/>
                <w:rtl/>
              </w:rPr>
            </w:pPr>
            <w:r w:rsidRPr="00F776E2">
              <w:rPr>
                <w:b/>
                <w:bCs/>
                <w:rtl/>
              </w:rPr>
              <w:t>الآثار المالية</w:t>
            </w:r>
          </w:p>
          <w:p w14:paraId="4A3C44C0" w14:textId="73AEDBF2" w:rsidR="00F776E2" w:rsidRDefault="00F776E2" w:rsidP="00F776E2">
            <w:pPr>
              <w:rPr>
                <w:rtl/>
              </w:rPr>
            </w:pPr>
            <w:r w:rsidRPr="00F776E2">
              <w:rPr>
                <w:rtl/>
                <w:lang w:bidi="ar-EG"/>
              </w:rPr>
              <w:t>ضمن الميزانية المعتم</w:t>
            </w:r>
            <w:r w:rsidRPr="00F776E2">
              <w:rPr>
                <w:rFonts w:hint="cs"/>
                <w:rtl/>
                <w:lang w:bidi="ar-EG"/>
              </w:rPr>
              <w:t>َ</w:t>
            </w:r>
            <w:r w:rsidRPr="00F776E2">
              <w:rPr>
                <w:rtl/>
                <w:lang w:bidi="ar-EG"/>
              </w:rPr>
              <w:t>دة</w:t>
            </w:r>
            <w:r w:rsidRPr="00F776E2">
              <w:rPr>
                <w:rFonts w:hint="cs"/>
                <w:rtl/>
                <w:lang w:bidi="ar-EG"/>
              </w:rPr>
              <w:t xml:space="preserve"> للفترة</w:t>
            </w:r>
            <w:r w:rsidRPr="00F776E2">
              <w:rPr>
                <w:rtl/>
                <w:lang w:bidi="ar-EG"/>
              </w:rPr>
              <w:t xml:space="preserve"> 2024-2025.</w:t>
            </w:r>
          </w:p>
          <w:p w14:paraId="5F294C65"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E64954F" w14:textId="77777777" w:rsidR="007B0AA0" w:rsidRPr="007B0AA0" w:rsidRDefault="007B0AA0" w:rsidP="007B0AA0">
            <w:pPr>
              <w:rPr>
                <w:b/>
                <w:bCs/>
                <w:rtl/>
              </w:rPr>
            </w:pPr>
            <w:r w:rsidRPr="007B0AA0">
              <w:rPr>
                <w:rFonts w:hint="cs"/>
                <w:b/>
                <w:bCs/>
                <w:rtl/>
              </w:rPr>
              <w:t>المراجع</w:t>
            </w:r>
          </w:p>
          <w:p w14:paraId="2D5658DB" w14:textId="77777777" w:rsidR="00F776E2" w:rsidRPr="0054123F" w:rsidRDefault="00F776E2" w:rsidP="00F776E2">
            <w:pPr>
              <w:pStyle w:val="enumlev1"/>
              <w:rPr>
                <w:rtl/>
                <w:lang w:bidi="ar-SA"/>
              </w:rPr>
            </w:pPr>
            <w:r w:rsidRPr="0054123F">
              <w:rPr>
                <w:rFonts w:hint="cs"/>
                <w:rtl/>
              </w:rPr>
              <w:t>-</w:t>
            </w:r>
            <w:r w:rsidRPr="0054123F">
              <w:rPr>
                <w:b/>
                <w:bCs/>
                <w:rtl/>
              </w:rPr>
              <w:tab/>
            </w:r>
            <w:hyperlink r:id="rId8" w:history="1">
              <w:r w:rsidRPr="0054123F">
                <w:rPr>
                  <w:rStyle w:val="Hyperlink"/>
                  <w:lang w:bidi="ar-EG"/>
                </w:rPr>
                <w:t>D22-TDAG31-C-0021</w:t>
              </w:r>
            </w:hyperlink>
            <w:r w:rsidRPr="0054123F">
              <w:rPr>
                <w:rFonts w:hint="cs"/>
                <w:rtl/>
              </w:rPr>
              <w:t xml:space="preserve"> </w:t>
            </w:r>
            <w:r w:rsidRPr="0054123F">
              <w:rPr>
                <w:rtl/>
              </w:rPr>
              <w:t>–</w:t>
            </w:r>
            <w:r w:rsidRPr="0054123F">
              <w:rPr>
                <w:rFonts w:hint="cs"/>
                <w:rtl/>
              </w:rPr>
              <w:t xml:space="preserve"> بيان اتصال وارد </w:t>
            </w:r>
            <w:r w:rsidRPr="0054123F">
              <w:rPr>
                <w:rtl/>
              </w:rPr>
              <w:t>–</w:t>
            </w:r>
            <w:r w:rsidRPr="0054123F">
              <w:rPr>
                <w:rFonts w:hint="cs"/>
                <w:rtl/>
              </w:rPr>
              <w:t xml:space="preserve"> بيان اتصال موجه إلى الفريق الاستشاري لتنمية الاتصالات وفريق التنسيق بين القطاعات بشأن معايير إنشاء مكاتب المناطق في المستقبل.</w:t>
            </w:r>
          </w:p>
          <w:p w14:paraId="649B959C" w14:textId="77777777" w:rsidR="00F776E2" w:rsidRPr="0054123F" w:rsidRDefault="00F776E2" w:rsidP="00F776E2">
            <w:pPr>
              <w:pStyle w:val="enumlev1"/>
              <w:rPr>
                <w:rtl/>
                <w:lang w:bidi="ar-SA"/>
              </w:rPr>
            </w:pPr>
            <w:r w:rsidRPr="0054123F">
              <w:rPr>
                <w:rFonts w:hint="cs"/>
                <w:rtl/>
              </w:rPr>
              <w:t>-</w:t>
            </w:r>
            <w:r w:rsidRPr="0054123F">
              <w:rPr>
                <w:b/>
                <w:bCs/>
                <w:rtl/>
              </w:rPr>
              <w:tab/>
            </w:r>
            <w:hyperlink r:id="rId9" w:history="1">
              <w:r w:rsidRPr="0054123F">
                <w:rPr>
                  <w:rStyle w:val="Hyperlink"/>
                  <w:lang w:bidi="ar-EG"/>
                </w:rPr>
                <w:t>CWG-FHR-16/10</w:t>
              </w:r>
            </w:hyperlink>
            <w:r w:rsidRPr="0054123F">
              <w:rPr>
                <w:rFonts w:hint="cs"/>
                <w:rtl/>
                <w:lang w:bidi="ar-SA"/>
              </w:rPr>
              <w:t xml:space="preserve"> </w:t>
            </w:r>
            <w:r w:rsidRPr="0054123F">
              <w:rPr>
                <w:rtl/>
                <w:lang w:bidi="ar-SA"/>
              </w:rPr>
              <w:t>–</w:t>
            </w:r>
            <w:r w:rsidRPr="0054123F">
              <w:rPr>
                <w:rFonts w:hint="cs"/>
                <w:rtl/>
                <w:lang w:bidi="ar-SA"/>
              </w:rPr>
              <w:t xml:space="preserve"> تقوية الحضور الإقليمي </w:t>
            </w:r>
            <w:r w:rsidRPr="0054123F">
              <w:rPr>
                <w:rtl/>
                <w:lang w:bidi="ar-SA"/>
              </w:rPr>
              <w:t>–</w:t>
            </w:r>
            <w:r w:rsidRPr="0054123F">
              <w:rPr>
                <w:rFonts w:hint="cs"/>
                <w:rtl/>
                <w:lang w:bidi="ar-SA"/>
              </w:rPr>
              <w:t xml:space="preserve"> معايير إنشاء مكاتب المناطق في المستقبل، مساهمة مقدمة من الأمينة العامة.</w:t>
            </w:r>
          </w:p>
          <w:p w14:paraId="03C0D0A5" w14:textId="62098F49" w:rsidR="00F776E2" w:rsidRDefault="00F776E2" w:rsidP="00723E02">
            <w:pPr>
              <w:pStyle w:val="enumlev1"/>
              <w:spacing w:after="120"/>
              <w:rPr>
                <w:rtl/>
              </w:rPr>
            </w:pPr>
            <w:r w:rsidRPr="00A55ED3">
              <w:rPr>
                <w:rFonts w:hint="cs"/>
                <w:rtl/>
              </w:rPr>
              <w:t>-</w:t>
            </w:r>
            <w:r w:rsidRPr="00A55ED3">
              <w:rPr>
                <w:b/>
                <w:bCs/>
                <w:rtl/>
              </w:rPr>
              <w:tab/>
            </w:r>
            <w:hyperlink r:id="rId10" w:history="1">
              <w:r w:rsidRPr="00A55ED3">
                <w:rPr>
                  <w:rStyle w:val="Hyperlink"/>
                  <w:lang w:bidi="ar-EG"/>
                </w:rPr>
                <w:t>CWG-FHR-16/24(Rev.1)</w:t>
              </w:r>
            </w:hyperlink>
            <w:r w:rsidRPr="00A55ED3">
              <w:rPr>
                <w:rFonts w:hint="cs"/>
                <w:rtl/>
              </w:rPr>
              <w:t xml:space="preserve"> </w:t>
            </w:r>
            <w:r w:rsidRPr="00A55ED3">
              <w:rPr>
                <w:rtl/>
              </w:rPr>
              <w:t>–</w:t>
            </w:r>
            <w:r w:rsidRPr="00A55ED3">
              <w:rPr>
                <w:rFonts w:hint="cs"/>
                <w:rtl/>
              </w:rPr>
              <w:t xml:space="preserve"> مساهمة متعددة البلدان </w:t>
            </w:r>
            <w:r w:rsidRPr="00A55ED3">
              <w:rPr>
                <w:rtl/>
              </w:rPr>
              <w:t>–</w:t>
            </w:r>
            <w:r w:rsidRPr="00A55ED3">
              <w:rPr>
                <w:rFonts w:hint="cs"/>
                <w:rtl/>
              </w:rPr>
              <w:t xml:space="preserve"> مقترح بشأن إنشاء مكاتب المناطق في</w:t>
            </w:r>
            <w:r>
              <w:rPr>
                <w:rFonts w:hint="eastAsia"/>
                <w:rtl/>
              </w:rPr>
              <w:t> </w:t>
            </w:r>
            <w:r w:rsidRPr="00A55ED3">
              <w:rPr>
                <w:rFonts w:hint="cs"/>
                <w:rtl/>
              </w:rPr>
              <w:t>المستقبل، مقدمة من الجزائر والصين وكوبا والاتحاد الروسي وجنوب إفريقيا</w:t>
            </w:r>
            <w:r>
              <w:rPr>
                <w:rFonts w:hint="cs"/>
                <w:rtl/>
                <w:lang w:bidi="ar-EG"/>
              </w:rPr>
              <w:t>.</w:t>
            </w:r>
          </w:p>
        </w:tc>
      </w:tr>
    </w:tbl>
    <w:p w14:paraId="7F94FD89" w14:textId="77777777" w:rsidR="00E61BE8" w:rsidRDefault="00E61BE8" w:rsidP="00E61BE8">
      <w:pPr>
        <w:rPr>
          <w:rtl/>
          <w:lang w:bidi="ar-EG"/>
        </w:rPr>
      </w:pPr>
    </w:p>
    <w:p w14:paraId="11CF60DE" w14:textId="77777777" w:rsidR="00F50E3F" w:rsidRDefault="00F50E3F" w:rsidP="00F776E2">
      <w:pPr>
        <w:rPr>
          <w:rtl/>
          <w:lang w:bidi="ar-EG"/>
        </w:rPr>
      </w:pPr>
      <w:r>
        <w:rPr>
          <w:rtl/>
          <w:lang w:bidi="ar-EG"/>
        </w:rPr>
        <w:br w:type="page"/>
      </w:r>
    </w:p>
    <w:p w14:paraId="463D3376" w14:textId="77777777" w:rsidR="00084674" w:rsidRPr="000155B4" w:rsidRDefault="00084674" w:rsidP="00084674">
      <w:pPr>
        <w:pStyle w:val="Heading1"/>
        <w:rPr>
          <w:rtl/>
        </w:rPr>
      </w:pPr>
      <w:r w:rsidRPr="000155B4">
        <w:rPr>
          <w:lang w:bidi="ar-EG"/>
        </w:rPr>
        <w:lastRenderedPageBreak/>
        <w:t>1</w:t>
      </w:r>
      <w:r w:rsidRPr="000155B4">
        <w:rPr>
          <w:rtl/>
        </w:rPr>
        <w:tab/>
      </w:r>
      <w:r w:rsidRPr="000155B4">
        <w:rPr>
          <w:rFonts w:hint="cs"/>
          <w:rtl/>
        </w:rPr>
        <w:t>مقدمة وملخص المناقشات السابقة</w:t>
      </w:r>
    </w:p>
    <w:p w14:paraId="34EC054B" w14:textId="7C221BA7" w:rsidR="00084674" w:rsidRPr="000155B4" w:rsidRDefault="00084674" w:rsidP="00527146">
      <w:pPr>
        <w:rPr>
          <w:rtl/>
        </w:rPr>
      </w:pPr>
      <w:r w:rsidRPr="000155B4">
        <w:t>1.1</w:t>
      </w:r>
      <w:r w:rsidRPr="000155B4">
        <w:rPr>
          <w:rtl/>
        </w:rPr>
        <w:tab/>
        <w:t>نظر فريق العمل التابع للمجلس والمعني بالموارد المالية والبشرية</w:t>
      </w:r>
      <w:r w:rsidR="00527146">
        <w:rPr>
          <w:rFonts w:hint="cs"/>
          <w:rtl/>
        </w:rPr>
        <w:t xml:space="preserve"> </w:t>
      </w:r>
      <w:r w:rsidR="00527146">
        <w:t>(</w:t>
      </w:r>
      <w:r w:rsidR="00527146" w:rsidRPr="000111C3">
        <w:t>CWG-FHR</w:t>
      </w:r>
      <w:r w:rsidR="00527146">
        <w:t>)</w:t>
      </w:r>
      <w:r w:rsidRPr="000155B4">
        <w:rPr>
          <w:rtl/>
        </w:rPr>
        <w:t>، خلال اجتماعه في</w:t>
      </w:r>
      <w:r>
        <w:rPr>
          <w:rFonts w:hint="eastAsia"/>
          <w:rtl/>
        </w:rPr>
        <w:t> </w:t>
      </w:r>
      <w:r w:rsidRPr="000155B4">
        <w:rPr>
          <w:rFonts w:hint="cs"/>
          <w:rtl/>
        </w:rPr>
        <w:t>الفترة</w:t>
      </w:r>
      <w:r w:rsidR="00527146">
        <w:rPr>
          <w:rFonts w:hint="cs"/>
          <w:rtl/>
        </w:rPr>
        <w:t> </w:t>
      </w:r>
      <w:r w:rsidRPr="000155B4">
        <w:rPr>
          <w:cs/>
        </w:rPr>
        <w:t>‎</w:t>
      </w:r>
      <w:r w:rsidRPr="000155B4">
        <w:t>13</w:t>
      </w:r>
      <w:r>
        <w:noBreakHyphen/>
      </w:r>
      <w:r w:rsidRPr="000155B4">
        <w:t>11</w:t>
      </w:r>
      <w:r>
        <w:rPr>
          <w:rFonts w:hint="cs"/>
          <w:rtl/>
        </w:rPr>
        <w:t> </w:t>
      </w:r>
      <w:r w:rsidRPr="000155B4">
        <w:rPr>
          <w:rtl/>
        </w:rPr>
        <w:t>‏أكتوبر</w:t>
      </w:r>
      <w:r>
        <w:rPr>
          <w:rFonts w:hint="cs"/>
          <w:rtl/>
        </w:rPr>
        <w:t> </w:t>
      </w:r>
      <w:r w:rsidRPr="000155B4">
        <w:rPr>
          <w:cs/>
        </w:rPr>
        <w:t>‎</w:t>
      </w:r>
      <w:r w:rsidRPr="000155B4">
        <w:t>2023</w:t>
      </w:r>
      <w:r w:rsidRPr="000155B4">
        <w:rPr>
          <w:rtl/>
        </w:rPr>
        <w:t xml:space="preserve">‏، في الوثيقتين التاليتين بشأن موضوع وضع معايير لإنشاء مكاتب </w:t>
      </w:r>
      <w:r w:rsidRPr="000155B4">
        <w:rPr>
          <w:rFonts w:hint="cs"/>
          <w:rtl/>
        </w:rPr>
        <w:t>ال</w:t>
      </w:r>
      <w:r w:rsidRPr="000155B4">
        <w:rPr>
          <w:rtl/>
        </w:rPr>
        <w:t>مناطق في المستقبل</w:t>
      </w:r>
      <w:r w:rsidRPr="000155B4">
        <w:rPr>
          <w:rFonts w:hint="cs"/>
          <w:rtl/>
        </w:rPr>
        <w:t>، وناقشهما بإيجاز:</w:t>
      </w:r>
    </w:p>
    <w:p w14:paraId="5D93D667" w14:textId="77777777" w:rsidR="00084674" w:rsidRPr="000155B4" w:rsidRDefault="00084674" w:rsidP="00527146">
      <w:pPr>
        <w:pStyle w:val="enumlev1"/>
        <w:rPr>
          <w:rtl/>
        </w:rPr>
      </w:pPr>
      <w:r w:rsidRPr="000155B4">
        <w:sym w:font="Symbol" w:char="F0B7"/>
      </w:r>
      <w:r w:rsidRPr="000155B4">
        <w:tab/>
      </w:r>
      <w:hyperlink r:id="rId11" w:history="1">
        <w:r w:rsidRPr="000155B4">
          <w:rPr>
            <w:rStyle w:val="Hyperlink"/>
          </w:rPr>
          <w:t>CWG-FHR-16/10</w:t>
        </w:r>
      </w:hyperlink>
      <w:r w:rsidRPr="000155B4">
        <w:rPr>
          <w:rFonts w:hint="cs"/>
          <w:rtl/>
        </w:rPr>
        <w:t xml:space="preserve"> </w:t>
      </w:r>
      <w:r w:rsidRPr="000155B4">
        <w:rPr>
          <w:rtl/>
        </w:rPr>
        <w:t>–</w:t>
      </w:r>
      <w:r w:rsidRPr="000155B4">
        <w:rPr>
          <w:rFonts w:hint="cs"/>
          <w:rtl/>
        </w:rPr>
        <w:t xml:space="preserve"> تقوية الحضور الإقليمي </w:t>
      </w:r>
      <w:r w:rsidRPr="000155B4">
        <w:rPr>
          <w:rtl/>
        </w:rPr>
        <w:t>–</w:t>
      </w:r>
      <w:r w:rsidRPr="000155B4">
        <w:rPr>
          <w:rFonts w:hint="cs"/>
          <w:rtl/>
        </w:rPr>
        <w:t xml:space="preserve"> معايير إنشاء مكاتب المناطق في المستقبل، مساهمة مقدمة من الأمينة</w:t>
      </w:r>
      <w:r>
        <w:rPr>
          <w:rFonts w:hint="eastAsia"/>
          <w:rtl/>
        </w:rPr>
        <w:t> </w:t>
      </w:r>
      <w:r w:rsidRPr="000155B4">
        <w:rPr>
          <w:rFonts w:hint="cs"/>
          <w:rtl/>
        </w:rPr>
        <w:t>العامة.</w:t>
      </w:r>
    </w:p>
    <w:p w14:paraId="0B950430" w14:textId="77777777" w:rsidR="00084674" w:rsidRPr="00755AB9" w:rsidRDefault="00084674" w:rsidP="00527146">
      <w:pPr>
        <w:pStyle w:val="enumlev1"/>
        <w:rPr>
          <w:rtl/>
        </w:rPr>
      </w:pPr>
      <w:r w:rsidRPr="00755AB9">
        <w:sym w:font="Symbol" w:char="F0B7"/>
      </w:r>
      <w:r w:rsidRPr="00755AB9">
        <w:tab/>
      </w:r>
      <w:hyperlink r:id="rId12" w:history="1">
        <w:r w:rsidRPr="00755AB9">
          <w:rPr>
            <w:rStyle w:val="Hyperlink"/>
            <w:spacing w:val="-2"/>
          </w:rPr>
          <w:t>CWG-FHR-16/24(Rev.1)</w:t>
        </w:r>
      </w:hyperlink>
      <w:r w:rsidRPr="00755AB9">
        <w:rPr>
          <w:rFonts w:hint="cs"/>
          <w:rtl/>
        </w:rPr>
        <w:t xml:space="preserve"> </w:t>
      </w:r>
      <w:r w:rsidRPr="00755AB9">
        <w:rPr>
          <w:rtl/>
        </w:rPr>
        <w:t>–</w:t>
      </w:r>
      <w:r w:rsidRPr="00755AB9">
        <w:rPr>
          <w:rFonts w:hint="cs"/>
          <w:rtl/>
        </w:rPr>
        <w:t xml:space="preserve"> مساهمة متعددة البلدان </w:t>
      </w:r>
      <w:r w:rsidRPr="00755AB9">
        <w:rPr>
          <w:rtl/>
        </w:rPr>
        <w:t>–</w:t>
      </w:r>
      <w:r w:rsidRPr="00755AB9">
        <w:rPr>
          <w:rFonts w:hint="cs"/>
          <w:rtl/>
        </w:rPr>
        <w:t xml:space="preserve"> مقترح بشأن إنشاء مكاتب المناطق في</w:t>
      </w:r>
      <w:r w:rsidRPr="00755AB9">
        <w:rPr>
          <w:rFonts w:hint="eastAsia"/>
          <w:rtl/>
        </w:rPr>
        <w:t> </w:t>
      </w:r>
      <w:r w:rsidRPr="00755AB9">
        <w:rPr>
          <w:rFonts w:hint="cs"/>
          <w:rtl/>
        </w:rPr>
        <w:t>المستقبل، مقدمة من الجزائر والصين وكوبا والاتحاد الروسي وجنوب إفريقيا.</w:t>
      </w:r>
    </w:p>
    <w:p w14:paraId="6ECE65F3" w14:textId="77777777" w:rsidR="00084674" w:rsidRPr="000155B4" w:rsidRDefault="00084674" w:rsidP="00527146">
      <w:pPr>
        <w:rPr>
          <w:rtl/>
        </w:rPr>
      </w:pPr>
      <w:r w:rsidRPr="000155B4">
        <w:t>2.1</w:t>
      </w:r>
      <w:r w:rsidRPr="000155B4">
        <w:rPr>
          <w:rtl/>
        </w:rPr>
        <w:tab/>
      </w:r>
      <w:r w:rsidRPr="000155B4">
        <w:rPr>
          <w:rFonts w:hint="cs"/>
          <w:rtl/>
        </w:rPr>
        <w:t>وأُرسلت الوثيقتان إلى الاجتماع التالي لفريق العمل التابع للمجلس والمعني بالموارد المالية والبشرية</w:t>
      </w:r>
      <w:r>
        <w:rPr>
          <w:rFonts w:hint="eastAsia"/>
          <w:rtl/>
        </w:rPr>
        <w:t> </w:t>
      </w:r>
      <w:r w:rsidRPr="000155B4">
        <w:t>(CWG</w:t>
      </w:r>
      <w:r>
        <w:noBreakHyphen/>
      </w:r>
      <w:r w:rsidRPr="000155B4">
        <w:t>FHR)</w:t>
      </w:r>
      <w:r w:rsidRPr="000155B4">
        <w:rPr>
          <w:rFonts w:hint="cs"/>
          <w:rtl/>
        </w:rPr>
        <w:t xml:space="preserve"> الذي عُقد في يناير 2024، لمواصلة المناقشات وإمكانية التداول بشأن إرسال مقترح إلى المجلس.</w:t>
      </w:r>
    </w:p>
    <w:p w14:paraId="7F2A042C" w14:textId="77777777" w:rsidR="00084674" w:rsidRPr="000155B4" w:rsidRDefault="00084674" w:rsidP="00527146">
      <w:pPr>
        <w:rPr>
          <w:rtl/>
        </w:rPr>
      </w:pPr>
      <w:r w:rsidRPr="000155B4">
        <w:t>3.1</w:t>
      </w:r>
      <w:r w:rsidRPr="000155B4">
        <w:rPr>
          <w:rtl/>
        </w:rPr>
        <w:tab/>
      </w:r>
      <w:r w:rsidRPr="000155B4">
        <w:rPr>
          <w:rFonts w:hint="cs"/>
          <w:rtl/>
        </w:rPr>
        <w:t xml:space="preserve">قرر الفريق </w:t>
      </w:r>
      <w:r w:rsidRPr="000155B4">
        <w:t>CWG-FHR</w:t>
      </w:r>
      <w:r w:rsidRPr="000155B4">
        <w:rPr>
          <w:rFonts w:hint="cs"/>
          <w:rtl/>
        </w:rPr>
        <w:t xml:space="preserve"> خلال اجتماعه في الفترة 24-26 يناير 2024 ما يلي:</w:t>
      </w:r>
    </w:p>
    <w:p w14:paraId="09EF1794" w14:textId="23CAC647" w:rsidR="00084674" w:rsidRPr="00D165B3" w:rsidRDefault="00084674" w:rsidP="00527146">
      <w:pPr>
        <w:rPr>
          <w:spacing w:val="-2"/>
          <w:rtl/>
        </w:rPr>
      </w:pPr>
      <w:r w:rsidRPr="00D165B3">
        <w:rPr>
          <w:spacing w:val="-2"/>
        </w:rPr>
        <w:t>1.3.1</w:t>
      </w:r>
      <w:r w:rsidRPr="00D165B3">
        <w:rPr>
          <w:spacing w:val="-2"/>
          <w:rtl/>
        </w:rPr>
        <w:tab/>
      </w:r>
      <w:r w:rsidRPr="00D165B3">
        <w:rPr>
          <w:rFonts w:hint="cs"/>
          <w:spacing w:val="-2"/>
          <w:rtl/>
        </w:rPr>
        <w:t xml:space="preserve">اقترحت </w:t>
      </w:r>
      <w:r w:rsidRPr="00D165B3">
        <w:rPr>
          <w:spacing w:val="-2"/>
          <w:rtl/>
        </w:rPr>
        <w:t>بعض الدول الأعضاء إحالة التقرير إلى المجلس للموافقة عليه</w:t>
      </w:r>
      <w:r w:rsidRPr="00D165B3">
        <w:rPr>
          <w:rFonts w:hint="cs"/>
          <w:spacing w:val="-2"/>
          <w:rtl/>
        </w:rPr>
        <w:t>،</w:t>
      </w:r>
      <w:r w:rsidRPr="00D165B3">
        <w:rPr>
          <w:spacing w:val="-2"/>
          <w:rtl/>
        </w:rPr>
        <w:t xml:space="preserve"> </w:t>
      </w:r>
      <w:r w:rsidRPr="00D165B3">
        <w:rPr>
          <w:rFonts w:hint="cs"/>
          <w:spacing w:val="-2"/>
          <w:rtl/>
        </w:rPr>
        <w:t>بينما</w:t>
      </w:r>
      <w:r w:rsidRPr="00D165B3">
        <w:rPr>
          <w:spacing w:val="-2"/>
          <w:rtl/>
        </w:rPr>
        <w:t xml:space="preserve"> توقعت دول أعضاء أخرى معلومات إضافية من اللجنة الاستشارية</w:t>
      </w:r>
      <w:r w:rsidRPr="00D165B3">
        <w:rPr>
          <w:rFonts w:hint="cs"/>
          <w:spacing w:val="-2"/>
          <w:rtl/>
        </w:rPr>
        <w:t>،</w:t>
      </w:r>
      <w:r w:rsidRPr="00D165B3">
        <w:rPr>
          <w:spacing w:val="-2"/>
          <w:rtl/>
        </w:rPr>
        <w:t xml:space="preserve"> والتنسيق مع قطاع</w:t>
      </w:r>
      <w:r w:rsidRPr="00D165B3">
        <w:rPr>
          <w:rFonts w:hint="cs"/>
          <w:spacing w:val="-2"/>
          <w:rtl/>
        </w:rPr>
        <w:t>ي</w:t>
      </w:r>
      <w:r w:rsidRPr="00D165B3">
        <w:rPr>
          <w:spacing w:val="-2"/>
          <w:rtl/>
        </w:rPr>
        <w:t xml:space="preserve"> الاتحاد ال</w:t>
      </w:r>
      <w:r w:rsidRPr="00D165B3">
        <w:rPr>
          <w:rFonts w:hint="cs"/>
          <w:spacing w:val="-2"/>
          <w:rtl/>
        </w:rPr>
        <w:t>آخرين،</w:t>
      </w:r>
      <w:r w:rsidRPr="00D165B3">
        <w:rPr>
          <w:spacing w:val="-2"/>
          <w:rtl/>
        </w:rPr>
        <w:t xml:space="preserve"> وتعزيز الدقة الشاملة في الوثيقة. وأشير إلى أن المعايير المقترحة ينبغي أن تكون قابلة للقياس </w:t>
      </w:r>
      <w:r w:rsidRPr="00D165B3">
        <w:rPr>
          <w:rFonts w:hint="cs"/>
          <w:spacing w:val="-2"/>
          <w:rtl/>
        </w:rPr>
        <w:t>و</w:t>
      </w:r>
      <w:r w:rsidRPr="00D165B3">
        <w:rPr>
          <w:spacing w:val="-2"/>
          <w:rtl/>
        </w:rPr>
        <w:t xml:space="preserve">تشمل دور المنظمات الإقليمية. وبعد </w:t>
      </w:r>
      <w:r w:rsidRPr="00D165B3">
        <w:rPr>
          <w:rFonts w:hint="cs"/>
          <w:spacing w:val="-2"/>
          <w:rtl/>
        </w:rPr>
        <w:t xml:space="preserve">إجراء </w:t>
      </w:r>
      <w:r w:rsidRPr="00D165B3">
        <w:rPr>
          <w:spacing w:val="-2"/>
          <w:rtl/>
        </w:rPr>
        <w:t xml:space="preserve">مناقشات عامة أخرى بشأن هذا الموضوع، تقرر أن يرسل الفريق </w:t>
      </w:r>
      <w:r w:rsidRPr="00D165B3">
        <w:rPr>
          <w:spacing w:val="-2"/>
          <w:cs/>
        </w:rPr>
        <w:t>‎</w:t>
      </w:r>
      <w:r w:rsidRPr="00D165B3">
        <w:rPr>
          <w:spacing w:val="-2"/>
        </w:rPr>
        <w:t xml:space="preserve"> CWG-FHR</w:t>
      </w:r>
      <w:r w:rsidRPr="00D165B3">
        <w:rPr>
          <w:spacing w:val="-2"/>
          <w:rtl/>
        </w:rPr>
        <w:t>‏بيان اتصال إلى الفريق الاستشاري لتنمية الاتصالات وإلى فريق التنسيق بين القطاعات</w:t>
      </w:r>
      <w:r w:rsidRPr="00D165B3">
        <w:rPr>
          <w:rFonts w:hint="cs"/>
          <w:spacing w:val="-2"/>
          <w:rtl/>
        </w:rPr>
        <w:t> </w:t>
      </w:r>
      <w:r w:rsidRPr="00D165B3">
        <w:rPr>
          <w:spacing w:val="-2"/>
          <w:rtl/>
        </w:rPr>
        <w:t>(</w:t>
      </w:r>
      <w:r w:rsidRPr="00D165B3">
        <w:rPr>
          <w:spacing w:val="-2"/>
          <w:cs/>
        </w:rPr>
        <w:t>‎</w:t>
      </w:r>
      <w:r w:rsidRPr="00D165B3">
        <w:rPr>
          <w:spacing w:val="-2"/>
        </w:rPr>
        <w:t>ISCG</w:t>
      </w:r>
      <w:r w:rsidRPr="00D165B3">
        <w:rPr>
          <w:spacing w:val="-2"/>
          <w:rtl/>
        </w:rPr>
        <w:t xml:space="preserve">)‏، يطلب فيه من الفريق الاستشاري والفريق </w:t>
      </w:r>
      <w:r w:rsidRPr="00D165B3">
        <w:rPr>
          <w:spacing w:val="-2"/>
          <w:cs/>
        </w:rPr>
        <w:t>‎</w:t>
      </w:r>
      <w:r w:rsidRPr="00D165B3">
        <w:rPr>
          <w:spacing w:val="-2"/>
        </w:rPr>
        <w:t>ISCG</w:t>
      </w:r>
      <w:r w:rsidRPr="00D165B3">
        <w:rPr>
          <w:spacing w:val="-2"/>
          <w:rtl/>
        </w:rPr>
        <w:t xml:space="preserve"> ‏استعراض</w:t>
      </w:r>
      <w:r w:rsidRPr="00D165B3">
        <w:rPr>
          <w:rFonts w:hint="cs"/>
          <w:spacing w:val="-2"/>
          <w:rtl/>
        </w:rPr>
        <w:t xml:space="preserve"> التقرير وتقديم</w:t>
      </w:r>
      <w:r w:rsidRPr="00D165B3">
        <w:rPr>
          <w:spacing w:val="-2"/>
          <w:rtl/>
        </w:rPr>
        <w:t xml:space="preserve"> </w:t>
      </w:r>
      <w:r w:rsidRPr="00D165B3">
        <w:rPr>
          <w:rFonts w:hint="cs"/>
          <w:spacing w:val="-2"/>
          <w:rtl/>
        </w:rPr>
        <w:t>التعقيبات</w:t>
      </w:r>
      <w:r w:rsidRPr="00D165B3">
        <w:rPr>
          <w:spacing w:val="-2"/>
          <w:rtl/>
        </w:rPr>
        <w:t xml:space="preserve"> إلى الاجتماع المقبل للمجلس</w:t>
      </w:r>
      <w:r w:rsidRPr="00D165B3">
        <w:rPr>
          <w:rFonts w:hint="cs"/>
          <w:spacing w:val="-2"/>
          <w:rtl/>
        </w:rPr>
        <w:t>.</w:t>
      </w:r>
    </w:p>
    <w:p w14:paraId="34684B87" w14:textId="77777777" w:rsidR="00084674" w:rsidRPr="000155B4" w:rsidRDefault="00084674" w:rsidP="00527146">
      <w:pPr>
        <w:pStyle w:val="Heading1"/>
        <w:rPr>
          <w:rtl/>
        </w:rPr>
      </w:pPr>
      <w:r w:rsidRPr="000155B4">
        <w:t>2</w:t>
      </w:r>
      <w:r w:rsidRPr="000155B4">
        <w:rPr>
          <w:rtl/>
        </w:rPr>
        <w:tab/>
        <w:t xml:space="preserve">ملخص الوثائق </w:t>
      </w:r>
      <w:r w:rsidRPr="00527146">
        <w:rPr>
          <w:rtl/>
        </w:rPr>
        <w:t>المرجعية</w:t>
      </w:r>
    </w:p>
    <w:p w14:paraId="20264DD1" w14:textId="77777777" w:rsidR="00084674" w:rsidRPr="00527146" w:rsidRDefault="00084674" w:rsidP="00527146">
      <w:pPr>
        <w:pStyle w:val="Heading2"/>
        <w:rPr>
          <w:rtl/>
        </w:rPr>
      </w:pPr>
      <w:r w:rsidRPr="00527146">
        <w:t>1.2</w:t>
      </w:r>
      <w:r w:rsidRPr="00527146">
        <w:rPr>
          <w:rtl/>
        </w:rPr>
        <w:tab/>
      </w:r>
      <w:bookmarkStart w:id="0" w:name="lt_pId043"/>
      <w:r w:rsidRPr="00527146">
        <w:t>CWG-FHR-16/10</w:t>
      </w:r>
      <w:bookmarkEnd w:id="0"/>
    </w:p>
    <w:p w14:paraId="7884013F" w14:textId="77777777" w:rsidR="00084674" w:rsidRPr="000155B4" w:rsidRDefault="00084674" w:rsidP="00084674">
      <w:pPr>
        <w:rPr>
          <w:rtl/>
        </w:rPr>
      </w:pPr>
      <w:r w:rsidRPr="000155B4">
        <w:t>1.1.2</w:t>
      </w:r>
      <w:r w:rsidRPr="000155B4">
        <w:rPr>
          <w:rtl/>
        </w:rPr>
        <w:tab/>
      </w:r>
      <w:r w:rsidRPr="000155B4">
        <w:rPr>
          <w:rFonts w:hint="cs"/>
          <w:rtl/>
        </w:rPr>
        <w:t>تنص</w:t>
      </w:r>
      <w:r w:rsidRPr="000155B4">
        <w:rPr>
          <w:rtl/>
        </w:rPr>
        <w:t xml:space="preserve"> الوثيقة </w:t>
      </w:r>
      <w:r w:rsidRPr="000155B4">
        <w:rPr>
          <w:rFonts w:hint="cs"/>
          <w:rtl/>
        </w:rPr>
        <w:t xml:space="preserve">على </w:t>
      </w:r>
      <w:r w:rsidRPr="000155B4">
        <w:rPr>
          <w:rtl/>
        </w:rPr>
        <w:t xml:space="preserve">أن توسيع الحضور الإقليمي للاتحاد </w:t>
      </w:r>
      <w:r w:rsidRPr="000155B4">
        <w:rPr>
          <w:rFonts w:hint="cs"/>
          <w:rtl/>
        </w:rPr>
        <w:t xml:space="preserve">ينبغي النظر فيه </w:t>
      </w:r>
      <w:r w:rsidRPr="000155B4">
        <w:rPr>
          <w:rtl/>
        </w:rPr>
        <w:t>عند</w:t>
      </w:r>
      <w:r w:rsidRPr="000155B4">
        <w:rPr>
          <w:rFonts w:hint="cs"/>
          <w:rtl/>
        </w:rPr>
        <w:t xml:space="preserve"> إثبات أن </w:t>
      </w:r>
      <w:r w:rsidRPr="000155B4">
        <w:rPr>
          <w:rtl/>
        </w:rPr>
        <w:t>تغطية الاتحاد</w:t>
      </w:r>
      <w:r w:rsidRPr="000155B4">
        <w:rPr>
          <w:rFonts w:hint="cs"/>
          <w:rtl/>
        </w:rPr>
        <w:t xml:space="preserve"> تنطوي على ثغرات</w:t>
      </w:r>
      <w:r w:rsidRPr="000155B4">
        <w:rPr>
          <w:rtl/>
        </w:rPr>
        <w:t xml:space="preserve"> تشمل عدد</w:t>
      </w:r>
      <w:r w:rsidRPr="000155B4">
        <w:rPr>
          <w:rFonts w:hint="cs"/>
          <w:rtl/>
        </w:rPr>
        <w:t xml:space="preserve">اً </w:t>
      </w:r>
      <w:r w:rsidRPr="000155B4">
        <w:rPr>
          <w:rtl/>
        </w:rPr>
        <w:t>كافي</w:t>
      </w:r>
      <w:r w:rsidRPr="000155B4">
        <w:rPr>
          <w:rFonts w:hint="cs"/>
          <w:rtl/>
        </w:rPr>
        <w:t>اً</w:t>
      </w:r>
      <w:r w:rsidRPr="000155B4">
        <w:rPr>
          <w:rtl/>
        </w:rPr>
        <w:t xml:space="preserve"> من البلدان لتبرير التوس</w:t>
      </w:r>
      <w:r w:rsidRPr="000155B4">
        <w:rPr>
          <w:rFonts w:hint="cs"/>
          <w:rtl/>
        </w:rPr>
        <w:t>ي</w:t>
      </w:r>
      <w:r w:rsidRPr="000155B4">
        <w:rPr>
          <w:rtl/>
        </w:rPr>
        <w:t xml:space="preserve">ع. </w:t>
      </w:r>
      <w:r w:rsidRPr="000155B4">
        <w:rPr>
          <w:rFonts w:hint="cs"/>
          <w:rtl/>
        </w:rPr>
        <w:t>وينبغي</w:t>
      </w:r>
      <w:r w:rsidRPr="000155B4">
        <w:rPr>
          <w:rtl/>
        </w:rPr>
        <w:t xml:space="preserve"> إجراء تقييم لتحديد ما إذا كانت هناك أي </w:t>
      </w:r>
      <w:r w:rsidRPr="000155B4">
        <w:rPr>
          <w:rFonts w:hint="cs"/>
          <w:rtl/>
        </w:rPr>
        <w:t>ثغرات</w:t>
      </w:r>
      <w:r w:rsidRPr="000155B4">
        <w:rPr>
          <w:rtl/>
        </w:rPr>
        <w:t xml:space="preserve"> في التغطية الحالية للحضور الإقليمي للاتحاد. </w:t>
      </w:r>
      <w:r w:rsidRPr="000155B4">
        <w:rPr>
          <w:rFonts w:hint="cs"/>
          <w:rtl/>
        </w:rPr>
        <w:t>و</w:t>
      </w:r>
      <w:r w:rsidRPr="000155B4">
        <w:rPr>
          <w:rtl/>
        </w:rPr>
        <w:t xml:space="preserve">إذا </w:t>
      </w:r>
      <w:r w:rsidRPr="000155B4">
        <w:rPr>
          <w:rFonts w:hint="cs"/>
          <w:rtl/>
        </w:rPr>
        <w:t>تبين من</w:t>
      </w:r>
      <w:r w:rsidRPr="000155B4">
        <w:rPr>
          <w:rtl/>
        </w:rPr>
        <w:t xml:space="preserve"> التقييم </w:t>
      </w:r>
      <w:r w:rsidRPr="000155B4">
        <w:rPr>
          <w:rFonts w:hint="cs"/>
          <w:rtl/>
        </w:rPr>
        <w:t>وجود ثغرة</w:t>
      </w:r>
      <w:r w:rsidRPr="000155B4">
        <w:rPr>
          <w:rtl/>
        </w:rPr>
        <w:t xml:space="preserve"> جغرافية </w:t>
      </w:r>
      <w:r w:rsidRPr="000155B4">
        <w:rPr>
          <w:rFonts w:hint="cs"/>
          <w:rtl/>
        </w:rPr>
        <w:t xml:space="preserve">حيث التغطية لا تشمل </w:t>
      </w:r>
      <w:r w:rsidRPr="000155B4">
        <w:rPr>
          <w:rtl/>
        </w:rPr>
        <w:t xml:space="preserve">بلدان متعددة بشكل فعال، </w:t>
      </w:r>
      <w:r w:rsidRPr="000155B4">
        <w:rPr>
          <w:rFonts w:hint="cs"/>
          <w:rtl/>
        </w:rPr>
        <w:t xml:space="preserve">ينبغي عندئذ تحديد المنطقة بأنها </w:t>
      </w:r>
      <w:r w:rsidRPr="000155B4">
        <w:rPr>
          <w:rtl/>
        </w:rPr>
        <w:t xml:space="preserve">"منطقة" </w:t>
      </w:r>
      <w:r w:rsidRPr="000155B4">
        <w:rPr>
          <w:rFonts w:hint="cs"/>
          <w:rtl/>
        </w:rPr>
        <w:t>من المحتمل أن يغطيها الاتحاد و</w:t>
      </w:r>
      <w:r w:rsidRPr="000155B4">
        <w:rPr>
          <w:rtl/>
        </w:rPr>
        <w:t xml:space="preserve">قد تكون مناسبة </w:t>
      </w:r>
      <w:r w:rsidRPr="000155B4">
        <w:rPr>
          <w:rFonts w:hint="cs"/>
          <w:rtl/>
        </w:rPr>
        <w:t>لحضور جديد للاتحاد.</w:t>
      </w:r>
    </w:p>
    <w:p w14:paraId="7B30C22C" w14:textId="77777777" w:rsidR="00084674" w:rsidRPr="000155B4" w:rsidRDefault="00084674" w:rsidP="00084674">
      <w:pPr>
        <w:rPr>
          <w:rtl/>
        </w:rPr>
      </w:pPr>
      <w:r w:rsidRPr="000155B4">
        <w:t>2.1.2</w:t>
      </w:r>
      <w:r w:rsidRPr="000155B4">
        <w:rPr>
          <w:rtl/>
        </w:rPr>
        <w:tab/>
        <w:t xml:space="preserve">وبمجرد تحديد </w:t>
      </w:r>
      <w:r w:rsidRPr="000155B4">
        <w:rPr>
          <w:rFonts w:hint="cs"/>
          <w:rtl/>
        </w:rPr>
        <w:t>وجود</w:t>
      </w:r>
      <w:r w:rsidRPr="000155B4">
        <w:rPr>
          <w:rtl/>
        </w:rPr>
        <w:t xml:space="preserve"> منطقة جغرافية تضم بلدانا</w:t>
      </w:r>
      <w:r w:rsidRPr="000155B4">
        <w:rPr>
          <w:rFonts w:hint="cs"/>
          <w:rtl/>
        </w:rPr>
        <w:t>ً</w:t>
      </w:r>
      <w:r w:rsidRPr="000155B4">
        <w:rPr>
          <w:rtl/>
        </w:rPr>
        <w:t xml:space="preserve"> متعددة لا يمكن </w:t>
      </w:r>
      <w:r w:rsidRPr="000155B4">
        <w:rPr>
          <w:rFonts w:hint="cs"/>
          <w:rtl/>
        </w:rPr>
        <w:t xml:space="preserve">لمكتب قائم أن يلبي احتياجاتها </w:t>
      </w:r>
      <w:r w:rsidRPr="000155B4">
        <w:rPr>
          <w:rtl/>
        </w:rPr>
        <w:t xml:space="preserve">بفعالية، </w:t>
      </w:r>
      <w:r w:rsidRPr="000155B4">
        <w:rPr>
          <w:rFonts w:hint="cs"/>
          <w:rtl/>
        </w:rPr>
        <w:t>ستكون</w:t>
      </w:r>
      <w:r w:rsidRPr="000155B4">
        <w:rPr>
          <w:rtl/>
        </w:rPr>
        <w:t xml:space="preserve"> الخطوة التالية هي تحديد ما إذا كان من المناسب توسيع الحضور الإقليمي للاتحاد لمعالجة هذه </w:t>
      </w:r>
      <w:r w:rsidRPr="000155B4">
        <w:rPr>
          <w:rFonts w:hint="cs"/>
          <w:rtl/>
        </w:rPr>
        <w:t>الثغرة</w:t>
      </w:r>
      <w:r w:rsidRPr="000155B4">
        <w:rPr>
          <w:rtl/>
        </w:rPr>
        <w:t>، و</w:t>
      </w:r>
      <w:r w:rsidRPr="000155B4">
        <w:rPr>
          <w:rFonts w:hint="cs"/>
          <w:rtl/>
        </w:rPr>
        <w:t xml:space="preserve">تحديد مكان حضور </w:t>
      </w:r>
      <w:r w:rsidRPr="000155B4">
        <w:rPr>
          <w:rtl/>
        </w:rPr>
        <w:t>الاتحاد في المنطقة</w:t>
      </w:r>
      <w:r w:rsidRPr="000155B4">
        <w:rPr>
          <w:rFonts w:hint="cs"/>
          <w:rtl/>
        </w:rPr>
        <w:t>.</w:t>
      </w:r>
    </w:p>
    <w:p w14:paraId="18960E98" w14:textId="77777777" w:rsidR="00084674" w:rsidRPr="000155B4" w:rsidRDefault="00084674" w:rsidP="00084674">
      <w:pPr>
        <w:rPr>
          <w:rtl/>
        </w:rPr>
      </w:pPr>
      <w:r w:rsidRPr="000155B4">
        <w:t>3.1.2</w:t>
      </w:r>
      <w:r w:rsidRPr="000155B4">
        <w:rPr>
          <w:rtl/>
        </w:rPr>
        <w:tab/>
      </w:r>
      <w:r w:rsidRPr="000155B4">
        <w:rPr>
          <w:rFonts w:hint="cs"/>
          <w:rtl/>
        </w:rPr>
        <w:t>تُعرض المعايير التالية فيما يتعلق باستحداث حضور جديد في منطقة تَحدَّد وجود ثغرة فيها:</w:t>
      </w:r>
    </w:p>
    <w:p w14:paraId="4FBA9364" w14:textId="77777777" w:rsidR="00084674" w:rsidRPr="000155B4" w:rsidRDefault="00084674" w:rsidP="00084674">
      <w:pPr>
        <w:pStyle w:val="enumlev1"/>
        <w:rPr>
          <w:rtl/>
        </w:rPr>
      </w:pPr>
      <w:r w:rsidRPr="000155B4">
        <w:sym w:font="Symbol" w:char="F0B7"/>
      </w:r>
      <w:r w:rsidRPr="000155B4">
        <w:tab/>
      </w:r>
      <w:r w:rsidRPr="000155B4">
        <w:rPr>
          <w:rFonts w:hint="cs"/>
          <w:b/>
          <w:bCs/>
          <w:rtl/>
        </w:rPr>
        <w:t>الأهمية</w:t>
      </w:r>
      <w:r w:rsidRPr="000155B4">
        <w:rPr>
          <w:rFonts w:hint="cs"/>
          <w:rtl/>
        </w:rPr>
        <w:t xml:space="preserve"> </w:t>
      </w:r>
      <w:r w:rsidRPr="000155B4">
        <w:rPr>
          <w:rtl/>
        </w:rPr>
        <w:t>–</w:t>
      </w:r>
      <w:r w:rsidRPr="000155B4">
        <w:rPr>
          <w:rFonts w:hint="cs"/>
          <w:rtl/>
        </w:rPr>
        <w:t xml:space="preserve"> ينبغي أن يمكّن الموقع الجديد المقترح من تحسين قدرة الاتحاد على إحداث أثر في العديد من البلدان.</w:t>
      </w:r>
    </w:p>
    <w:p w14:paraId="43B549AE" w14:textId="77777777" w:rsidR="00084674" w:rsidRPr="000155B4" w:rsidRDefault="00084674" w:rsidP="00084674">
      <w:pPr>
        <w:pStyle w:val="enumlev1"/>
        <w:rPr>
          <w:rtl/>
        </w:rPr>
      </w:pPr>
      <w:r w:rsidRPr="000155B4">
        <w:sym w:font="Symbol" w:char="F0B7"/>
      </w:r>
      <w:r w:rsidRPr="000155B4">
        <w:tab/>
      </w:r>
      <w:r w:rsidRPr="000155B4">
        <w:rPr>
          <w:rFonts w:hint="cs"/>
          <w:b/>
          <w:bCs/>
          <w:rtl/>
        </w:rPr>
        <w:t>الحصرية</w:t>
      </w:r>
      <w:r w:rsidRPr="000155B4">
        <w:rPr>
          <w:rFonts w:hint="cs"/>
          <w:rtl/>
        </w:rPr>
        <w:t xml:space="preserve"> </w:t>
      </w:r>
      <w:r w:rsidRPr="000155B4">
        <w:rPr>
          <w:rtl/>
        </w:rPr>
        <w:t>–</w:t>
      </w:r>
      <w:r w:rsidRPr="000155B4">
        <w:rPr>
          <w:rFonts w:hint="cs"/>
          <w:rtl/>
        </w:rPr>
        <w:t xml:space="preserve"> لا يستنسخ الموقع المقترح أي حضور قائم على الصعيد دون الإقليمي.</w:t>
      </w:r>
    </w:p>
    <w:p w14:paraId="1CD876B3" w14:textId="77777777" w:rsidR="00084674" w:rsidRPr="000155B4" w:rsidRDefault="00084674" w:rsidP="00084674">
      <w:pPr>
        <w:pStyle w:val="enumlev1"/>
        <w:rPr>
          <w:rtl/>
        </w:rPr>
      </w:pPr>
      <w:r w:rsidRPr="000155B4">
        <w:sym w:font="Symbol" w:char="F0B7"/>
      </w:r>
      <w:r w:rsidRPr="000155B4">
        <w:tab/>
      </w:r>
      <w:r w:rsidRPr="000155B4">
        <w:rPr>
          <w:rFonts w:hint="cs"/>
          <w:b/>
          <w:bCs/>
          <w:rtl/>
        </w:rPr>
        <w:t>الجدوى</w:t>
      </w:r>
      <w:r w:rsidRPr="000155B4">
        <w:rPr>
          <w:rFonts w:hint="cs"/>
          <w:rtl/>
        </w:rPr>
        <w:t xml:space="preserve"> </w:t>
      </w:r>
      <w:r w:rsidRPr="000155B4">
        <w:rPr>
          <w:rtl/>
        </w:rPr>
        <w:t>–</w:t>
      </w:r>
      <w:r w:rsidRPr="000155B4">
        <w:rPr>
          <w:rFonts w:hint="cs"/>
          <w:rtl/>
        </w:rPr>
        <w:t xml:space="preserve"> يمكن تأمين الموارد الكافية لإنشاء المكتب ودعم كتلة حرجة دنيا من المهارات التقنية لفترة زمنية طويلة، وينبغي أن تكون لدى البلد المضيف الموارد الكافية للوفاء بالالتزامات المطلوبة لاستضافة مكتب للاتحاد، وينبغي أن يلتزم بذلك.</w:t>
      </w:r>
    </w:p>
    <w:p w14:paraId="374E6661" w14:textId="77777777" w:rsidR="00084674" w:rsidRPr="00E962A2" w:rsidRDefault="00084674" w:rsidP="00084674">
      <w:pPr>
        <w:pStyle w:val="enumlev1"/>
        <w:rPr>
          <w:spacing w:val="-2"/>
          <w:rtl/>
        </w:rPr>
      </w:pPr>
      <w:r w:rsidRPr="00E962A2">
        <w:rPr>
          <w:spacing w:val="-2"/>
        </w:rPr>
        <w:sym w:font="Symbol" w:char="F0B7"/>
      </w:r>
      <w:r w:rsidRPr="00E962A2">
        <w:rPr>
          <w:spacing w:val="-2"/>
        </w:rPr>
        <w:tab/>
      </w:r>
      <w:r w:rsidRPr="00E962A2">
        <w:rPr>
          <w:rFonts w:hint="cs"/>
          <w:b/>
          <w:bCs/>
          <w:spacing w:val="-2"/>
          <w:rtl/>
        </w:rPr>
        <w:t>الأمن</w:t>
      </w:r>
      <w:r w:rsidRPr="00E962A2">
        <w:rPr>
          <w:rFonts w:hint="cs"/>
          <w:spacing w:val="-2"/>
          <w:rtl/>
        </w:rPr>
        <w:t xml:space="preserve"> </w:t>
      </w:r>
      <w:r w:rsidRPr="00E962A2">
        <w:rPr>
          <w:spacing w:val="-2"/>
          <w:rtl/>
        </w:rPr>
        <w:t>–</w:t>
      </w:r>
      <w:r w:rsidRPr="00E962A2">
        <w:rPr>
          <w:rFonts w:hint="cs"/>
          <w:spacing w:val="-2"/>
          <w:rtl/>
        </w:rPr>
        <w:t xml:space="preserve"> ينبغي ألا يسفر تقييم إدارة الأمم المتحدة لشؤون السلامة والأمن </w:t>
      </w:r>
      <w:r w:rsidRPr="00E962A2">
        <w:rPr>
          <w:spacing w:val="-2"/>
        </w:rPr>
        <w:t>(UNDSS)</w:t>
      </w:r>
      <w:r w:rsidRPr="00E962A2">
        <w:rPr>
          <w:rFonts w:hint="cs"/>
          <w:spacing w:val="-2"/>
          <w:rtl/>
        </w:rPr>
        <w:t xml:space="preserve"> للموقع عن تدني مستواه الأمني، أي أن الموقع ينبغي ألا يشكل أي تهديد محدد لسلامة الموظفين واستمرارية الأعمال.</w:t>
      </w:r>
    </w:p>
    <w:p w14:paraId="55BA574D" w14:textId="77777777" w:rsidR="00084674" w:rsidRPr="000155B4" w:rsidRDefault="00084674" w:rsidP="00084674">
      <w:pPr>
        <w:pStyle w:val="enumlev1"/>
        <w:rPr>
          <w:rtl/>
        </w:rPr>
      </w:pPr>
      <w:r w:rsidRPr="000155B4">
        <w:sym w:font="Symbol" w:char="F0B7"/>
      </w:r>
      <w:r w:rsidRPr="000155B4">
        <w:tab/>
      </w:r>
      <w:r w:rsidRPr="000155B4">
        <w:rPr>
          <w:rFonts w:hint="cs"/>
          <w:b/>
          <w:bCs/>
          <w:rtl/>
        </w:rPr>
        <w:t>القرب</w:t>
      </w:r>
      <w:r w:rsidRPr="000155B4">
        <w:rPr>
          <w:rFonts w:hint="cs"/>
          <w:rtl/>
        </w:rPr>
        <w:t xml:space="preserve"> </w:t>
      </w:r>
      <w:r w:rsidRPr="000155B4">
        <w:rPr>
          <w:rtl/>
        </w:rPr>
        <w:t>–</w:t>
      </w:r>
      <w:r w:rsidRPr="000155B4">
        <w:rPr>
          <w:rFonts w:hint="cs"/>
          <w:rtl/>
        </w:rPr>
        <w:t xml:space="preserve"> القرب الجغرافي الفعال من البلدان المحتاجة، ولا سيما أقل البلدان نمواً والبلدان النامية غير الساحلية والدول الجزرية الصغيرة النامية، والنفاذ الجيد إلى المراكز الإقليمية أو دون الإقليمية التابعة لوكالات الأمم المتحدة الأخرى و/أو إلى منظمة إقليمية للاتصالات.</w:t>
      </w:r>
    </w:p>
    <w:p w14:paraId="68B40A6C" w14:textId="77777777" w:rsidR="00084674" w:rsidRPr="000155B4" w:rsidRDefault="00084674" w:rsidP="00084674">
      <w:pPr>
        <w:pStyle w:val="enumlev1"/>
        <w:rPr>
          <w:rtl/>
        </w:rPr>
      </w:pPr>
      <w:r w:rsidRPr="000155B4">
        <w:sym w:font="Symbol" w:char="F0B7"/>
      </w:r>
      <w:r w:rsidRPr="000155B4">
        <w:tab/>
      </w:r>
      <w:r w:rsidRPr="000155B4">
        <w:rPr>
          <w:rFonts w:hint="cs"/>
          <w:b/>
          <w:bCs/>
          <w:rtl/>
        </w:rPr>
        <w:t>إمكانية النفاذ</w:t>
      </w:r>
      <w:r w:rsidRPr="000155B4">
        <w:rPr>
          <w:rFonts w:hint="cs"/>
          <w:rtl/>
        </w:rPr>
        <w:t xml:space="preserve"> </w:t>
      </w:r>
      <w:r w:rsidRPr="000155B4">
        <w:rPr>
          <w:rtl/>
        </w:rPr>
        <w:t>–</w:t>
      </w:r>
      <w:r w:rsidRPr="000155B4">
        <w:rPr>
          <w:rFonts w:hint="cs"/>
          <w:rtl/>
        </w:rPr>
        <w:t xml:space="preserve"> يتيح الموقع المقترح النفاذ إلى محور للخطوط الجوية يشمل العديد من الخطوط الدولية (لتيسير النفاذ الخارجي) والخطوط المباشرة التي تربطه ببلدان أخرى في المنطقة دون الإقليمية.</w:t>
      </w:r>
    </w:p>
    <w:p w14:paraId="5E00CF30" w14:textId="77777777" w:rsidR="00084674" w:rsidRPr="000155B4" w:rsidRDefault="00084674" w:rsidP="00084674">
      <w:pPr>
        <w:rPr>
          <w:rtl/>
        </w:rPr>
      </w:pPr>
      <w:r w:rsidRPr="000155B4">
        <w:lastRenderedPageBreak/>
        <w:t>4.1.2</w:t>
      </w:r>
      <w:r w:rsidRPr="000155B4">
        <w:rPr>
          <w:rtl/>
        </w:rPr>
        <w:tab/>
        <w:t>وبعد تحديد أن الحضور الإضافي للاتحاد مرغوب فيه، وتحديد المواقع المحتملة ل</w:t>
      </w:r>
      <w:r w:rsidRPr="000155B4">
        <w:rPr>
          <w:rFonts w:hint="cs"/>
          <w:rtl/>
        </w:rPr>
        <w:t>حضور</w:t>
      </w:r>
      <w:r w:rsidRPr="000155B4">
        <w:rPr>
          <w:rtl/>
        </w:rPr>
        <w:t xml:space="preserve"> الاتحاد، ينبغي تحديد الشكل الذي سيتخذه هذا الحضور. وقد ينطوي ذلك على فتح مكتب إقليمي أو مكتب منطقة جديد أو </w:t>
      </w:r>
      <w:r w:rsidRPr="000155B4">
        <w:rPr>
          <w:rFonts w:hint="cs"/>
          <w:rtl/>
        </w:rPr>
        <w:t>إقامة شراكة</w:t>
      </w:r>
      <w:r w:rsidRPr="000155B4">
        <w:rPr>
          <w:rtl/>
        </w:rPr>
        <w:t xml:space="preserve"> مع وكالات أو</w:t>
      </w:r>
      <w:r>
        <w:rPr>
          <w:rFonts w:hint="cs"/>
          <w:rtl/>
        </w:rPr>
        <w:t> </w:t>
      </w:r>
      <w:r w:rsidRPr="000155B4">
        <w:rPr>
          <w:rtl/>
        </w:rPr>
        <w:t xml:space="preserve">كيانات دولية أخرى لزيادة أنشطة الاتحاد في </w:t>
      </w:r>
      <w:r w:rsidRPr="000155B4">
        <w:rPr>
          <w:rFonts w:hint="cs"/>
          <w:rtl/>
        </w:rPr>
        <w:t>المنطقة.</w:t>
      </w:r>
    </w:p>
    <w:p w14:paraId="60194B3D" w14:textId="77777777" w:rsidR="00084674" w:rsidRPr="000155B4" w:rsidRDefault="00084674" w:rsidP="00084674">
      <w:pPr>
        <w:pStyle w:val="Heading2"/>
        <w:rPr>
          <w:rtl/>
        </w:rPr>
      </w:pPr>
      <w:r w:rsidRPr="000155B4">
        <w:t>2.2</w:t>
      </w:r>
      <w:r w:rsidRPr="000155B4">
        <w:rPr>
          <w:rtl/>
        </w:rPr>
        <w:tab/>
      </w:r>
      <w:bookmarkStart w:id="1" w:name="lt_pId062"/>
      <w:r w:rsidRPr="000155B4">
        <w:t>CWG-FHR-16/2(Rev.1)</w:t>
      </w:r>
      <w:bookmarkEnd w:id="1"/>
    </w:p>
    <w:p w14:paraId="45684517" w14:textId="77777777" w:rsidR="00084674" w:rsidRPr="000155B4" w:rsidRDefault="00084674" w:rsidP="00084674">
      <w:pPr>
        <w:rPr>
          <w:rtl/>
        </w:rPr>
      </w:pPr>
      <w:r w:rsidRPr="000155B4">
        <w:t>1.2.2</w:t>
      </w:r>
      <w:r w:rsidRPr="000155B4">
        <w:rPr>
          <w:rtl/>
        </w:rPr>
        <w:tab/>
        <w:t>‏تنص الوثيقة على أن الحضور الإقليمي يؤدي دورا</w:t>
      </w:r>
      <w:r w:rsidRPr="000155B4">
        <w:rPr>
          <w:rFonts w:hint="cs"/>
          <w:rtl/>
        </w:rPr>
        <w:t>ً</w:t>
      </w:r>
      <w:r w:rsidRPr="000155B4">
        <w:rPr>
          <w:rtl/>
        </w:rPr>
        <w:t xml:space="preserve"> حيويا</w:t>
      </w:r>
      <w:r w:rsidRPr="000155B4">
        <w:rPr>
          <w:rFonts w:hint="cs"/>
          <w:rtl/>
        </w:rPr>
        <w:t>ً</w:t>
      </w:r>
      <w:r w:rsidRPr="000155B4">
        <w:rPr>
          <w:rtl/>
        </w:rPr>
        <w:t xml:space="preserve"> في تحقيق رسالة الاتحاد، وتعزيز فهم الاتحاد للسياق</w:t>
      </w:r>
      <w:r w:rsidRPr="000155B4">
        <w:rPr>
          <w:rFonts w:hint="cs"/>
          <w:rtl/>
        </w:rPr>
        <w:t>ات</w:t>
      </w:r>
      <w:r w:rsidRPr="000155B4">
        <w:rPr>
          <w:rtl/>
        </w:rPr>
        <w:t xml:space="preserve"> المحلي</w:t>
      </w:r>
      <w:r w:rsidRPr="000155B4">
        <w:rPr>
          <w:rFonts w:hint="cs"/>
          <w:rtl/>
        </w:rPr>
        <w:t>ة</w:t>
      </w:r>
      <w:r w:rsidRPr="000155B4">
        <w:rPr>
          <w:rtl/>
        </w:rPr>
        <w:t xml:space="preserve"> </w:t>
      </w:r>
      <w:r w:rsidRPr="000155B4">
        <w:rPr>
          <w:rFonts w:hint="cs"/>
          <w:rtl/>
        </w:rPr>
        <w:t>و</w:t>
      </w:r>
      <w:r w:rsidRPr="000155B4">
        <w:rPr>
          <w:rtl/>
        </w:rPr>
        <w:t>تلبي</w:t>
      </w:r>
      <w:r w:rsidRPr="000155B4">
        <w:rPr>
          <w:rFonts w:hint="cs"/>
          <w:rtl/>
        </w:rPr>
        <w:t>ته</w:t>
      </w:r>
      <w:r w:rsidRPr="000155B4">
        <w:rPr>
          <w:rtl/>
        </w:rPr>
        <w:t xml:space="preserve"> </w:t>
      </w:r>
      <w:r w:rsidRPr="000155B4">
        <w:rPr>
          <w:rFonts w:hint="cs"/>
          <w:rtl/>
        </w:rPr>
        <w:t>لا</w:t>
      </w:r>
      <w:r w:rsidRPr="000155B4">
        <w:rPr>
          <w:rtl/>
        </w:rPr>
        <w:t>حتياجات البلدان</w:t>
      </w:r>
      <w:r w:rsidRPr="000155B4">
        <w:rPr>
          <w:rFonts w:hint="cs"/>
          <w:rtl/>
        </w:rPr>
        <w:t xml:space="preserve"> بفعالية، خاصة أن </w:t>
      </w:r>
      <w:r w:rsidRPr="000155B4">
        <w:rPr>
          <w:rtl/>
        </w:rPr>
        <w:t>دور المكاتب الإقليمية ومكاتب المناطق التابعة للاتحاد</w:t>
      </w:r>
      <w:r w:rsidRPr="000155B4">
        <w:rPr>
          <w:rFonts w:hint="cs"/>
          <w:rtl/>
        </w:rPr>
        <w:t xml:space="preserve"> يتمثل</w:t>
      </w:r>
      <w:r w:rsidRPr="000155B4">
        <w:rPr>
          <w:rtl/>
        </w:rPr>
        <w:t xml:space="preserve"> في</w:t>
      </w:r>
      <w:r>
        <w:rPr>
          <w:rFonts w:hint="cs"/>
          <w:rtl/>
        </w:rPr>
        <w:t> </w:t>
      </w:r>
      <w:r w:rsidRPr="000155B4">
        <w:rPr>
          <w:rtl/>
        </w:rPr>
        <w:t xml:space="preserve">مساعدة بلدان المناطق في العديد من المجالات، مثل تنفيذ المشاريع ومتابعتها، بما في ذلك </w:t>
      </w:r>
      <w:r w:rsidRPr="000155B4">
        <w:rPr>
          <w:rFonts w:hint="cs"/>
          <w:rtl/>
        </w:rPr>
        <w:t xml:space="preserve">المشاريع المتعلقة </w:t>
      </w:r>
      <w:r w:rsidRPr="000155B4">
        <w:rPr>
          <w:rtl/>
        </w:rPr>
        <w:t>بالمبادرات الإقليمية</w:t>
      </w:r>
      <w:r w:rsidRPr="000155B4">
        <w:rPr>
          <w:rFonts w:hint="cs"/>
          <w:rtl/>
        </w:rPr>
        <w:t>،</w:t>
      </w:r>
      <w:r w:rsidRPr="000155B4">
        <w:rPr>
          <w:rtl/>
        </w:rPr>
        <w:t xml:space="preserve"> وسد الفجوة </w:t>
      </w:r>
      <w:proofErr w:type="spellStart"/>
      <w:r w:rsidRPr="000155B4">
        <w:rPr>
          <w:rtl/>
        </w:rPr>
        <w:t>التقييسية</w:t>
      </w:r>
      <w:proofErr w:type="spellEnd"/>
      <w:r w:rsidRPr="000155B4">
        <w:rPr>
          <w:rtl/>
        </w:rPr>
        <w:t xml:space="preserve"> وبناء القدرات </w:t>
      </w:r>
      <w:r w:rsidRPr="000155B4">
        <w:rPr>
          <w:rFonts w:hint="cs"/>
          <w:rtl/>
        </w:rPr>
        <w:t>في مجال</w:t>
      </w:r>
      <w:r w:rsidRPr="000155B4">
        <w:rPr>
          <w:rtl/>
        </w:rPr>
        <w:t xml:space="preserve"> إدارة الترددات </w:t>
      </w:r>
      <w:r w:rsidRPr="000155B4">
        <w:rPr>
          <w:rFonts w:hint="cs"/>
          <w:rtl/>
        </w:rPr>
        <w:t>وإحاطة</w:t>
      </w:r>
      <w:r w:rsidRPr="000155B4">
        <w:rPr>
          <w:rtl/>
        </w:rPr>
        <w:t xml:space="preserve"> المناطق </w:t>
      </w:r>
      <w:r w:rsidRPr="000155B4">
        <w:rPr>
          <w:rFonts w:hint="cs"/>
          <w:rtl/>
        </w:rPr>
        <w:t xml:space="preserve">علماً بمستجدات </w:t>
      </w:r>
      <w:r w:rsidRPr="000155B4">
        <w:rPr>
          <w:rtl/>
        </w:rPr>
        <w:t>أنشطة الاتحاد وتعزيز التعاون مع المنظمات الإقليمية للاتصالات</w:t>
      </w:r>
      <w:r w:rsidRPr="000155B4">
        <w:rPr>
          <w:cs/>
        </w:rPr>
        <w:t>‎</w:t>
      </w:r>
      <w:r w:rsidRPr="000155B4">
        <w:rPr>
          <w:rFonts w:hint="cs"/>
          <w:rtl/>
        </w:rPr>
        <w:t>.</w:t>
      </w:r>
    </w:p>
    <w:p w14:paraId="4C2F6CB4" w14:textId="77777777" w:rsidR="00084674" w:rsidRPr="000155B4" w:rsidRDefault="00084674" w:rsidP="00084674">
      <w:pPr>
        <w:rPr>
          <w:rtl/>
        </w:rPr>
      </w:pPr>
      <w:r w:rsidRPr="000155B4">
        <w:t>2.2.2</w:t>
      </w:r>
      <w:r w:rsidRPr="000155B4">
        <w:rPr>
          <w:rtl/>
        </w:rPr>
        <w:tab/>
        <w:t xml:space="preserve">وتقدم الوثيقة آراء بشأن الدعم الذي يقدمه قطاع تنمية الاتصالات </w:t>
      </w:r>
      <w:r w:rsidRPr="000155B4">
        <w:rPr>
          <w:rFonts w:hint="cs"/>
          <w:rtl/>
        </w:rPr>
        <w:t xml:space="preserve">بالاتحاد </w:t>
      </w:r>
      <w:r w:rsidRPr="000155B4">
        <w:rPr>
          <w:rtl/>
        </w:rPr>
        <w:t xml:space="preserve">من خلال الحضور الإقليمي. وتشير </w:t>
      </w:r>
      <w:r w:rsidRPr="000155B4">
        <w:rPr>
          <w:rFonts w:hint="cs"/>
          <w:rtl/>
        </w:rPr>
        <w:t xml:space="preserve">الوثيقة </w:t>
      </w:r>
      <w:r w:rsidRPr="000155B4">
        <w:rPr>
          <w:rtl/>
        </w:rPr>
        <w:t>إلى أن معظم التوصيات المقدمة لتعزيز الحضور الإقليمي قد ن</w:t>
      </w:r>
      <w:r w:rsidRPr="000155B4">
        <w:rPr>
          <w:rFonts w:hint="cs"/>
          <w:rtl/>
        </w:rPr>
        <w:t>ُ</w:t>
      </w:r>
      <w:r w:rsidRPr="000155B4">
        <w:rPr>
          <w:rtl/>
        </w:rPr>
        <w:t xml:space="preserve">فذت أو </w:t>
      </w:r>
      <w:r w:rsidRPr="000155B4">
        <w:rPr>
          <w:rFonts w:hint="cs"/>
          <w:rtl/>
        </w:rPr>
        <w:t>يجري تنفيذها</w:t>
      </w:r>
      <w:r w:rsidRPr="000155B4">
        <w:rPr>
          <w:rtl/>
        </w:rPr>
        <w:t>، وأن النتائج تحسنت باطراد منذ عام</w:t>
      </w:r>
      <w:r>
        <w:rPr>
          <w:rFonts w:hint="cs"/>
          <w:rtl/>
        </w:rPr>
        <w:t> </w:t>
      </w:r>
      <w:r w:rsidRPr="000155B4">
        <w:rPr>
          <w:cs/>
        </w:rPr>
        <w:t>‎</w:t>
      </w:r>
      <w:r w:rsidRPr="000155B4">
        <w:t>2019</w:t>
      </w:r>
      <w:r w:rsidRPr="000155B4">
        <w:rPr>
          <w:rFonts w:hint="cs"/>
          <w:rtl/>
        </w:rPr>
        <w:t>.</w:t>
      </w:r>
    </w:p>
    <w:p w14:paraId="526A1E11" w14:textId="77777777" w:rsidR="00084674" w:rsidRPr="000155B4" w:rsidRDefault="00084674" w:rsidP="00084674">
      <w:pPr>
        <w:rPr>
          <w:rtl/>
        </w:rPr>
      </w:pPr>
      <w:r w:rsidRPr="000155B4">
        <w:t>3.2.2</w:t>
      </w:r>
      <w:r w:rsidRPr="000155B4">
        <w:rPr>
          <w:rtl/>
        </w:rPr>
        <w:tab/>
      </w:r>
      <w:r w:rsidRPr="000155B4">
        <w:rPr>
          <w:rFonts w:hint="cs"/>
          <w:rtl/>
        </w:rPr>
        <w:t>وتقدم الوثيقة المقترحات التالية:</w:t>
      </w:r>
    </w:p>
    <w:p w14:paraId="4C104280" w14:textId="43A8A42E" w:rsidR="00084674" w:rsidRPr="000155B4" w:rsidRDefault="00084674" w:rsidP="00084674">
      <w:pPr>
        <w:pStyle w:val="enumlev1"/>
        <w:rPr>
          <w:rtl/>
        </w:rPr>
      </w:pPr>
      <w:r w:rsidRPr="000155B4">
        <w:t>1</w:t>
      </w:r>
      <w:r w:rsidR="00527146">
        <w:rPr>
          <w:rFonts w:hint="cs"/>
          <w:rtl/>
        </w:rPr>
        <w:t>)</w:t>
      </w:r>
      <w:r w:rsidRPr="000155B4">
        <w:rPr>
          <w:rtl/>
        </w:rPr>
        <w:tab/>
        <w:t>‏</w:t>
      </w:r>
      <w:r w:rsidRPr="000155B4">
        <w:rPr>
          <w:rFonts w:hint="cs"/>
          <w:rtl/>
        </w:rPr>
        <w:t>عند</w:t>
      </w:r>
      <w:r w:rsidRPr="000155B4">
        <w:rPr>
          <w:rtl/>
        </w:rPr>
        <w:t xml:space="preserve"> إنشاء مكاتب مناطق</w:t>
      </w:r>
      <w:r w:rsidRPr="000155B4">
        <w:rPr>
          <w:rFonts w:hint="cs"/>
          <w:rtl/>
        </w:rPr>
        <w:t>، ينبغي عموماً أن تؤخذ في الاعتبار</w:t>
      </w:r>
      <w:r w:rsidRPr="000155B4">
        <w:rPr>
          <w:rtl/>
        </w:rPr>
        <w:t xml:space="preserve"> عوامل</w:t>
      </w:r>
      <w:r w:rsidRPr="000155B4">
        <w:rPr>
          <w:rFonts w:hint="cs"/>
          <w:rtl/>
        </w:rPr>
        <w:t xml:space="preserve"> مختلفة</w:t>
      </w:r>
      <w:r w:rsidRPr="000155B4">
        <w:rPr>
          <w:rtl/>
        </w:rPr>
        <w:t xml:space="preserve">، </w:t>
      </w:r>
      <w:r w:rsidRPr="000155B4">
        <w:rPr>
          <w:rFonts w:hint="cs"/>
          <w:rtl/>
        </w:rPr>
        <w:t>منها</w:t>
      </w:r>
      <w:r w:rsidRPr="000155B4">
        <w:rPr>
          <w:rtl/>
        </w:rPr>
        <w:t xml:space="preserve"> </w:t>
      </w:r>
      <w:r w:rsidRPr="000155B4">
        <w:rPr>
          <w:rFonts w:hint="cs"/>
          <w:rtl/>
        </w:rPr>
        <w:t>رغبة</w:t>
      </w:r>
      <w:r w:rsidRPr="000155B4">
        <w:rPr>
          <w:rtl/>
        </w:rPr>
        <w:t xml:space="preserve"> البلد المضيف، واحتياجات </w:t>
      </w:r>
      <w:r w:rsidRPr="000155B4">
        <w:rPr>
          <w:rFonts w:hint="cs"/>
          <w:rtl/>
        </w:rPr>
        <w:t>المناطق</w:t>
      </w:r>
      <w:r w:rsidRPr="000155B4">
        <w:rPr>
          <w:rtl/>
        </w:rPr>
        <w:t xml:space="preserve"> ذات الصلة، وتوفر الموارد المالية، </w:t>
      </w:r>
      <w:r w:rsidRPr="000155B4">
        <w:rPr>
          <w:rFonts w:hint="cs"/>
          <w:rtl/>
        </w:rPr>
        <w:t>والتمثيل</w:t>
      </w:r>
      <w:r w:rsidRPr="000155B4">
        <w:rPr>
          <w:rtl/>
        </w:rPr>
        <w:t xml:space="preserve"> الجغرافي، وما إلى ذلك، وينبغي أيضا</w:t>
      </w:r>
      <w:r w:rsidRPr="000155B4">
        <w:rPr>
          <w:rFonts w:hint="cs"/>
          <w:rtl/>
        </w:rPr>
        <w:t xml:space="preserve">ً </w:t>
      </w:r>
      <w:r w:rsidRPr="000155B4">
        <w:rPr>
          <w:rtl/>
        </w:rPr>
        <w:t xml:space="preserve">أن </w:t>
      </w:r>
      <w:r w:rsidRPr="000155B4">
        <w:rPr>
          <w:rFonts w:hint="cs"/>
          <w:rtl/>
        </w:rPr>
        <w:t>تؤخذ</w:t>
      </w:r>
      <w:r w:rsidRPr="000155B4">
        <w:rPr>
          <w:rtl/>
        </w:rPr>
        <w:t xml:space="preserve"> </w:t>
      </w:r>
      <w:r w:rsidRPr="000155B4">
        <w:rPr>
          <w:rFonts w:hint="cs"/>
          <w:rtl/>
        </w:rPr>
        <w:t>التجارب</w:t>
      </w:r>
      <w:r w:rsidRPr="000155B4">
        <w:rPr>
          <w:rtl/>
        </w:rPr>
        <w:t xml:space="preserve"> السابقة في</w:t>
      </w:r>
      <w:r>
        <w:rPr>
          <w:rFonts w:hint="cs"/>
          <w:rtl/>
        </w:rPr>
        <w:t> </w:t>
      </w:r>
      <w:r w:rsidRPr="000155B4">
        <w:rPr>
          <w:rtl/>
        </w:rPr>
        <w:t>الاعتبار</w:t>
      </w:r>
      <w:r w:rsidRPr="000155B4">
        <w:rPr>
          <w:rFonts w:hint="cs"/>
          <w:rtl/>
        </w:rPr>
        <w:t>.</w:t>
      </w:r>
    </w:p>
    <w:p w14:paraId="26D3F78D" w14:textId="37AF45E3" w:rsidR="00084674" w:rsidRPr="000155B4" w:rsidRDefault="00084674" w:rsidP="00084674">
      <w:pPr>
        <w:pStyle w:val="enumlev1"/>
        <w:rPr>
          <w:rtl/>
        </w:rPr>
      </w:pPr>
      <w:r w:rsidRPr="000155B4">
        <w:t>2</w:t>
      </w:r>
      <w:r w:rsidR="00527146">
        <w:rPr>
          <w:rFonts w:hint="cs"/>
          <w:rtl/>
        </w:rPr>
        <w:t>)</w:t>
      </w:r>
      <w:r w:rsidRPr="000155B4">
        <w:rPr>
          <w:rtl/>
        </w:rPr>
        <w:tab/>
        <w:t>بالنظر إلى أن مكتب تنمية الاتصالات مسؤول عن المكاتب الإقليمية ومكاتب المناطق، ينبغي استعراض معايير إنشاء مكاتب المناطق ومناقشتها بشكل كامل في الفريق الاستشاري لتنمية الاتصالات و</w:t>
      </w:r>
      <w:r w:rsidRPr="000155B4">
        <w:rPr>
          <w:rFonts w:hint="cs"/>
          <w:rtl/>
        </w:rPr>
        <w:t xml:space="preserve">دورة </w:t>
      </w:r>
      <w:r w:rsidRPr="000155B4">
        <w:rPr>
          <w:rtl/>
        </w:rPr>
        <w:t>المجلس المقبل</w:t>
      </w:r>
      <w:r w:rsidRPr="000155B4">
        <w:rPr>
          <w:rFonts w:hint="cs"/>
          <w:rtl/>
        </w:rPr>
        <w:t>ة</w:t>
      </w:r>
      <w:r w:rsidRPr="000155B4">
        <w:rPr>
          <w:rtl/>
        </w:rPr>
        <w:t>، من</w:t>
      </w:r>
      <w:r>
        <w:rPr>
          <w:rFonts w:hint="cs"/>
          <w:rtl/>
        </w:rPr>
        <w:t> </w:t>
      </w:r>
      <w:r w:rsidRPr="000155B4">
        <w:rPr>
          <w:rtl/>
        </w:rPr>
        <w:t xml:space="preserve">أجل </w:t>
      </w:r>
      <w:r w:rsidRPr="000155B4">
        <w:rPr>
          <w:rFonts w:hint="cs"/>
          <w:rtl/>
        </w:rPr>
        <w:t>تقصي الثغرة</w:t>
      </w:r>
      <w:r w:rsidRPr="000155B4">
        <w:rPr>
          <w:rtl/>
        </w:rPr>
        <w:t xml:space="preserve"> المحتملة في خدمة الدول الأعضاء والحصول على الحقائق والمعارف الكاملة بشأنها واقتراح </w:t>
      </w:r>
      <w:r w:rsidRPr="000155B4">
        <w:rPr>
          <w:rFonts w:hint="cs"/>
          <w:rtl/>
        </w:rPr>
        <w:t>ما</w:t>
      </w:r>
      <w:r>
        <w:rPr>
          <w:rFonts w:hint="eastAsia"/>
          <w:rtl/>
        </w:rPr>
        <w:t> </w:t>
      </w:r>
      <w:r w:rsidRPr="000155B4">
        <w:rPr>
          <w:rFonts w:hint="cs"/>
          <w:rtl/>
        </w:rPr>
        <w:t xml:space="preserve">يلزم تبعاً لذلك من </w:t>
      </w:r>
      <w:r w:rsidRPr="000155B4">
        <w:rPr>
          <w:rtl/>
        </w:rPr>
        <w:t>عملي</w:t>
      </w:r>
      <w:r w:rsidRPr="000155B4">
        <w:rPr>
          <w:rFonts w:hint="cs"/>
          <w:rtl/>
        </w:rPr>
        <w:t>ات</w:t>
      </w:r>
      <w:r w:rsidRPr="000155B4">
        <w:rPr>
          <w:rtl/>
        </w:rPr>
        <w:t xml:space="preserve"> ومعايير ومؤشرات في كل منطقة وتقديم تقرير إلى المجلس في </w:t>
      </w:r>
      <w:r w:rsidRPr="000155B4">
        <w:rPr>
          <w:rFonts w:hint="cs"/>
          <w:rtl/>
        </w:rPr>
        <w:t>دورته المقبلة</w:t>
      </w:r>
      <w:r w:rsidRPr="000155B4">
        <w:rPr>
          <w:rtl/>
        </w:rPr>
        <w:t xml:space="preserve"> للموافقة عليه</w:t>
      </w:r>
      <w:r w:rsidRPr="000155B4">
        <w:rPr>
          <w:cs/>
        </w:rPr>
        <w:t>‎</w:t>
      </w:r>
      <w:r w:rsidRPr="000155B4">
        <w:rPr>
          <w:rFonts w:hint="cs"/>
          <w:rtl/>
        </w:rPr>
        <w:t>.</w:t>
      </w:r>
    </w:p>
    <w:p w14:paraId="2CCCA7E7" w14:textId="5A18F2C0" w:rsidR="00084674" w:rsidRPr="000155B4" w:rsidRDefault="00084674" w:rsidP="00084674">
      <w:pPr>
        <w:pStyle w:val="enumlev1"/>
        <w:rPr>
          <w:rtl/>
        </w:rPr>
      </w:pPr>
      <w:r w:rsidRPr="000155B4">
        <w:t>3</w:t>
      </w:r>
      <w:r w:rsidR="00527146">
        <w:rPr>
          <w:rFonts w:hint="cs"/>
          <w:rtl/>
        </w:rPr>
        <w:t>)</w:t>
      </w:r>
      <w:r w:rsidRPr="000155B4">
        <w:rPr>
          <w:rtl/>
        </w:rPr>
        <w:tab/>
        <w:t xml:space="preserve">الغرض الرئيسي من إنشاء مكاتب المناطق هو </w:t>
      </w:r>
      <w:r w:rsidRPr="000155B4">
        <w:rPr>
          <w:rFonts w:hint="cs"/>
          <w:rtl/>
        </w:rPr>
        <w:t>تقديم</w:t>
      </w:r>
      <w:r w:rsidRPr="000155B4">
        <w:rPr>
          <w:rtl/>
        </w:rPr>
        <w:t xml:space="preserve"> خدمات أفضل للدول الأعضاء التي تحتاج إلى </w:t>
      </w:r>
      <w:r w:rsidRPr="000155B4">
        <w:rPr>
          <w:rFonts w:hint="cs"/>
          <w:rtl/>
        </w:rPr>
        <w:t>ال</w:t>
      </w:r>
      <w:r w:rsidRPr="000155B4">
        <w:rPr>
          <w:rtl/>
        </w:rPr>
        <w:t xml:space="preserve">مساعدة. </w:t>
      </w:r>
      <w:r w:rsidRPr="000155B4">
        <w:rPr>
          <w:rFonts w:hint="cs"/>
          <w:rtl/>
        </w:rPr>
        <w:t>و</w:t>
      </w:r>
      <w:r w:rsidRPr="000155B4">
        <w:rPr>
          <w:rtl/>
        </w:rPr>
        <w:t>أي</w:t>
      </w:r>
      <w:r>
        <w:rPr>
          <w:rFonts w:hint="cs"/>
          <w:rtl/>
        </w:rPr>
        <w:t> </w:t>
      </w:r>
      <w:r w:rsidRPr="000155B4">
        <w:rPr>
          <w:rtl/>
        </w:rPr>
        <w:t xml:space="preserve">معايير يتعين وضعها لإنشاء مكتب منطقة </w:t>
      </w:r>
      <w:r w:rsidRPr="000155B4">
        <w:rPr>
          <w:rFonts w:hint="cs"/>
          <w:rtl/>
        </w:rPr>
        <w:t xml:space="preserve">ينبغي </w:t>
      </w:r>
      <w:r w:rsidRPr="000155B4">
        <w:rPr>
          <w:rtl/>
        </w:rPr>
        <w:t>أن تحقق هذا الهدف</w:t>
      </w:r>
      <w:r w:rsidRPr="000155B4">
        <w:rPr>
          <w:rFonts w:hint="cs"/>
          <w:rtl/>
        </w:rPr>
        <w:t>.</w:t>
      </w:r>
    </w:p>
    <w:p w14:paraId="42520DED" w14:textId="0A258F10" w:rsidR="00084674" w:rsidRPr="000155B4" w:rsidRDefault="00084674" w:rsidP="00084674">
      <w:pPr>
        <w:pStyle w:val="enumlev1"/>
        <w:rPr>
          <w:rtl/>
        </w:rPr>
      </w:pPr>
      <w:r w:rsidRPr="000155B4">
        <w:t>4</w:t>
      </w:r>
      <w:r w:rsidR="00527146">
        <w:rPr>
          <w:rFonts w:hint="cs"/>
          <w:rtl/>
        </w:rPr>
        <w:t>)</w:t>
      </w:r>
      <w:r w:rsidRPr="000155B4">
        <w:rPr>
          <w:rtl/>
        </w:rPr>
        <w:tab/>
      </w:r>
      <w:r w:rsidRPr="000155B4">
        <w:rPr>
          <w:rFonts w:hint="cs"/>
          <w:rtl/>
        </w:rPr>
        <w:t>عند</w:t>
      </w:r>
      <w:r w:rsidRPr="000155B4">
        <w:rPr>
          <w:rtl/>
        </w:rPr>
        <w:t xml:space="preserve"> إنشاء مكاتب مناطق</w:t>
      </w:r>
      <w:r w:rsidRPr="000155B4">
        <w:rPr>
          <w:rFonts w:hint="cs"/>
          <w:rtl/>
        </w:rPr>
        <w:t>، ينبغي أن تؤخذ في الاعتبار</w:t>
      </w:r>
      <w:r w:rsidRPr="000155B4">
        <w:rPr>
          <w:rtl/>
        </w:rPr>
        <w:t xml:space="preserve"> التنمية الاجتماعية والاقتصادية للبلدان المزمع خدمتها، مع إيلاء أولوية خاصة لمكاتب المناطق التي تخدم أقل البلدان نموا</w:t>
      </w:r>
      <w:r w:rsidRPr="000155B4">
        <w:rPr>
          <w:rFonts w:hint="cs"/>
          <w:rtl/>
        </w:rPr>
        <w:t>ً</w:t>
      </w:r>
      <w:r w:rsidRPr="000155B4">
        <w:rPr>
          <w:rtl/>
        </w:rPr>
        <w:t xml:space="preserve"> (</w:t>
      </w:r>
      <w:r w:rsidRPr="000155B4">
        <w:rPr>
          <w:cs/>
        </w:rPr>
        <w:t>‎</w:t>
      </w:r>
      <w:r w:rsidRPr="000155B4">
        <w:t>LDC</w:t>
      </w:r>
      <w:r w:rsidRPr="000155B4">
        <w:rPr>
          <w:rtl/>
        </w:rPr>
        <w:t>).</w:t>
      </w:r>
    </w:p>
    <w:p w14:paraId="01C026E4" w14:textId="479A4B32" w:rsidR="00F50E3F" w:rsidRDefault="00CD1A4B" w:rsidP="00D63735">
      <w:pPr>
        <w:spacing w:before="600"/>
        <w:jc w:val="center"/>
        <w:rPr>
          <w:rtl/>
          <w:lang w:bidi="ar-EG"/>
        </w:rPr>
      </w:pPr>
      <w:r w:rsidRPr="00A55ED3">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0ACC" w14:textId="77777777" w:rsidR="00FF1B4D" w:rsidRDefault="00FF1B4D" w:rsidP="006C3242">
      <w:pPr>
        <w:spacing w:before="0" w:line="240" w:lineRule="auto"/>
      </w:pPr>
      <w:r>
        <w:separator/>
      </w:r>
    </w:p>
  </w:endnote>
  <w:endnote w:type="continuationSeparator" w:id="0">
    <w:p w14:paraId="6738E253" w14:textId="77777777" w:rsidR="00FF1B4D" w:rsidRDefault="00FF1B4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03FEB38" w14:textId="77777777" w:rsidTr="00357086">
      <w:trPr>
        <w:jc w:val="center"/>
      </w:trPr>
      <w:tc>
        <w:tcPr>
          <w:tcW w:w="868" w:type="pct"/>
          <w:vAlign w:val="center"/>
        </w:tcPr>
        <w:p w14:paraId="5FB8768B" w14:textId="116CD710" w:rsidR="00F50E3F" w:rsidRPr="007B0AA0" w:rsidRDefault="00E2195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r>
            <w:rPr>
              <w:rFonts w:ascii="Calibri" w:hAnsi="Calibri" w:cs="Arial"/>
              <w:noProof/>
              <w:sz w:val="18"/>
            </w:rPr>
            <w:t>R2400669</w:t>
          </w:r>
        </w:p>
      </w:tc>
      <w:tc>
        <w:tcPr>
          <w:tcW w:w="3912" w:type="pct"/>
        </w:tcPr>
        <w:p w14:paraId="42A89C38" w14:textId="5B8366FD"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084674">
            <w:rPr>
              <w:rFonts w:ascii="Calibri" w:hAnsi="Calibri" w:cs="Arial"/>
              <w:bCs/>
              <w:color w:val="7F7F7F"/>
              <w:sz w:val="18"/>
            </w:rPr>
            <w:t>66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97DF57F"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F2F9444" w14:textId="3B231119" w:rsidR="00387876" w:rsidRPr="00723E02" w:rsidRDefault="00387876" w:rsidP="00387876">
    <w:pPr>
      <w:pStyle w:val="Footer"/>
      <w:tabs>
        <w:tab w:val="clear" w:pos="4153"/>
        <w:tab w:val="clear" w:pos="8306"/>
        <w:tab w:val="center" w:pos="5103"/>
        <w:tab w:val="right" w:pos="9639"/>
      </w:tabs>
      <w:spacing w:before="12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493115B" w14:textId="77777777" w:rsidTr="00F50E3F">
      <w:trPr>
        <w:jc w:val="center"/>
      </w:trPr>
      <w:tc>
        <w:tcPr>
          <w:tcW w:w="868" w:type="pct"/>
          <w:vAlign w:val="center"/>
        </w:tcPr>
        <w:p w14:paraId="6F0D6E28" w14:textId="77777777" w:rsidR="007B0AA0" w:rsidRPr="007B0AA0" w:rsidRDefault="00E2195F"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147E3A6" w14:textId="7C968D2D"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084674">
            <w:rPr>
              <w:rFonts w:ascii="Calibri" w:hAnsi="Calibri" w:cs="Arial"/>
              <w:bCs/>
              <w:color w:val="7F7F7F"/>
              <w:sz w:val="18"/>
            </w:rPr>
            <w:t>66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DF53F8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90DBEE1" w14:textId="32412ED1" w:rsidR="00387876" w:rsidRPr="00723E02" w:rsidRDefault="00387876" w:rsidP="00387876">
    <w:pPr>
      <w:pStyle w:val="Footer"/>
      <w:tabs>
        <w:tab w:val="clear" w:pos="4153"/>
        <w:tab w:val="clear" w:pos="8306"/>
        <w:tab w:val="center" w:pos="5103"/>
        <w:tab w:val="right" w:pos="9639"/>
      </w:tabs>
      <w:spacing w:before="12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9CDE" w14:textId="77777777" w:rsidR="00FF1B4D" w:rsidRDefault="00FF1B4D" w:rsidP="006C3242">
      <w:pPr>
        <w:spacing w:before="0" w:line="240" w:lineRule="auto"/>
      </w:pPr>
      <w:r>
        <w:separator/>
      </w:r>
    </w:p>
  </w:footnote>
  <w:footnote w:type="continuationSeparator" w:id="0">
    <w:p w14:paraId="65BA4DA4" w14:textId="77777777" w:rsidR="00FF1B4D" w:rsidRDefault="00FF1B4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70CB"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7D5FC2" wp14:editId="46CF6CFE">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CF360"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1E952C1C" wp14:editId="5BC9EDDC">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4D"/>
    <w:rsid w:val="0006468A"/>
    <w:rsid w:val="00084674"/>
    <w:rsid w:val="00090574"/>
    <w:rsid w:val="0009186A"/>
    <w:rsid w:val="000C1C0E"/>
    <w:rsid w:val="000C548A"/>
    <w:rsid w:val="00195B5F"/>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87876"/>
    <w:rsid w:val="003F4B29"/>
    <w:rsid w:val="0042686F"/>
    <w:rsid w:val="004317D8"/>
    <w:rsid w:val="00434183"/>
    <w:rsid w:val="00443869"/>
    <w:rsid w:val="00447F32"/>
    <w:rsid w:val="004B7334"/>
    <w:rsid w:val="004E11DC"/>
    <w:rsid w:val="00525DDD"/>
    <w:rsid w:val="00527146"/>
    <w:rsid w:val="00530112"/>
    <w:rsid w:val="005409AC"/>
    <w:rsid w:val="0055516A"/>
    <w:rsid w:val="00562A38"/>
    <w:rsid w:val="0058491B"/>
    <w:rsid w:val="00592EA5"/>
    <w:rsid w:val="005A3170"/>
    <w:rsid w:val="00677396"/>
    <w:rsid w:val="0069200F"/>
    <w:rsid w:val="006A65CB"/>
    <w:rsid w:val="006C3242"/>
    <w:rsid w:val="006C7CC0"/>
    <w:rsid w:val="006F63F7"/>
    <w:rsid w:val="007025C7"/>
    <w:rsid w:val="00706D7A"/>
    <w:rsid w:val="00722F0D"/>
    <w:rsid w:val="00723E02"/>
    <w:rsid w:val="0074420E"/>
    <w:rsid w:val="00783E26"/>
    <w:rsid w:val="007B0AA0"/>
    <w:rsid w:val="007C3BC7"/>
    <w:rsid w:val="007C3BCD"/>
    <w:rsid w:val="007D4ACF"/>
    <w:rsid w:val="007F0787"/>
    <w:rsid w:val="00810B7B"/>
    <w:rsid w:val="0082358A"/>
    <w:rsid w:val="008235CD"/>
    <w:rsid w:val="008247DE"/>
    <w:rsid w:val="008339C0"/>
    <w:rsid w:val="00840B10"/>
    <w:rsid w:val="008513CB"/>
    <w:rsid w:val="008A7F84"/>
    <w:rsid w:val="0091702E"/>
    <w:rsid w:val="00923B0C"/>
    <w:rsid w:val="0094021C"/>
    <w:rsid w:val="00952F86"/>
    <w:rsid w:val="00974B51"/>
    <w:rsid w:val="00982B28"/>
    <w:rsid w:val="009D313F"/>
    <w:rsid w:val="00A47A5A"/>
    <w:rsid w:val="00A6683B"/>
    <w:rsid w:val="00A97F94"/>
    <w:rsid w:val="00AA7EA2"/>
    <w:rsid w:val="00B03099"/>
    <w:rsid w:val="00B05BC8"/>
    <w:rsid w:val="00B6080B"/>
    <w:rsid w:val="00B64B47"/>
    <w:rsid w:val="00B91B14"/>
    <w:rsid w:val="00B95654"/>
    <w:rsid w:val="00C002DE"/>
    <w:rsid w:val="00C53BF8"/>
    <w:rsid w:val="00C66157"/>
    <w:rsid w:val="00C674FE"/>
    <w:rsid w:val="00C67501"/>
    <w:rsid w:val="00C75633"/>
    <w:rsid w:val="00CD1A4B"/>
    <w:rsid w:val="00CE2EE1"/>
    <w:rsid w:val="00CE3349"/>
    <w:rsid w:val="00CE36E5"/>
    <w:rsid w:val="00CF27F5"/>
    <w:rsid w:val="00CF3FFD"/>
    <w:rsid w:val="00D10CCF"/>
    <w:rsid w:val="00D13941"/>
    <w:rsid w:val="00D165B3"/>
    <w:rsid w:val="00D63735"/>
    <w:rsid w:val="00D77D0F"/>
    <w:rsid w:val="00DA1CF0"/>
    <w:rsid w:val="00DC1E02"/>
    <w:rsid w:val="00DC24B4"/>
    <w:rsid w:val="00DC5FB0"/>
    <w:rsid w:val="00DF16DC"/>
    <w:rsid w:val="00E2195F"/>
    <w:rsid w:val="00E45211"/>
    <w:rsid w:val="00E473C5"/>
    <w:rsid w:val="00E61BE8"/>
    <w:rsid w:val="00E92863"/>
    <w:rsid w:val="00E95327"/>
    <w:rsid w:val="00EB796D"/>
    <w:rsid w:val="00F058DC"/>
    <w:rsid w:val="00F24FC4"/>
    <w:rsid w:val="00F2676C"/>
    <w:rsid w:val="00F363FE"/>
    <w:rsid w:val="00F50E3F"/>
    <w:rsid w:val="00F776E2"/>
    <w:rsid w:val="00F84366"/>
    <w:rsid w:val="00F85089"/>
    <w:rsid w:val="00F93E50"/>
    <w:rsid w:val="00F974C5"/>
    <w:rsid w:val="00FA6F46"/>
    <w:rsid w:val="00FC4592"/>
    <w:rsid w:val="00FD4770"/>
    <w:rsid w:val="00FD527F"/>
    <w:rsid w:val="00FE5872"/>
    <w:rsid w:val="00FE7FCA"/>
    <w:rsid w:val="00FF1B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DB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527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22-TDAG31-C-0021/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23-CWGFHR16-C-0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23-CWGFHR16-C-00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meetingdoc.asp?lang=en&amp;parent=S23-CWGFHR16-C-0024" TargetMode="External"/><Relationship Id="rId4" Type="http://schemas.openxmlformats.org/officeDocument/2006/relationships/settings" Target="settings.xml"/><Relationship Id="rId9" Type="http://schemas.openxmlformats.org/officeDocument/2006/relationships/hyperlink" Target="https://www.itu.int/md/meetingdoc.asp?lang=en&amp;parent=S23-CWGFHR16-C-001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2024-05-24T09:28:00Z</dcterms:created>
  <dcterms:modified xsi:type="dcterms:W3CDTF">2024-05-24T09:28:00Z</dcterms:modified>
  <cp:category>Conference document</cp:category>
</cp:coreProperties>
</file>