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93D8EE5" w14:textId="77777777" w:rsidTr="00F363FE">
        <w:tc>
          <w:tcPr>
            <w:tcW w:w="6512" w:type="dxa"/>
          </w:tcPr>
          <w:p w14:paraId="6581D1FE" w14:textId="78AAE616"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877E60">
              <w:rPr>
                <w:rFonts w:hint="cs"/>
                <w:b/>
                <w:bCs/>
                <w:rtl/>
                <w:lang w:bidi="ar-EG"/>
              </w:rPr>
              <w:t xml:space="preserve"> </w:t>
            </w:r>
            <w:r w:rsidR="00877E60">
              <w:rPr>
                <w:b/>
                <w:bCs/>
                <w:lang w:bidi="ar-EG"/>
              </w:rPr>
              <w:t>PL 3</w:t>
            </w:r>
          </w:p>
        </w:tc>
        <w:tc>
          <w:tcPr>
            <w:tcW w:w="3117" w:type="dxa"/>
          </w:tcPr>
          <w:p w14:paraId="4061F695" w14:textId="447A27FA"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877E60">
              <w:rPr>
                <w:b/>
                <w:bCs/>
                <w:lang w:bidi="ar-EG"/>
              </w:rPr>
              <w:t>65</w:t>
            </w:r>
            <w:r w:rsidRPr="007B0AA0">
              <w:rPr>
                <w:b/>
                <w:bCs/>
                <w:lang w:bidi="ar-EG"/>
              </w:rPr>
              <w:t>-A</w:t>
            </w:r>
          </w:p>
        </w:tc>
      </w:tr>
      <w:tr w:rsidR="007B0AA0" w14:paraId="17C2EF5B" w14:textId="77777777" w:rsidTr="00F363FE">
        <w:tc>
          <w:tcPr>
            <w:tcW w:w="6512" w:type="dxa"/>
          </w:tcPr>
          <w:p w14:paraId="199F95B9" w14:textId="77777777" w:rsidR="007B0AA0" w:rsidRPr="007B0AA0" w:rsidRDefault="007B0AA0" w:rsidP="00F363FE">
            <w:pPr>
              <w:spacing w:before="60" w:after="60" w:line="260" w:lineRule="exact"/>
              <w:rPr>
                <w:b/>
                <w:bCs/>
                <w:rtl/>
                <w:lang w:bidi="ar-EG"/>
              </w:rPr>
            </w:pPr>
          </w:p>
        </w:tc>
        <w:tc>
          <w:tcPr>
            <w:tcW w:w="3117" w:type="dxa"/>
          </w:tcPr>
          <w:p w14:paraId="1A3FAC55" w14:textId="6A7CA175" w:rsidR="007B0AA0" w:rsidRPr="007B0AA0" w:rsidRDefault="00877E60" w:rsidP="00F363FE">
            <w:pPr>
              <w:spacing w:before="60" w:after="60" w:line="260" w:lineRule="exact"/>
              <w:rPr>
                <w:b/>
                <w:bCs/>
                <w:rtl/>
                <w:lang w:bidi="ar-EG"/>
              </w:rPr>
            </w:pPr>
            <w:r>
              <w:rPr>
                <w:b/>
                <w:bCs/>
                <w:lang w:bidi="ar-EG"/>
              </w:rPr>
              <w:t>5</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2C90797D" w14:textId="77777777" w:rsidTr="00F363FE">
        <w:tc>
          <w:tcPr>
            <w:tcW w:w="6512" w:type="dxa"/>
          </w:tcPr>
          <w:p w14:paraId="2C652B8F" w14:textId="77777777" w:rsidR="007B0AA0" w:rsidRPr="007B0AA0" w:rsidRDefault="007B0AA0" w:rsidP="00F363FE">
            <w:pPr>
              <w:spacing w:before="60" w:after="60" w:line="260" w:lineRule="exact"/>
              <w:rPr>
                <w:b/>
                <w:bCs/>
                <w:rtl/>
                <w:lang w:bidi="ar-EG"/>
              </w:rPr>
            </w:pPr>
          </w:p>
        </w:tc>
        <w:tc>
          <w:tcPr>
            <w:tcW w:w="3117" w:type="dxa"/>
          </w:tcPr>
          <w:p w14:paraId="4044DAF3" w14:textId="795EAFB1"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877E60">
              <w:rPr>
                <w:rFonts w:hint="cs"/>
                <w:b/>
                <w:bCs/>
                <w:rtl/>
                <w:lang w:bidi="ar-EG"/>
              </w:rPr>
              <w:t>بالإنكليزية</w:t>
            </w:r>
          </w:p>
        </w:tc>
      </w:tr>
      <w:tr w:rsidR="007B0AA0" w14:paraId="686B134F" w14:textId="77777777" w:rsidTr="00F363FE">
        <w:tc>
          <w:tcPr>
            <w:tcW w:w="6512" w:type="dxa"/>
          </w:tcPr>
          <w:p w14:paraId="3D9188C0" w14:textId="77777777" w:rsidR="007B0AA0" w:rsidRDefault="007B0AA0" w:rsidP="00F363FE">
            <w:pPr>
              <w:spacing w:before="60" w:after="60" w:line="260" w:lineRule="exact"/>
              <w:rPr>
                <w:lang w:bidi="ar-EG"/>
              </w:rPr>
            </w:pPr>
          </w:p>
        </w:tc>
        <w:tc>
          <w:tcPr>
            <w:tcW w:w="3117" w:type="dxa"/>
          </w:tcPr>
          <w:p w14:paraId="13380D83" w14:textId="77777777" w:rsidR="007B0AA0" w:rsidRDefault="007B0AA0" w:rsidP="00F363FE">
            <w:pPr>
              <w:spacing w:before="60" w:after="60" w:line="260" w:lineRule="exact"/>
              <w:rPr>
                <w:rtl/>
                <w:lang w:bidi="ar-EG"/>
              </w:rPr>
            </w:pPr>
          </w:p>
        </w:tc>
      </w:tr>
      <w:tr w:rsidR="007B0AA0" w14:paraId="56351991" w14:textId="77777777" w:rsidTr="00EE7446">
        <w:tc>
          <w:tcPr>
            <w:tcW w:w="9629" w:type="dxa"/>
            <w:gridSpan w:val="2"/>
          </w:tcPr>
          <w:p w14:paraId="6ED0AACB" w14:textId="133D8ED0" w:rsidR="007B0AA0" w:rsidRDefault="00877E60" w:rsidP="007B0AA0">
            <w:pPr>
              <w:pStyle w:val="Source"/>
              <w:jc w:val="left"/>
              <w:rPr>
                <w:rtl/>
                <w:lang w:bidi="ar-EG"/>
              </w:rPr>
            </w:pPr>
            <w:r w:rsidRPr="006D1C21">
              <w:rPr>
                <w:rtl/>
                <w:lang w:bidi="ar-EG"/>
              </w:rPr>
              <w:t xml:space="preserve">تقرير </w:t>
            </w:r>
            <w:r>
              <w:rPr>
                <w:rFonts w:hint="cs"/>
                <w:rtl/>
                <w:lang w:bidi="ar-EG"/>
              </w:rPr>
              <w:t>من الأمينة العامة</w:t>
            </w:r>
          </w:p>
        </w:tc>
      </w:tr>
      <w:tr w:rsidR="007B0AA0" w14:paraId="25016547" w14:textId="77777777" w:rsidTr="007B0AA0">
        <w:tc>
          <w:tcPr>
            <w:tcW w:w="9629" w:type="dxa"/>
            <w:gridSpan w:val="2"/>
            <w:tcBorders>
              <w:bottom w:val="single" w:sz="4" w:space="0" w:color="auto"/>
            </w:tcBorders>
          </w:tcPr>
          <w:p w14:paraId="4E22B833" w14:textId="55615103" w:rsidR="007B0AA0" w:rsidRDefault="00877E60" w:rsidP="007B0AA0">
            <w:pPr>
              <w:pStyle w:val="Subtitle0"/>
            </w:pPr>
            <w:r w:rsidRPr="000F6D62">
              <w:rPr>
                <w:rtl/>
              </w:rPr>
              <w:t xml:space="preserve">استنتاجات الاجتماع الثالث للفريق الاستشاري لتقييس الاتصالات بشأن </w:t>
            </w:r>
            <w:r>
              <w:rPr>
                <w:rFonts w:hint="cs"/>
                <w:rtl/>
              </w:rPr>
              <w:t>استخدام</w:t>
            </w:r>
            <w:r w:rsidRPr="000F6D62">
              <w:rPr>
                <w:rtl/>
              </w:rPr>
              <w:t xml:space="preserve"> مصطلح "</w:t>
            </w:r>
            <w:r w:rsidRPr="000F6D62">
              <w:t>CHAIR</w:t>
            </w:r>
            <w:r w:rsidRPr="000F6D62">
              <w:rPr>
                <w:rtl/>
              </w:rPr>
              <w:t>" بدلاً من مصطلح "</w:t>
            </w:r>
            <w:r w:rsidRPr="000F6D62">
              <w:t>CHAIRMAN</w:t>
            </w:r>
            <w:r w:rsidRPr="000F6D62">
              <w:rPr>
                <w:rtl/>
              </w:rPr>
              <w:t>" في توصيات قطاع تقييس الاتصالات</w:t>
            </w:r>
          </w:p>
        </w:tc>
      </w:tr>
      <w:tr w:rsidR="007B0AA0" w14:paraId="2DA60750" w14:textId="77777777" w:rsidTr="007B0AA0">
        <w:tc>
          <w:tcPr>
            <w:tcW w:w="9629" w:type="dxa"/>
            <w:gridSpan w:val="2"/>
            <w:tcBorders>
              <w:top w:val="single" w:sz="4" w:space="0" w:color="auto"/>
              <w:bottom w:val="single" w:sz="4" w:space="0" w:color="auto"/>
            </w:tcBorders>
          </w:tcPr>
          <w:p w14:paraId="41972C16" w14:textId="6D3F55EB" w:rsidR="007B0AA0" w:rsidRPr="00877E60" w:rsidRDefault="007B0AA0" w:rsidP="00877E60">
            <w:pPr>
              <w:rPr>
                <w:b/>
                <w:bCs/>
                <w:rtl/>
              </w:rPr>
            </w:pPr>
            <w:r w:rsidRPr="00877E60">
              <w:rPr>
                <w:rFonts w:hint="cs"/>
                <w:b/>
                <w:bCs/>
                <w:rtl/>
              </w:rPr>
              <w:t>الغرض</w:t>
            </w:r>
          </w:p>
          <w:p w14:paraId="5F8312EB" w14:textId="407AF763" w:rsidR="007B0AA0" w:rsidRPr="00E534B9" w:rsidRDefault="00877E60" w:rsidP="00877E60">
            <w:pPr>
              <w:rPr>
                <w:spacing w:val="-2"/>
                <w:rtl/>
              </w:rPr>
            </w:pPr>
            <w:r w:rsidRPr="00E534B9">
              <w:rPr>
                <w:spacing w:val="-2"/>
                <w:rtl/>
                <w:lang w:bidi="ar-EG"/>
              </w:rPr>
              <w:t>تخطر هذه الوثيقة المجلس بنتائج الاجتماع الثالث للفريق الاستشاري لتقييس الاتصالات (</w:t>
            </w:r>
            <w:r w:rsidRPr="00E534B9">
              <w:rPr>
                <w:spacing w:val="-2"/>
                <w:lang w:bidi="ar-EG"/>
              </w:rPr>
              <w:t>TSAG</w:t>
            </w:r>
            <w:r w:rsidRPr="00E534B9">
              <w:rPr>
                <w:spacing w:val="-2"/>
                <w:rtl/>
                <w:lang w:bidi="ar-EG"/>
              </w:rPr>
              <w:t>) الذي عقد في</w:t>
            </w:r>
            <w:r w:rsidR="00E534B9">
              <w:rPr>
                <w:rFonts w:hint="cs"/>
                <w:spacing w:val="-2"/>
                <w:rtl/>
                <w:lang w:bidi="ar-EG"/>
              </w:rPr>
              <w:t> </w:t>
            </w:r>
            <w:r w:rsidRPr="00E534B9">
              <w:rPr>
                <w:spacing w:val="-2"/>
                <w:rtl/>
                <w:lang w:bidi="ar-EG"/>
              </w:rPr>
              <w:t>الفترة 22</w:t>
            </w:r>
            <w:r w:rsidRPr="00E534B9">
              <w:rPr>
                <w:spacing w:val="-2"/>
                <w:lang w:bidi="ar-EG"/>
              </w:rPr>
              <w:noBreakHyphen/>
            </w:r>
            <w:r w:rsidRPr="00E534B9">
              <w:rPr>
                <w:spacing w:val="-2"/>
                <w:rtl/>
                <w:lang w:bidi="ar-EG"/>
              </w:rPr>
              <w:t>26</w:t>
            </w:r>
            <w:r w:rsidRPr="00E534B9">
              <w:rPr>
                <w:rFonts w:hint="cs"/>
                <w:spacing w:val="-2"/>
                <w:rtl/>
                <w:lang w:bidi="ar-EG"/>
              </w:rPr>
              <w:t> </w:t>
            </w:r>
            <w:r w:rsidRPr="00E534B9">
              <w:rPr>
                <w:spacing w:val="-2"/>
                <w:rtl/>
                <w:lang w:bidi="ar-EG"/>
              </w:rPr>
              <w:t xml:space="preserve">يناير </w:t>
            </w:r>
            <w:r w:rsidRPr="00E534B9">
              <w:rPr>
                <w:rFonts w:hint="cs"/>
                <w:spacing w:val="-2"/>
                <w:rtl/>
                <w:lang w:bidi="ar-EG"/>
              </w:rPr>
              <w:t>حيث يُشار</w:t>
            </w:r>
            <w:r w:rsidRPr="00E534B9">
              <w:rPr>
                <w:spacing w:val="-2"/>
                <w:rtl/>
                <w:lang w:bidi="ar-EG"/>
              </w:rPr>
              <w:t xml:space="preserve"> على مدير مكتب تقييس الاتصالات (</w:t>
            </w:r>
            <w:r w:rsidRPr="00E534B9">
              <w:rPr>
                <w:spacing w:val="-2"/>
                <w:lang w:bidi="ar-EG"/>
              </w:rPr>
              <w:t>TSB</w:t>
            </w:r>
            <w:r w:rsidRPr="00E534B9">
              <w:rPr>
                <w:spacing w:val="-2"/>
                <w:rtl/>
                <w:lang w:bidi="ar-EG"/>
              </w:rPr>
              <w:t xml:space="preserve">) بالتماس تعليمات من المجلس بشأن </w:t>
            </w:r>
            <w:r w:rsidRPr="00E534B9">
              <w:rPr>
                <w:rFonts w:hint="cs"/>
                <w:spacing w:val="-2"/>
                <w:rtl/>
                <w:lang w:bidi="ar-EG"/>
              </w:rPr>
              <w:t>استخدام</w:t>
            </w:r>
            <w:r w:rsidRPr="00E534B9">
              <w:rPr>
                <w:spacing w:val="-2"/>
                <w:rtl/>
                <w:lang w:bidi="ar-EG"/>
              </w:rPr>
              <w:t xml:space="preserve"> مصطلح "</w:t>
            </w:r>
            <w:r w:rsidRPr="00E534B9">
              <w:rPr>
                <w:spacing w:val="-2"/>
                <w:lang w:bidi="ar-EG"/>
              </w:rPr>
              <w:t>chair</w:t>
            </w:r>
            <w:r w:rsidRPr="00E534B9">
              <w:rPr>
                <w:spacing w:val="-2"/>
                <w:rtl/>
                <w:lang w:bidi="ar-EG"/>
              </w:rPr>
              <w:t>" بدلا</w:t>
            </w:r>
            <w:r w:rsidRPr="00E534B9">
              <w:rPr>
                <w:rFonts w:hint="cs"/>
                <w:spacing w:val="-2"/>
                <w:rtl/>
                <w:lang w:bidi="ar-EG"/>
              </w:rPr>
              <w:t>ً</w:t>
            </w:r>
            <w:r w:rsidRPr="00E534B9">
              <w:rPr>
                <w:spacing w:val="-2"/>
                <w:rtl/>
                <w:lang w:bidi="ar-EG"/>
              </w:rPr>
              <w:t xml:space="preserve"> من مصطلح "</w:t>
            </w:r>
            <w:r w:rsidRPr="00E534B9">
              <w:rPr>
                <w:spacing w:val="-2"/>
                <w:lang w:bidi="ar-EG"/>
              </w:rPr>
              <w:t>chairman</w:t>
            </w:r>
            <w:r w:rsidRPr="00E534B9">
              <w:rPr>
                <w:spacing w:val="-2"/>
                <w:rtl/>
                <w:lang w:bidi="ar-EG"/>
              </w:rPr>
              <w:t>" في التوصيات الجديدة أو المراجعة لقطاع تقييس الاتصالات</w:t>
            </w:r>
            <w:r w:rsidRPr="00E534B9">
              <w:rPr>
                <w:rFonts w:hint="cs"/>
                <w:spacing w:val="-2"/>
                <w:rtl/>
                <w:lang w:bidi="ar-EG"/>
              </w:rPr>
              <w:t>.</w:t>
            </w:r>
          </w:p>
          <w:p w14:paraId="4279B3C9" w14:textId="77777777" w:rsidR="007B0AA0" w:rsidRPr="007B0AA0" w:rsidRDefault="007B0AA0" w:rsidP="007B0AA0">
            <w:pPr>
              <w:rPr>
                <w:b/>
                <w:bCs/>
                <w:rtl/>
              </w:rPr>
            </w:pPr>
            <w:r w:rsidRPr="007B0AA0">
              <w:rPr>
                <w:rFonts w:hint="cs"/>
                <w:b/>
                <w:bCs/>
                <w:rtl/>
              </w:rPr>
              <w:t>الإجراء المطلوب من المجلس</w:t>
            </w:r>
          </w:p>
          <w:p w14:paraId="51F30DDF" w14:textId="631A9D46" w:rsidR="007B0AA0" w:rsidRDefault="00877E60" w:rsidP="00877E60">
            <w:pPr>
              <w:rPr>
                <w:rtl/>
                <w:lang w:bidi="ar-EG"/>
              </w:rPr>
            </w:pPr>
            <w:r w:rsidRPr="000F6D62">
              <w:rPr>
                <w:rtl/>
                <w:lang w:bidi="ar-EG"/>
              </w:rPr>
              <w:t>ي</w:t>
            </w:r>
            <w:r>
              <w:rPr>
                <w:rFonts w:hint="cs"/>
                <w:rtl/>
                <w:lang w:bidi="ar-EG"/>
              </w:rPr>
              <w:t>ُ</w:t>
            </w:r>
            <w:r w:rsidRPr="000F6D62">
              <w:rPr>
                <w:rtl/>
                <w:lang w:bidi="ar-EG"/>
              </w:rPr>
              <w:t xml:space="preserve">دعى المجلس إلى </w:t>
            </w:r>
            <w:r w:rsidRPr="00877E60">
              <w:rPr>
                <w:b/>
                <w:bCs/>
                <w:rtl/>
                <w:lang w:bidi="ar-EG"/>
              </w:rPr>
              <w:t>تكليف</w:t>
            </w:r>
            <w:r w:rsidRPr="000F6D62">
              <w:rPr>
                <w:rtl/>
                <w:lang w:bidi="ar-EG"/>
              </w:rPr>
              <w:t xml:space="preserve"> مدير مكتب تقييس الاتصالات </w:t>
            </w:r>
            <w:r>
              <w:rPr>
                <w:rFonts w:hint="cs"/>
                <w:rtl/>
                <w:lang w:bidi="ar-EG"/>
              </w:rPr>
              <w:t>باستخدام</w:t>
            </w:r>
            <w:r w:rsidRPr="000F6D62">
              <w:rPr>
                <w:rtl/>
                <w:lang w:bidi="ar-EG"/>
              </w:rPr>
              <w:t xml:space="preserve"> مصطلح "</w:t>
            </w:r>
            <w:r w:rsidRPr="000F6D62">
              <w:rPr>
                <w:lang w:bidi="ar-EG"/>
              </w:rPr>
              <w:t>chair</w:t>
            </w:r>
            <w:r w:rsidRPr="000F6D62">
              <w:rPr>
                <w:rtl/>
                <w:lang w:bidi="ar-EG"/>
              </w:rPr>
              <w:t>" بدلاً من مصطلح "</w:t>
            </w:r>
            <w:r w:rsidRPr="000F6D62">
              <w:rPr>
                <w:lang w:bidi="ar-EG"/>
              </w:rPr>
              <w:t>chairman</w:t>
            </w:r>
            <w:r w:rsidRPr="000F6D62">
              <w:rPr>
                <w:rtl/>
                <w:lang w:bidi="ar-EG"/>
              </w:rPr>
              <w:t>" في</w:t>
            </w:r>
            <w:r>
              <w:rPr>
                <w:rFonts w:hint="cs"/>
                <w:rtl/>
                <w:lang w:bidi="ar-EG"/>
              </w:rPr>
              <w:t> </w:t>
            </w:r>
            <w:r w:rsidRPr="000F6D62">
              <w:rPr>
                <w:rtl/>
                <w:lang w:bidi="ar-EG"/>
              </w:rPr>
              <w:t>التوصيات الجديدة أو المراجعة لقطاع تقييس الاتصالات</w:t>
            </w:r>
            <w:r>
              <w:rPr>
                <w:rFonts w:hint="cs"/>
                <w:rtl/>
                <w:lang w:bidi="ar-EG"/>
              </w:rPr>
              <w:t>.</w:t>
            </w:r>
          </w:p>
          <w:p w14:paraId="66D36A17" w14:textId="77777777" w:rsidR="00877E60" w:rsidRPr="00877E60" w:rsidRDefault="00877E60" w:rsidP="00877E60">
            <w:pPr>
              <w:rPr>
                <w:b/>
                <w:bCs/>
                <w:rtl/>
              </w:rPr>
            </w:pPr>
            <w:r w:rsidRPr="00877E60">
              <w:rPr>
                <w:b/>
                <w:bCs/>
                <w:rtl/>
                <w:lang w:bidi="ar-EG"/>
              </w:rPr>
              <w:t>الصلة بالخطة ال</w:t>
            </w:r>
            <w:r w:rsidRPr="00877E60">
              <w:rPr>
                <w:rFonts w:hint="cs"/>
                <w:b/>
                <w:bCs/>
                <w:rtl/>
                <w:lang w:bidi="ar-EG"/>
              </w:rPr>
              <w:t>ا</w:t>
            </w:r>
            <w:r w:rsidRPr="00877E60">
              <w:rPr>
                <w:b/>
                <w:bCs/>
                <w:rtl/>
                <w:lang w:bidi="ar-EG"/>
              </w:rPr>
              <w:t>ستراتيجية</w:t>
            </w:r>
          </w:p>
          <w:p w14:paraId="5799E964" w14:textId="77777777" w:rsidR="00877E60" w:rsidRPr="006D1C21" w:rsidRDefault="00877E60" w:rsidP="00877E60">
            <w:pPr>
              <w:jc w:val="left"/>
              <w:rPr>
                <w:rtl/>
              </w:rPr>
            </w:pPr>
            <w:r>
              <w:rPr>
                <w:rFonts w:hint="cs"/>
                <w:rtl/>
                <w:lang w:bidi="ar-EG"/>
              </w:rPr>
              <w:t>لا توجد.</w:t>
            </w:r>
          </w:p>
          <w:p w14:paraId="469B96E4" w14:textId="77777777" w:rsidR="00877E60" w:rsidRPr="00877E60" w:rsidRDefault="00877E60" w:rsidP="00877E60">
            <w:pPr>
              <w:rPr>
                <w:b/>
                <w:bCs/>
                <w:rtl/>
              </w:rPr>
            </w:pPr>
            <w:r w:rsidRPr="00877E60">
              <w:rPr>
                <w:b/>
                <w:bCs/>
                <w:rtl/>
                <w:lang w:bidi="ar-EG"/>
              </w:rPr>
              <w:t>الآثار المالية</w:t>
            </w:r>
          </w:p>
          <w:p w14:paraId="4D2385DE" w14:textId="59F88271" w:rsidR="00877E60" w:rsidRDefault="00877E60" w:rsidP="00877E60">
            <w:pPr>
              <w:rPr>
                <w:rtl/>
              </w:rPr>
            </w:pPr>
            <w:r w:rsidRPr="000F6D62">
              <w:rPr>
                <w:rtl/>
                <w:lang w:bidi="ar-EG"/>
              </w:rPr>
              <w:t xml:space="preserve">ضمن الميزانية المخصصة لفترة السنتين </w:t>
            </w:r>
            <w:r>
              <w:rPr>
                <w:rFonts w:hint="cs"/>
                <w:rtl/>
                <w:lang w:bidi="ar-EG"/>
              </w:rPr>
              <w:t>2024</w:t>
            </w:r>
            <w:r w:rsidRPr="000F6D62">
              <w:rPr>
                <w:rtl/>
                <w:lang w:bidi="ar-EG"/>
              </w:rPr>
              <w:t>-</w:t>
            </w:r>
            <w:r>
              <w:rPr>
                <w:rFonts w:hint="cs"/>
                <w:rtl/>
                <w:lang w:bidi="ar-EG"/>
              </w:rPr>
              <w:t>2025.</w:t>
            </w:r>
          </w:p>
          <w:p w14:paraId="7467F468"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3183629" w14:textId="77777777" w:rsidR="007B0AA0" w:rsidRPr="007B0AA0" w:rsidRDefault="007B0AA0" w:rsidP="007B0AA0">
            <w:pPr>
              <w:rPr>
                <w:b/>
                <w:bCs/>
                <w:rtl/>
              </w:rPr>
            </w:pPr>
            <w:r w:rsidRPr="007B0AA0">
              <w:rPr>
                <w:rFonts w:hint="cs"/>
                <w:b/>
                <w:bCs/>
                <w:rtl/>
              </w:rPr>
              <w:t>المراجع</w:t>
            </w:r>
          </w:p>
          <w:p w14:paraId="62E2B0D0" w14:textId="2464851E" w:rsidR="007B0AA0" w:rsidRDefault="00877E60" w:rsidP="00F02F19">
            <w:pPr>
              <w:spacing w:after="120"/>
              <w:rPr>
                <w:rtl/>
              </w:rPr>
            </w:pPr>
            <w:r w:rsidRPr="00056F95">
              <w:rPr>
                <w:i/>
                <w:iCs/>
                <w:rtl/>
              </w:rPr>
              <w:t xml:space="preserve">تقرير الاجتماع الثالث للفريق الاستشاري لتقييس الاتصالات (جنيف، </w:t>
            </w:r>
            <w:r w:rsidRPr="00056F95">
              <w:rPr>
                <w:i/>
                <w:iCs/>
                <w:szCs w:val="20"/>
                <w:rtl/>
              </w:rPr>
              <w:t>22-26</w:t>
            </w:r>
            <w:r w:rsidRPr="00056F95">
              <w:rPr>
                <w:i/>
                <w:iCs/>
                <w:rtl/>
              </w:rPr>
              <w:t xml:space="preserve"> يناير </w:t>
            </w:r>
            <w:r w:rsidRPr="00056F95">
              <w:rPr>
                <w:i/>
                <w:iCs/>
                <w:szCs w:val="20"/>
                <w:rtl/>
              </w:rPr>
              <w:t>2024)</w:t>
            </w:r>
            <w:r w:rsidRPr="00056F95">
              <w:rPr>
                <w:i/>
                <w:iCs/>
                <w:sz w:val="20"/>
                <w:szCs w:val="20"/>
                <w:rtl/>
              </w:rPr>
              <w:t xml:space="preserve">: </w:t>
            </w:r>
            <w:hyperlink r:id="rId8" w:history="1">
              <w:r w:rsidRPr="00C36A65">
                <w:rPr>
                  <w:rStyle w:val="Hyperlink"/>
                  <w:i/>
                  <w:iCs/>
                </w:rPr>
                <w:t>ITU-T TSAG Report 4</w:t>
              </w:r>
            </w:hyperlink>
            <w:r w:rsidRPr="00056F95">
              <w:rPr>
                <w:i/>
                <w:iCs/>
                <w:rtl/>
              </w:rPr>
              <w:t>؛</w:t>
            </w:r>
            <w:r w:rsidRPr="00056F95">
              <w:rPr>
                <w:rtl/>
              </w:rPr>
              <w:t xml:space="preserve"> </w:t>
            </w:r>
            <w:r w:rsidRPr="00056F95">
              <w:rPr>
                <w:i/>
                <w:iCs/>
                <w:rtl/>
              </w:rPr>
              <w:t>قرار</w:t>
            </w:r>
            <w:r w:rsidR="00C30813">
              <w:rPr>
                <w:rFonts w:hint="eastAsia"/>
                <w:i/>
                <w:iCs/>
                <w:rtl/>
              </w:rPr>
              <w:t> </w:t>
            </w:r>
            <w:r w:rsidRPr="00056F95">
              <w:rPr>
                <w:i/>
                <w:iCs/>
                <w:rtl/>
              </w:rPr>
              <w:t xml:space="preserve">المجلس في دورته لعام </w:t>
            </w:r>
            <w:r w:rsidRPr="00056F95">
              <w:rPr>
                <w:i/>
                <w:iCs/>
                <w:szCs w:val="20"/>
                <w:rtl/>
              </w:rPr>
              <w:t>2023</w:t>
            </w:r>
            <w:r w:rsidRPr="00056F95">
              <w:rPr>
                <w:i/>
                <w:iCs/>
                <w:rtl/>
              </w:rPr>
              <w:t xml:space="preserve"> بشأن إلغاء المقرر </w:t>
            </w:r>
            <w:r w:rsidRPr="00056F95">
              <w:rPr>
                <w:i/>
                <w:iCs/>
                <w:szCs w:val="20"/>
                <w:rtl/>
              </w:rPr>
              <w:t>500 (</w:t>
            </w:r>
            <w:r w:rsidRPr="00056F95">
              <w:rPr>
                <w:i/>
                <w:iCs/>
                <w:rtl/>
              </w:rPr>
              <w:t xml:space="preserve">الوثيقة </w:t>
            </w:r>
            <w:hyperlink r:id="rId9" w:history="1">
              <w:r w:rsidRPr="00C36A65">
                <w:rPr>
                  <w:rStyle w:val="Hyperlink"/>
                  <w:i/>
                  <w:iCs/>
                </w:rPr>
                <w:t>C23/112</w:t>
              </w:r>
            </w:hyperlink>
            <w:r w:rsidRPr="00056F95">
              <w:rPr>
                <w:i/>
                <w:iCs/>
                <w:sz w:val="20"/>
                <w:szCs w:val="20"/>
                <w:rtl/>
              </w:rPr>
              <w:t>)</w:t>
            </w:r>
          </w:p>
        </w:tc>
      </w:tr>
    </w:tbl>
    <w:p w14:paraId="5573432E" w14:textId="77777777" w:rsidR="00E61BE8" w:rsidRDefault="00E61BE8" w:rsidP="00E61BE8">
      <w:pPr>
        <w:rPr>
          <w:rtl/>
          <w:lang w:bidi="ar-EG"/>
        </w:rPr>
      </w:pPr>
    </w:p>
    <w:p w14:paraId="41E5219D" w14:textId="77777777" w:rsidR="00F50E3F" w:rsidRDefault="00F50E3F" w:rsidP="00E534B9">
      <w:pPr>
        <w:rPr>
          <w:rtl/>
          <w:lang w:bidi="ar-EG"/>
        </w:rPr>
      </w:pPr>
      <w:r>
        <w:rPr>
          <w:rtl/>
          <w:lang w:bidi="ar-EG"/>
        </w:rPr>
        <w:br w:type="page"/>
      </w:r>
    </w:p>
    <w:p w14:paraId="38C79944" w14:textId="4E0F7185" w:rsidR="00877E60" w:rsidRDefault="00877E60" w:rsidP="00877E60">
      <w:pPr>
        <w:keepNext/>
        <w:jc w:val="center"/>
        <w:textDirection w:val="tbRlV"/>
        <w:rPr>
          <w:b/>
          <w:bCs/>
          <w:sz w:val="28"/>
          <w:szCs w:val="28"/>
          <w:rtl/>
        </w:rPr>
      </w:pPr>
      <w:r w:rsidRPr="000F6D62">
        <w:rPr>
          <w:b/>
          <w:bCs/>
          <w:sz w:val="28"/>
          <w:szCs w:val="28"/>
          <w:rtl/>
        </w:rPr>
        <w:lastRenderedPageBreak/>
        <w:t xml:space="preserve">مقتطف من تقرير الاجتماع الثالث للفريق الاستشاري لتقييس الاتصالات </w:t>
      </w:r>
      <w:r>
        <w:rPr>
          <w:b/>
          <w:bCs/>
          <w:sz w:val="28"/>
          <w:szCs w:val="28"/>
          <w:rtl/>
        </w:rPr>
        <w:br/>
      </w:r>
      <w:r w:rsidRPr="000F6D62">
        <w:rPr>
          <w:b/>
          <w:bCs/>
          <w:sz w:val="28"/>
          <w:szCs w:val="28"/>
          <w:rtl/>
        </w:rPr>
        <w:t>(</w:t>
      </w:r>
      <w:hyperlink r:id="rId10" w:history="1">
        <w:r w:rsidRPr="00D3217B">
          <w:rPr>
            <w:rStyle w:val="Hyperlink"/>
            <w:b/>
            <w:bCs/>
            <w:sz w:val="30"/>
            <w:szCs w:val="30"/>
          </w:rPr>
          <w:t>ITU-T TSAG Report 4</w:t>
        </w:r>
      </w:hyperlink>
      <w:r w:rsidRPr="000F6D62">
        <w:rPr>
          <w:b/>
          <w:bCs/>
          <w:sz w:val="28"/>
          <w:szCs w:val="28"/>
          <w:rtl/>
        </w:rPr>
        <w:t>)</w:t>
      </w:r>
    </w:p>
    <w:p w14:paraId="4182E9E9" w14:textId="77777777" w:rsidR="00877E60" w:rsidRPr="00877E60" w:rsidRDefault="00877E60" w:rsidP="00633192">
      <w:pPr>
        <w:rPr>
          <w:lang w:val="ar-SA" w:eastAsia="zh-TW" w:bidi="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877E60" w:rsidRPr="0085164E" w14:paraId="1BB1C61C" w14:textId="77777777" w:rsidTr="00835069">
        <w:tc>
          <w:tcPr>
            <w:tcW w:w="774" w:type="dxa"/>
          </w:tcPr>
          <w:p w14:paraId="5C4FA396" w14:textId="02FC40B9" w:rsidR="00877E60" w:rsidRPr="0085164E" w:rsidRDefault="00877E60" w:rsidP="00835069">
            <w:pPr>
              <w:rPr>
                <w:rtl/>
              </w:rPr>
            </w:pPr>
            <w:r>
              <w:rPr>
                <w:rFonts w:hint="cs"/>
                <w:rtl/>
              </w:rPr>
              <w:t>[...]</w:t>
            </w:r>
          </w:p>
        </w:tc>
        <w:tc>
          <w:tcPr>
            <w:tcW w:w="8865" w:type="dxa"/>
          </w:tcPr>
          <w:p w14:paraId="7643A22E" w14:textId="77777777" w:rsidR="00877E60" w:rsidRPr="0085164E" w:rsidRDefault="00877E60" w:rsidP="00835069">
            <w:pPr>
              <w:rPr>
                <w:rtl/>
                <w:lang w:bidi="ar-EG"/>
              </w:rPr>
            </w:pPr>
          </w:p>
        </w:tc>
      </w:tr>
      <w:tr w:rsidR="00877E60" w:rsidRPr="0085164E" w14:paraId="040C0CCF" w14:textId="77777777" w:rsidTr="00835069">
        <w:tc>
          <w:tcPr>
            <w:tcW w:w="774" w:type="dxa"/>
          </w:tcPr>
          <w:p w14:paraId="0E09DC58" w14:textId="77777777" w:rsidR="00877E60" w:rsidRPr="0085164E" w:rsidRDefault="00877E60" w:rsidP="00835069">
            <w:pPr>
              <w:rPr>
                <w:rtl/>
                <w:lang w:bidi="ar-EG"/>
              </w:rPr>
            </w:pPr>
            <w:r w:rsidRPr="0085164E">
              <w:rPr>
                <w:rtl/>
                <w:lang w:bidi="ar-EG"/>
              </w:rPr>
              <w:t>4.1.21</w:t>
            </w:r>
          </w:p>
        </w:tc>
        <w:tc>
          <w:tcPr>
            <w:tcW w:w="8865" w:type="dxa"/>
          </w:tcPr>
          <w:p w14:paraId="2B56C9FA" w14:textId="77777777" w:rsidR="00877E60" w:rsidRPr="0085164E" w:rsidRDefault="00877E60" w:rsidP="00835069">
            <w:pPr>
              <w:rPr>
                <w:rtl/>
                <w:lang w:bidi="ar-EG"/>
              </w:rPr>
            </w:pPr>
            <w:r w:rsidRPr="0085164E">
              <w:rPr>
                <w:rtl/>
                <w:lang w:bidi="ar-EG"/>
              </w:rPr>
              <w:t xml:space="preserve">فيما يتعلق بمشروع مراجعة التوصية </w:t>
            </w:r>
            <w:r w:rsidRPr="0085164E">
              <w:rPr>
                <w:lang w:bidi="ar-EG"/>
              </w:rPr>
              <w:t>A.8</w:t>
            </w:r>
            <w:r w:rsidRPr="0085164E">
              <w:rPr>
                <w:i/>
                <w:iCs/>
                <w:lang w:bidi="ar-EG"/>
              </w:rPr>
              <w:t xml:space="preserve"> </w:t>
            </w:r>
            <w:r w:rsidRPr="0085164E">
              <w:rPr>
                <w:lang w:bidi="ar-EG"/>
              </w:rPr>
              <w:t>[</w:t>
            </w:r>
            <w:r w:rsidRPr="0085164E">
              <w:rPr>
                <w:b/>
                <w:bCs/>
                <w:lang w:bidi="ar-EG"/>
              </w:rPr>
              <w:t>RG-WM-2</w:t>
            </w:r>
            <w:r w:rsidRPr="0085164E">
              <w:rPr>
                <w:lang w:bidi="ar-EG"/>
              </w:rPr>
              <w:t>]</w:t>
            </w:r>
            <w:r w:rsidRPr="0085164E">
              <w:rPr>
                <w:rtl/>
                <w:lang w:bidi="ar-EG"/>
              </w:rPr>
              <w:t>، قرر الفريق الاستشاري ما يلي:</w:t>
            </w:r>
          </w:p>
          <w:p w14:paraId="3B8F4387" w14:textId="4AEB556F" w:rsidR="00877E60" w:rsidRPr="0085164E" w:rsidRDefault="00877E60" w:rsidP="00835069">
            <w:pPr>
              <w:pStyle w:val="enumlev1"/>
              <w:rPr>
                <w:rtl/>
              </w:rPr>
            </w:pPr>
            <w:r>
              <w:rPr>
                <w:rFonts w:hint="eastAsia"/>
                <w:rtl/>
              </w:rPr>
              <w:t> </w:t>
            </w:r>
            <w:r w:rsidRPr="0085164E">
              <w:rPr>
                <w:rtl/>
              </w:rPr>
              <w:t>أ</w:t>
            </w:r>
            <w:r>
              <w:rPr>
                <w:rFonts w:hint="eastAsia"/>
                <w:rtl/>
              </w:rPr>
              <w:t> </w:t>
            </w:r>
            <w:r w:rsidRPr="0085164E">
              <w:rPr>
                <w:rtl/>
              </w:rPr>
              <w:t>)</w:t>
            </w:r>
            <w:r w:rsidRPr="0085164E">
              <w:tab/>
            </w:r>
            <w:r w:rsidRPr="0085164E">
              <w:rPr>
                <w:rtl/>
              </w:rPr>
              <w:t>الإشارة على مدير مكتب تقييس الاتصالات بالتماس تعليمات من مجلس الاتحاد في دورته المقبلة بشأن استخدام مصطلح "</w:t>
            </w:r>
            <w:r w:rsidRPr="0085164E">
              <w:t>chair</w:t>
            </w:r>
            <w:r w:rsidRPr="0085164E">
              <w:rPr>
                <w:rtl/>
              </w:rPr>
              <w:t>" بدلاً من مصطلح "</w:t>
            </w:r>
            <w:r w:rsidRPr="0085164E">
              <w:t>chairman</w:t>
            </w:r>
            <w:r w:rsidRPr="0085164E">
              <w:rPr>
                <w:rtl/>
              </w:rPr>
              <w:t>" في التوصيات الجديدة أو المراجعة.</w:t>
            </w:r>
          </w:p>
          <w:p w14:paraId="021E655E" w14:textId="64253A35" w:rsidR="00877E60" w:rsidRPr="0043281F" w:rsidRDefault="00877E60" w:rsidP="00835069">
            <w:pPr>
              <w:pStyle w:val="enumlev1"/>
              <w:rPr>
                <w:spacing w:val="-4"/>
                <w:rtl/>
              </w:rPr>
            </w:pPr>
            <w:r w:rsidRPr="0043281F">
              <w:rPr>
                <w:spacing w:val="-4"/>
                <w:rtl/>
              </w:rPr>
              <w:t>ب)</w:t>
            </w:r>
            <w:r w:rsidRPr="0043281F">
              <w:rPr>
                <w:spacing w:val="-4"/>
              </w:rPr>
              <w:tab/>
            </w:r>
            <w:r w:rsidRPr="0043281F">
              <w:rPr>
                <w:spacing w:val="-4"/>
                <w:rtl/>
              </w:rPr>
              <w:t xml:space="preserve">الموافقة على التوصية المراجعة </w:t>
            </w:r>
            <w:r w:rsidRPr="0043281F">
              <w:rPr>
                <w:b/>
                <w:bCs/>
                <w:spacing w:val="-4"/>
              </w:rPr>
              <w:t>ITU-T A.8</w:t>
            </w:r>
            <w:r w:rsidRPr="0043281F">
              <w:rPr>
                <w:spacing w:val="-4"/>
                <w:rtl/>
              </w:rPr>
              <w:t xml:space="preserve"> </w:t>
            </w:r>
            <w:r w:rsidRPr="0043281F">
              <w:rPr>
                <w:i/>
                <w:iCs/>
                <w:spacing w:val="-4"/>
              </w:rPr>
              <w:t>"</w:t>
            </w:r>
            <w:r w:rsidRPr="0043281F">
              <w:rPr>
                <w:i/>
                <w:iCs/>
                <w:spacing w:val="-4"/>
                <w:rtl/>
              </w:rPr>
              <w:t>عملية الموافقة البديلة بالنسبة للتوصيات الجديدة والمراجعة لقطاع تقييس الاتصالات"</w:t>
            </w:r>
            <w:r w:rsidRPr="0043281F">
              <w:rPr>
                <w:spacing w:val="-4"/>
                <w:rtl/>
              </w:rPr>
              <w:t xml:space="preserve"> (</w:t>
            </w:r>
            <w:hyperlink r:id="rId11">
              <w:r w:rsidRPr="0043281F">
                <w:rPr>
                  <w:rStyle w:val="Hyperlink"/>
                  <w:spacing w:val="-4"/>
                  <w:lang w:bidi="ar-EG"/>
                </w:rPr>
                <w:t>TD450R2</w:t>
              </w:r>
            </w:hyperlink>
            <w:r w:rsidRPr="0043281F">
              <w:rPr>
                <w:spacing w:val="-4"/>
                <w:rtl/>
              </w:rPr>
              <w:t>).</w:t>
            </w:r>
          </w:p>
          <w:p w14:paraId="63237A06" w14:textId="4D605A63" w:rsidR="00877E60" w:rsidRPr="0085164E" w:rsidRDefault="00877E60" w:rsidP="00835069">
            <w:pPr>
              <w:pStyle w:val="enumlev1"/>
              <w:rPr>
                <w:rtl/>
              </w:rPr>
            </w:pPr>
            <w:r w:rsidRPr="0085164E">
              <w:rPr>
                <w:rtl/>
              </w:rPr>
              <w:t>ج)</w:t>
            </w:r>
            <w:r w:rsidRPr="0085164E">
              <w:tab/>
            </w:r>
            <w:r w:rsidRPr="0085164E">
              <w:rPr>
                <w:rtl/>
              </w:rPr>
              <w:t xml:space="preserve">الالتماس من مكتب تقييس الاتصالات أن يقوم بنشر مسبق للتوصية </w:t>
            </w:r>
            <w:r w:rsidRPr="0085164E">
              <w:t>ITU-T A.8</w:t>
            </w:r>
            <w:r w:rsidRPr="0085164E">
              <w:rPr>
                <w:rtl/>
              </w:rPr>
              <w:t xml:space="preserve"> (بالصيغة الواردة في الوثيقة </w:t>
            </w:r>
            <w:hyperlink r:id="rId12" w:history="1">
              <w:r w:rsidRPr="0085164E">
                <w:rPr>
                  <w:rStyle w:val="Hyperlink"/>
                  <w:lang w:bidi="ar-EG"/>
                </w:rPr>
                <w:t>TD450</w:t>
              </w:r>
            </w:hyperlink>
            <w:r w:rsidRPr="0085164E">
              <w:rPr>
                <w:rtl/>
              </w:rPr>
              <w:t>)، ولكن انتظار تعليمات مجلس الاتحاد قبل الشروع في النشر النهائي.</w:t>
            </w:r>
          </w:p>
          <w:p w14:paraId="630D1ED5" w14:textId="2B6969FE" w:rsidR="00877E60" w:rsidRPr="0085164E" w:rsidRDefault="00877E60" w:rsidP="00835069">
            <w:pPr>
              <w:pStyle w:val="Note"/>
              <w:rPr>
                <w:rtl/>
                <w:lang w:bidi="ar-EG"/>
              </w:rPr>
            </w:pPr>
            <w:r w:rsidRPr="0085164E">
              <w:rPr>
                <w:b/>
                <w:bCs/>
                <w:rtl/>
                <w:lang w:bidi="ar-EG"/>
              </w:rPr>
              <w:t>الملاحظة 1</w:t>
            </w:r>
            <w:r w:rsidRPr="0085164E">
              <w:rPr>
                <w:rtl/>
                <w:lang w:bidi="ar-EG"/>
              </w:rPr>
              <w:t xml:space="preserve"> </w:t>
            </w:r>
            <w:r>
              <w:rPr>
                <w:rFonts w:hint="cs"/>
                <w:rtl/>
                <w:lang w:bidi="ar-EG"/>
              </w:rPr>
              <w:t>-</w:t>
            </w:r>
            <w:r w:rsidRPr="0085164E">
              <w:rPr>
                <w:rtl/>
                <w:lang w:bidi="ar-EG"/>
              </w:rPr>
              <w:t xml:space="preserve"> تستخدم الوثيقة </w:t>
            </w:r>
            <w:hyperlink r:id="rId13" w:history="1">
              <w:r w:rsidRPr="0085164E">
                <w:rPr>
                  <w:rStyle w:val="Hyperlink"/>
                  <w:lang w:bidi="ar-EG"/>
                </w:rPr>
                <w:t>TD450R2</w:t>
              </w:r>
            </w:hyperlink>
            <w:r w:rsidRPr="0085164E">
              <w:rPr>
                <w:rtl/>
                <w:lang w:bidi="ar-EG"/>
              </w:rPr>
              <w:t xml:space="preserve"> مصطلح "</w:t>
            </w:r>
            <w:r w:rsidRPr="0085164E">
              <w:rPr>
                <w:lang w:bidi="ar-EG"/>
              </w:rPr>
              <w:t>chairman</w:t>
            </w:r>
            <w:r w:rsidRPr="0085164E">
              <w:rPr>
                <w:rtl/>
                <w:lang w:bidi="ar-EG"/>
              </w:rPr>
              <w:t>".</w:t>
            </w:r>
          </w:p>
          <w:p w14:paraId="0964BC61" w14:textId="5EDC3DE9" w:rsidR="00877E60" w:rsidRPr="0085164E" w:rsidRDefault="00877E60" w:rsidP="00835069">
            <w:pPr>
              <w:pStyle w:val="Note"/>
              <w:rPr>
                <w:spacing w:val="-4"/>
                <w:rtl/>
              </w:rPr>
            </w:pPr>
            <w:r w:rsidRPr="0085164E">
              <w:rPr>
                <w:b/>
                <w:bCs/>
                <w:spacing w:val="-4"/>
                <w:rtl/>
                <w:lang w:bidi="ar-EG"/>
              </w:rPr>
              <w:t>الملاحظة 2</w:t>
            </w:r>
            <w:r w:rsidRPr="0085164E">
              <w:rPr>
                <w:spacing w:val="-4"/>
                <w:rtl/>
                <w:lang w:bidi="ar-EG"/>
              </w:rPr>
              <w:t xml:space="preserve"> </w:t>
            </w:r>
            <w:r>
              <w:rPr>
                <w:rFonts w:hint="cs"/>
                <w:spacing w:val="-4"/>
                <w:rtl/>
                <w:lang w:bidi="ar-EG"/>
              </w:rPr>
              <w:t>-</w:t>
            </w:r>
            <w:r w:rsidRPr="0085164E">
              <w:rPr>
                <w:spacing w:val="-4"/>
                <w:rtl/>
                <w:lang w:bidi="ar-EG"/>
              </w:rPr>
              <w:t xml:space="preserve"> الإجراء أ</w:t>
            </w:r>
            <w:r>
              <w:rPr>
                <w:rFonts w:hint="cs"/>
                <w:spacing w:val="-4"/>
                <w:rtl/>
                <w:lang w:bidi="ar-EG"/>
              </w:rPr>
              <w:t> </w:t>
            </w:r>
            <w:r w:rsidRPr="0085164E">
              <w:rPr>
                <w:spacing w:val="-4"/>
                <w:rtl/>
                <w:lang w:bidi="ar-EG"/>
              </w:rPr>
              <w:t xml:space="preserve">) ذو صلة أيضاً بالنصوص الأخرى المقترح تحديدها في هذا الاجتماع، وهي مشاريع التوصيات </w:t>
            </w:r>
            <w:r w:rsidRPr="0085164E">
              <w:rPr>
                <w:spacing w:val="-4"/>
                <w:lang w:bidi="ar-EG"/>
              </w:rPr>
              <w:t>ITU</w:t>
            </w:r>
            <w:r>
              <w:rPr>
                <w:spacing w:val="-4"/>
                <w:lang w:bidi="ar-EG"/>
              </w:rPr>
              <w:noBreakHyphen/>
            </w:r>
            <w:r w:rsidRPr="0085164E">
              <w:rPr>
                <w:spacing w:val="-4"/>
                <w:lang w:bidi="ar-EG"/>
              </w:rPr>
              <w:t>T</w:t>
            </w:r>
            <w:r>
              <w:rPr>
                <w:spacing w:val="-4"/>
                <w:lang w:bidi="ar-EG"/>
              </w:rPr>
              <w:t> </w:t>
            </w:r>
            <w:r w:rsidRPr="0085164E">
              <w:rPr>
                <w:spacing w:val="-4"/>
                <w:lang w:bidi="ar-EG"/>
              </w:rPr>
              <w:t>A.7</w:t>
            </w:r>
            <w:r w:rsidRPr="0085164E">
              <w:rPr>
                <w:spacing w:val="-4"/>
                <w:rtl/>
              </w:rPr>
              <w:t xml:space="preserve"> و</w:t>
            </w:r>
            <w:r w:rsidRPr="0085164E">
              <w:rPr>
                <w:spacing w:val="-4"/>
                <w:lang w:bidi="ar-EG"/>
              </w:rPr>
              <w:t>ITU-T</w:t>
            </w:r>
            <w:r>
              <w:rPr>
                <w:spacing w:val="-4"/>
                <w:lang w:bidi="ar-EG"/>
              </w:rPr>
              <w:t> </w:t>
            </w:r>
            <w:r w:rsidRPr="0085164E">
              <w:rPr>
                <w:spacing w:val="-4"/>
                <w:lang w:bidi="ar-EG"/>
              </w:rPr>
              <w:t>A.18</w:t>
            </w:r>
            <w:r w:rsidRPr="0085164E">
              <w:rPr>
                <w:spacing w:val="-4"/>
                <w:rtl/>
              </w:rPr>
              <w:t xml:space="preserve"> (</w:t>
            </w:r>
            <w:r w:rsidRPr="0085164E">
              <w:rPr>
                <w:spacing w:val="-4"/>
                <w:lang w:bidi="ar-EG"/>
              </w:rPr>
              <w:t>A.JCA</w:t>
            </w:r>
            <w:r w:rsidRPr="0085164E">
              <w:rPr>
                <w:spacing w:val="-4"/>
                <w:rtl/>
              </w:rPr>
              <w:t xml:space="preserve"> سابقاً) و</w:t>
            </w:r>
            <w:r w:rsidRPr="0085164E">
              <w:rPr>
                <w:spacing w:val="-4"/>
                <w:lang w:bidi="ar-EG"/>
              </w:rPr>
              <w:t>ITU-T A.24</w:t>
            </w:r>
            <w:r w:rsidRPr="0085164E">
              <w:rPr>
                <w:spacing w:val="-4"/>
                <w:rtl/>
              </w:rPr>
              <w:t>.</w:t>
            </w:r>
          </w:p>
          <w:p w14:paraId="038AFC12" w14:textId="77777777" w:rsidR="00877E60" w:rsidRDefault="00877E60" w:rsidP="00835069">
            <w:pPr>
              <w:pStyle w:val="Note"/>
            </w:pPr>
            <w:r w:rsidRPr="0085164E">
              <w:rPr>
                <w:b/>
                <w:bCs/>
                <w:rtl/>
                <w:lang w:bidi="ar-EG"/>
              </w:rPr>
              <w:t>الملاحظة 3</w:t>
            </w:r>
            <w:r w:rsidRPr="0085164E">
              <w:rPr>
                <w:rtl/>
                <w:lang w:bidi="ar-EG"/>
              </w:rPr>
              <w:t xml:space="preserve"> </w:t>
            </w:r>
            <w:r>
              <w:rPr>
                <w:rFonts w:hint="cs"/>
                <w:rtl/>
                <w:lang w:bidi="ar-EG"/>
              </w:rPr>
              <w:t>-</w:t>
            </w:r>
            <w:r w:rsidRPr="0085164E">
              <w:rPr>
                <w:rtl/>
                <w:lang w:bidi="ar-EG"/>
              </w:rPr>
              <w:t xml:space="preserve"> قرر الاجتماع الاستعاضة عن المصطلحين "</w:t>
            </w:r>
            <w:r w:rsidRPr="0085164E">
              <w:rPr>
                <w:lang w:bidi="ar-EG"/>
              </w:rPr>
              <w:t>chair</w:t>
            </w:r>
            <w:r w:rsidRPr="0085164E">
              <w:rPr>
                <w:rtl/>
                <w:lang w:bidi="ar-EG"/>
              </w:rPr>
              <w:t>" و"</w:t>
            </w:r>
            <w:r w:rsidRPr="0085164E">
              <w:rPr>
                <w:lang w:bidi="ar-EG"/>
              </w:rPr>
              <w:t>chairman</w:t>
            </w:r>
            <w:r w:rsidRPr="0085164E">
              <w:rPr>
                <w:rtl/>
                <w:lang w:bidi="ar-EG"/>
              </w:rPr>
              <w:t>" بالمصطلح "</w:t>
            </w:r>
            <w:r w:rsidRPr="0085164E">
              <w:rPr>
                <w:lang w:bidi="ar-EG"/>
              </w:rPr>
              <w:t>chairman/chair</w:t>
            </w:r>
            <w:r w:rsidRPr="0085164E">
              <w:rPr>
                <w:rtl/>
                <w:lang w:bidi="ar-EG"/>
              </w:rPr>
              <w:t xml:space="preserve">" في نصوص التوصيات </w:t>
            </w:r>
            <w:r w:rsidRPr="0085164E">
              <w:rPr>
                <w:lang w:bidi="ar-EG"/>
              </w:rPr>
              <w:t>A.7</w:t>
            </w:r>
            <w:r w:rsidRPr="0085164E">
              <w:rPr>
                <w:rtl/>
              </w:rPr>
              <w:t xml:space="preserve"> و</w:t>
            </w:r>
            <w:r w:rsidRPr="0085164E">
              <w:rPr>
                <w:lang w:bidi="ar-EG"/>
              </w:rPr>
              <w:t>A.24</w:t>
            </w:r>
            <w:r w:rsidRPr="0085164E">
              <w:rPr>
                <w:rtl/>
              </w:rPr>
              <w:t xml:space="preserve"> و</w:t>
            </w:r>
            <w:r w:rsidRPr="0085164E">
              <w:rPr>
                <w:lang w:bidi="ar-EG"/>
              </w:rPr>
              <w:t>A.18</w:t>
            </w:r>
            <w:r w:rsidRPr="0085164E">
              <w:rPr>
                <w:rtl/>
              </w:rPr>
              <w:t xml:space="preserve"> (</w:t>
            </w:r>
            <w:r w:rsidRPr="0085164E">
              <w:rPr>
                <w:lang w:bidi="ar-EG"/>
              </w:rPr>
              <w:t>A.JCA</w:t>
            </w:r>
            <w:r w:rsidRPr="0085164E">
              <w:rPr>
                <w:rtl/>
              </w:rPr>
              <w:t xml:space="preserve"> سابقاً) قيد التشاور في إطار عملية الموافقة التقليدية. وستنفَّذ التعليمات التي سيتلقاها الفريق الاستشاري من مجلس الاتحاد في دورته المقبلة قبل النشر النهائي.</w:t>
            </w:r>
          </w:p>
          <w:p w14:paraId="789B9766" w14:textId="68C5B3AE" w:rsidR="008F4C50" w:rsidRPr="0085164E" w:rsidRDefault="008F4C50" w:rsidP="00835069">
            <w:pPr>
              <w:pStyle w:val="Note"/>
              <w:rPr>
                <w:rtl/>
              </w:rPr>
            </w:pPr>
          </w:p>
        </w:tc>
      </w:tr>
      <w:tr w:rsidR="00877E60" w:rsidRPr="0085164E" w14:paraId="7652BEFF" w14:textId="77777777" w:rsidTr="00835069">
        <w:tc>
          <w:tcPr>
            <w:tcW w:w="774" w:type="dxa"/>
          </w:tcPr>
          <w:p w14:paraId="5D541247" w14:textId="77777777" w:rsidR="00877E60" w:rsidRPr="0085164E" w:rsidRDefault="00877E60" w:rsidP="00835069">
            <w:pPr>
              <w:rPr>
                <w:rtl/>
                <w:lang w:bidi="ar-EG"/>
              </w:rPr>
            </w:pPr>
            <w:r w:rsidRPr="0085164E">
              <w:rPr>
                <w:rtl/>
                <w:lang w:bidi="ar-EG"/>
              </w:rPr>
              <w:t>5.1.21</w:t>
            </w:r>
          </w:p>
        </w:tc>
        <w:tc>
          <w:tcPr>
            <w:tcW w:w="8865" w:type="dxa"/>
          </w:tcPr>
          <w:p w14:paraId="7D4E06A8" w14:textId="77777777" w:rsidR="00877E60" w:rsidRPr="0085164E" w:rsidRDefault="00877E60" w:rsidP="00835069">
            <w:pPr>
              <w:rPr>
                <w:rtl/>
                <w:lang w:bidi="ar-EG"/>
              </w:rPr>
            </w:pPr>
            <w:r w:rsidRPr="0085164E">
              <w:rPr>
                <w:rtl/>
                <w:lang w:bidi="ar-EG"/>
              </w:rPr>
              <w:t xml:space="preserve">قرر الفريق الاستشاري ما يلي: </w:t>
            </w:r>
            <w:r w:rsidRPr="0085164E">
              <w:rPr>
                <w:b/>
                <w:bCs/>
                <w:lang w:bidi="ar-EG"/>
              </w:rPr>
              <w:t>[RG-WM-4]</w:t>
            </w:r>
          </w:p>
          <w:p w14:paraId="35624535" w14:textId="77777777" w:rsidR="00877E60" w:rsidRPr="00877E60" w:rsidRDefault="00877E60" w:rsidP="00877E60">
            <w:pPr>
              <w:rPr>
                <w:rtl/>
                <w:lang w:bidi="ar-EG"/>
              </w:rPr>
            </w:pPr>
            <w:r w:rsidRPr="00877E60">
              <w:rPr>
                <w:rFonts w:hint="cs"/>
                <w:rtl/>
                <w:lang w:bidi="ar-EG"/>
              </w:rPr>
              <w:t>[...]</w:t>
            </w:r>
          </w:p>
          <w:p w14:paraId="1605C491" w14:textId="264D3F36" w:rsidR="00877E60" w:rsidRPr="0085164E" w:rsidRDefault="00877E60" w:rsidP="00835069">
            <w:pPr>
              <w:pStyle w:val="enumlev1"/>
              <w:rPr>
                <w:rtl/>
              </w:rPr>
            </w:pPr>
            <w:r w:rsidRPr="0085164E">
              <w:rPr>
                <w:rtl/>
              </w:rPr>
              <w:t>ب)</w:t>
            </w:r>
            <w:r w:rsidRPr="0085164E">
              <w:tab/>
            </w:r>
            <w:r w:rsidRPr="008F4C50">
              <w:rPr>
                <w:spacing w:val="-2"/>
                <w:rtl/>
              </w:rPr>
              <w:t xml:space="preserve">تحديد التوصية الجديدة </w:t>
            </w:r>
            <w:r w:rsidRPr="008F4C50">
              <w:rPr>
                <w:b/>
                <w:bCs/>
                <w:spacing w:val="-2"/>
              </w:rPr>
              <w:t>ITU-T</w:t>
            </w:r>
            <w:r w:rsidRPr="008F4C50">
              <w:rPr>
                <w:spacing w:val="-2"/>
              </w:rPr>
              <w:t xml:space="preserve"> </w:t>
            </w:r>
            <w:r w:rsidRPr="008F4C50">
              <w:rPr>
                <w:b/>
                <w:bCs/>
                <w:spacing w:val="-2"/>
              </w:rPr>
              <w:t>A.24</w:t>
            </w:r>
            <w:r w:rsidRPr="00541EE5">
              <w:rPr>
                <w:spacing w:val="-2"/>
                <w:rtl/>
              </w:rPr>
              <w:t xml:space="preserve"> </w:t>
            </w:r>
            <w:r w:rsidRPr="008F4C50">
              <w:rPr>
                <w:spacing w:val="-2"/>
                <w:rtl/>
              </w:rPr>
              <w:t>"</w:t>
            </w:r>
            <w:r w:rsidRPr="008F4C50">
              <w:rPr>
                <w:i/>
                <w:iCs/>
                <w:spacing w:val="-2"/>
                <w:rtl/>
              </w:rPr>
              <w:t>التعاون وتبادل المعلومات مع المنظمات الأخرى</w:t>
            </w:r>
            <w:r w:rsidRPr="008F4C50">
              <w:rPr>
                <w:spacing w:val="-2"/>
                <w:rtl/>
              </w:rPr>
              <w:t>" (</w:t>
            </w:r>
            <w:hyperlink r:id="rId14" w:history="1">
              <w:r w:rsidRPr="008F4C50">
                <w:rPr>
                  <w:rStyle w:val="Hyperlink"/>
                  <w:spacing w:val="-2"/>
                  <w:lang w:bidi="ar-EG"/>
                </w:rPr>
                <w:t>TD470R1</w:t>
              </w:r>
            </w:hyperlink>
            <w:r w:rsidRPr="008F4C50">
              <w:rPr>
                <w:spacing w:val="-2"/>
                <w:rtl/>
              </w:rPr>
              <w:t>). (انظر الإجراء أ) في الفقرة 4.1.21.)</w:t>
            </w:r>
          </w:p>
        </w:tc>
      </w:tr>
      <w:tr w:rsidR="00877E60" w:rsidRPr="0085164E" w14:paraId="24655C4D" w14:textId="77777777" w:rsidTr="00835069">
        <w:tc>
          <w:tcPr>
            <w:tcW w:w="774" w:type="dxa"/>
          </w:tcPr>
          <w:p w14:paraId="5F76320C" w14:textId="77777777" w:rsidR="00877E60" w:rsidRPr="0085164E" w:rsidRDefault="00877E60" w:rsidP="00835069">
            <w:pPr>
              <w:rPr>
                <w:rtl/>
                <w:lang w:bidi="ar-EG"/>
              </w:rPr>
            </w:pPr>
            <w:r w:rsidRPr="0085164E">
              <w:rPr>
                <w:rtl/>
                <w:lang w:bidi="ar-EG"/>
              </w:rPr>
              <w:t>6.1.21</w:t>
            </w:r>
          </w:p>
        </w:tc>
        <w:tc>
          <w:tcPr>
            <w:tcW w:w="8865" w:type="dxa"/>
          </w:tcPr>
          <w:p w14:paraId="546AE879" w14:textId="7C7EB62F" w:rsidR="00877E60" w:rsidRPr="0085164E" w:rsidRDefault="00877E60" w:rsidP="00835069">
            <w:pPr>
              <w:rPr>
                <w:rtl/>
                <w:lang w:bidi="ar-EG"/>
              </w:rPr>
            </w:pPr>
            <w:r w:rsidRPr="0085164E">
              <w:rPr>
                <w:rtl/>
                <w:lang w:bidi="ar-EG"/>
              </w:rPr>
              <w:t xml:space="preserve">حدد الفريق الاستشاري مشروع التوصية المراجعة </w:t>
            </w:r>
            <w:r w:rsidRPr="0085164E">
              <w:rPr>
                <w:b/>
                <w:bCs/>
                <w:lang w:bidi="ar-EG"/>
              </w:rPr>
              <w:t>ITU-T A.7</w:t>
            </w:r>
            <w:r w:rsidRPr="0085164E">
              <w:rPr>
                <w:rtl/>
              </w:rPr>
              <w:t xml:space="preserve"> </w:t>
            </w:r>
            <w:r w:rsidRPr="0085164E">
              <w:rPr>
                <w:rtl/>
                <w:lang w:bidi="ar-EG"/>
              </w:rPr>
              <w:t>"</w:t>
            </w:r>
            <w:r w:rsidRPr="0085164E">
              <w:rPr>
                <w:i/>
                <w:iCs/>
                <w:rtl/>
                <w:lang w:bidi="ar-EG"/>
              </w:rPr>
              <w:t>الأفرقة المتخصصة: إنشاء الأفرقة المتخصصة وإجراءات عملها</w:t>
            </w:r>
            <w:r w:rsidRPr="0085164E">
              <w:rPr>
                <w:rtl/>
                <w:lang w:bidi="ar-EG"/>
              </w:rPr>
              <w:t>" (</w:t>
            </w:r>
            <w:hyperlink r:id="rId15" w:history="1">
              <w:r w:rsidRPr="0085164E">
                <w:rPr>
                  <w:rStyle w:val="Hyperlink"/>
                  <w:lang w:bidi="ar-EG"/>
                </w:rPr>
                <w:t>TD453</w:t>
              </w:r>
            </w:hyperlink>
            <w:r w:rsidRPr="0085164E">
              <w:rPr>
                <w:rtl/>
                <w:lang w:bidi="ar-EG"/>
              </w:rPr>
              <w:t xml:space="preserve">). </w:t>
            </w:r>
            <w:r w:rsidRPr="0085164E">
              <w:rPr>
                <w:b/>
                <w:bCs/>
                <w:lang w:bidi="ar-EG"/>
              </w:rPr>
              <w:t>[RG-WM-3]</w:t>
            </w:r>
            <w:r w:rsidRPr="0085164E">
              <w:rPr>
                <w:rtl/>
                <w:lang w:bidi="ar-EG"/>
              </w:rPr>
              <w:t xml:space="preserve"> (انظر الإجراء أ</w:t>
            </w:r>
            <w:r>
              <w:rPr>
                <w:rFonts w:hint="eastAsia"/>
                <w:rtl/>
                <w:lang w:bidi="ar-EG"/>
              </w:rPr>
              <w:t> </w:t>
            </w:r>
            <w:r w:rsidRPr="0085164E">
              <w:rPr>
                <w:rtl/>
                <w:lang w:bidi="ar-EG"/>
              </w:rPr>
              <w:t>) في الفقرة 4.1.21.)</w:t>
            </w:r>
          </w:p>
        </w:tc>
      </w:tr>
      <w:tr w:rsidR="00877E60" w:rsidRPr="0085164E" w14:paraId="50BD60E3" w14:textId="77777777" w:rsidTr="00835069">
        <w:tc>
          <w:tcPr>
            <w:tcW w:w="774" w:type="dxa"/>
          </w:tcPr>
          <w:p w14:paraId="5F92B07D" w14:textId="77777777" w:rsidR="00877E60" w:rsidRPr="0085164E" w:rsidRDefault="00877E60" w:rsidP="00835069">
            <w:pPr>
              <w:rPr>
                <w:rtl/>
                <w:lang w:bidi="ar-EG"/>
              </w:rPr>
            </w:pPr>
            <w:r w:rsidRPr="0085164E">
              <w:rPr>
                <w:rtl/>
                <w:lang w:bidi="ar-EG"/>
              </w:rPr>
              <w:t>7.1.21</w:t>
            </w:r>
          </w:p>
        </w:tc>
        <w:tc>
          <w:tcPr>
            <w:tcW w:w="8865" w:type="dxa"/>
          </w:tcPr>
          <w:p w14:paraId="1989A64C" w14:textId="2420126D" w:rsidR="00877E60" w:rsidRPr="0085164E" w:rsidRDefault="00877E60" w:rsidP="00835069">
            <w:pPr>
              <w:rPr>
                <w:rtl/>
                <w:lang w:bidi="ar-EG"/>
              </w:rPr>
            </w:pPr>
            <w:r w:rsidRPr="0085164E">
              <w:rPr>
                <w:rtl/>
                <w:lang w:bidi="ar-EG"/>
              </w:rPr>
              <w:t xml:space="preserve">حدد الفريق الاستشاري مشروع التوصية الجديدة </w:t>
            </w:r>
            <w:r w:rsidRPr="0085164E">
              <w:rPr>
                <w:b/>
                <w:bCs/>
                <w:lang w:bidi="ar-EG"/>
              </w:rPr>
              <w:t>ITU-T A.18</w:t>
            </w:r>
            <w:r w:rsidRPr="0085164E">
              <w:rPr>
                <w:rtl/>
              </w:rPr>
              <w:t xml:space="preserve"> (</w:t>
            </w:r>
            <w:r w:rsidRPr="0085164E">
              <w:rPr>
                <w:b/>
                <w:bCs/>
                <w:lang w:bidi="ar-EG"/>
              </w:rPr>
              <w:t>A.JCA</w:t>
            </w:r>
            <w:r w:rsidRPr="0085164E">
              <w:rPr>
                <w:rtl/>
              </w:rPr>
              <w:t xml:space="preserve"> </w:t>
            </w:r>
            <w:r w:rsidRPr="0085164E">
              <w:rPr>
                <w:b/>
                <w:bCs/>
                <w:rtl/>
              </w:rPr>
              <w:t>سابقاً</w:t>
            </w:r>
            <w:r w:rsidRPr="0085164E">
              <w:rPr>
                <w:rtl/>
              </w:rPr>
              <w:t>)</w:t>
            </w:r>
            <w:r w:rsidRPr="0085164E">
              <w:rPr>
                <w:rtl/>
                <w:lang w:bidi="ar-EG"/>
              </w:rPr>
              <w:t xml:space="preserve"> (</w:t>
            </w:r>
            <w:hyperlink r:id="rId16" w:history="1">
              <w:r w:rsidRPr="0085164E">
                <w:rPr>
                  <w:rStyle w:val="Hyperlink"/>
                  <w:lang w:bidi="ar-EG"/>
                </w:rPr>
                <w:t>TD467R1</w:t>
              </w:r>
            </w:hyperlink>
            <w:r w:rsidRPr="0085164E">
              <w:rPr>
                <w:rtl/>
                <w:lang w:bidi="ar-EG"/>
              </w:rPr>
              <w:t xml:space="preserve">). </w:t>
            </w:r>
            <w:r w:rsidRPr="0085164E">
              <w:rPr>
                <w:b/>
                <w:bCs/>
                <w:lang w:bidi="ar-EG"/>
              </w:rPr>
              <w:t>[RG-WM-5]</w:t>
            </w:r>
            <w:r w:rsidRPr="0085164E">
              <w:rPr>
                <w:rtl/>
                <w:lang w:bidi="ar-EG"/>
              </w:rPr>
              <w:t xml:space="preserve"> (انظر الإجراء أ</w:t>
            </w:r>
            <w:r>
              <w:rPr>
                <w:rFonts w:hint="cs"/>
                <w:rtl/>
                <w:lang w:bidi="ar-EG"/>
              </w:rPr>
              <w:t> </w:t>
            </w:r>
            <w:r w:rsidRPr="0085164E">
              <w:rPr>
                <w:rtl/>
                <w:lang w:bidi="ar-EG"/>
              </w:rPr>
              <w:t>) في الفقرة 4.1.21.)</w:t>
            </w:r>
          </w:p>
        </w:tc>
      </w:tr>
      <w:tr w:rsidR="00877E60" w:rsidRPr="0085164E" w14:paraId="0149D9AE" w14:textId="77777777" w:rsidTr="00835069">
        <w:tc>
          <w:tcPr>
            <w:tcW w:w="774" w:type="dxa"/>
          </w:tcPr>
          <w:p w14:paraId="0C3AD5E9" w14:textId="77777777" w:rsidR="00877E60" w:rsidRPr="0085164E" w:rsidRDefault="00877E60" w:rsidP="00835069">
            <w:pPr>
              <w:rPr>
                <w:rtl/>
                <w:lang w:bidi="ar-EG"/>
              </w:rPr>
            </w:pPr>
            <w:r>
              <w:rPr>
                <w:rFonts w:hint="cs"/>
                <w:rtl/>
                <w:lang w:bidi="ar-EG"/>
              </w:rPr>
              <w:t>[...]</w:t>
            </w:r>
          </w:p>
        </w:tc>
        <w:tc>
          <w:tcPr>
            <w:tcW w:w="8865" w:type="dxa"/>
          </w:tcPr>
          <w:p w14:paraId="482CFF45" w14:textId="77777777" w:rsidR="00877E60" w:rsidRPr="0085164E" w:rsidRDefault="00877E60" w:rsidP="00835069">
            <w:pPr>
              <w:rPr>
                <w:rtl/>
                <w:lang w:bidi="ar-EG"/>
              </w:rPr>
            </w:pPr>
          </w:p>
        </w:tc>
      </w:tr>
      <w:tr w:rsidR="00877E60" w:rsidRPr="0085164E" w14:paraId="1BFE20CD" w14:textId="77777777" w:rsidTr="00835069">
        <w:tc>
          <w:tcPr>
            <w:tcW w:w="774" w:type="dxa"/>
          </w:tcPr>
          <w:p w14:paraId="09309300" w14:textId="77777777" w:rsidR="00877E60" w:rsidRDefault="00877E60" w:rsidP="00835069">
            <w:pPr>
              <w:rPr>
                <w:rtl/>
                <w:lang w:bidi="ar-EG"/>
              </w:rPr>
            </w:pPr>
            <w:r w:rsidRPr="0085164E">
              <w:rPr>
                <w:lang w:bidi="ar-EG"/>
              </w:rPr>
              <w:t>8.1.21</w:t>
            </w:r>
          </w:p>
        </w:tc>
        <w:tc>
          <w:tcPr>
            <w:tcW w:w="8865" w:type="dxa"/>
          </w:tcPr>
          <w:p w14:paraId="27840F9D" w14:textId="77777777" w:rsidR="00877E60" w:rsidRPr="0085164E" w:rsidRDefault="00877E60" w:rsidP="00835069">
            <w:pPr>
              <w:rPr>
                <w:rtl/>
                <w:lang w:bidi="ar-EG"/>
              </w:rPr>
            </w:pPr>
            <w:r w:rsidRPr="0085164E">
              <w:rPr>
                <w:rtl/>
                <w:lang w:bidi="ar-EG"/>
              </w:rPr>
              <w:t>أدلى الاتحاد الروسي ببيان فيما يتعلق باستخدام المصطلح "</w:t>
            </w:r>
            <w:r w:rsidRPr="0085164E">
              <w:rPr>
                <w:lang w:bidi="ar-EG"/>
              </w:rPr>
              <w:t>chairman/chair</w:t>
            </w:r>
            <w:r w:rsidRPr="0085164E">
              <w:rPr>
                <w:rtl/>
                <w:lang w:bidi="ar-EG"/>
              </w:rPr>
              <w:t>":</w:t>
            </w:r>
          </w:p>
          <w:p w14:paraId="1057CA40" w14:textId="4FCD61B2" w:rsidR="00877E60" w:rsidRPr="00F802B6" w:rsidRDefault="00877E60" w:rsidP="00835069">
            <w:pPr>
              <w:tabs>
                <w:tab w:val="clear" w:pos="794"/>
                <w:tab w:val="left" w:pos="418"/>
              </w:tabs>
              <w:ind w:left="418" w:hanging="418"/>
              <w:rPr>
                <w:i/>
                <w:iCs/>
                <w:spacing w:val="-2"/>
                <w:rtl/>
                <w:cs/>
                <w:lang w:bidi="ar-EG"/>
              </w:rPr>
            </w:pPr>
            <w:r w:rsidRPr="00F802B6">
              <w:rPr>
                <w:i/>
                <w:iCs/>
                <w:spacing w:val="-2"/>
                <w:rtl/>
                <w:lang w:bidi="ar-EG"/>
              </w:rPr>
              <w:tab/>
              <w:t xml:space="preserve">يسترعي الاتحاد الروسي انتباه الفريق الاستشاري لتقييس الاتصالات إلى قرار الجمعية العالمية لتقييس الاتصالات (القرار </w:t>
            </w:r>
            <w:r w:rsidRPr="00F802B6">
              <w:rPr>
                <w:i/>
                <w:iCs/>
                <w:spacing w:val="-2"/>
                <w:cs/>
                <w:lang w:bidi="ar-EG"/>
              </w:rPr>
              <w:t>‎</w:t>
            </w:r>
            <w:r w:rsidRPr="00F802B6">
              <w:rPr>
                <w:i/>
                <w:iCs/>
                <w:spacing w:val="-2"/>
                <w:lang w:bidi="ar-EG"/>
              </w:rPr>
              <w:t>1</w:t>
            </w:r>
            <w:r w:rsidRPr="00F802B6">
              <w:rPr>
                <w:i/>
                <w:iCs/>
                <w:spacing w:val="-2"/>
                <w:rtl/>
                <w:lang w:bidi="ar-EG"/>
              </w:rPr>
              <w:t xml:space="preserve"> ‏بشأن النظام الداخلي لقطاع تقييس الاتصالات) الذي ينص على أنه "في حالة وجود تعارض، فإن أحكام الدستور والاتفاقية ولوائح الاتصالات الدولية والقواعد العامة لمؤتمرات الاتحاد وجمعياته واجتماعاته تسود (بهذا الترتيب) على هذا القرار").</w:t>
            </w:r>
            <w:r w:rsidRPr="00F802B6">
              <w:rPr>
                <w:i/>
                <w:iCs/>
                <w:spacing w:val="-2"/>
                <w:cs/>
                <w:lang w:bidi="ar-EG"/>
              </w:rPr>
              <w:t>‎</w:t>
            </w:r>
          </w:p>
          <w:p w14:paraId="12F6AAAB" w14:textId="10A6DFB3" w:rsidR="00877E60" w:rsidRPr="00F802B6" w:rsidRDefault="00877E60" w:rsidP="00835069">
            <w:pPr>
              <w:tabs>
                <w:tab w:val="clear" w:pos="794"/>
                <w:tab w:val="left" w:pos="418"/>
              </w:tabs>
              <w:ind w:left="418" w:hanging="418"/>
              <w:rPr>
                <w:spacing w:val="-2"/>
                <w:rtl/>
                <w:lang w:bidi="ar-EG"/>
              </w:rPr>
            </w:pPr>
            <w:r>
              <w:rPr>
                <w:i/>
                <w:iCs/>
                <w:rtl/>
                <w:lang w:bidi="ar-EG"/>
              </w:rPr>
              <w:tab/>
            </w:r>
            <w:r w:rsidRPr="00F802B6">
              <w:rPr>
                <w:i/>
                <w:iCs/>
                <w:spacing w:val="-2"/>
                <w:rtl/>
                <w:lang w:bidi="ar-EG"/>
              </w:rPr>
              <w:t>ويرى الاتحاد الروسي أيضاً أنه لا يوجد مقرر رسمي لمجلس الاتحاد ولا أي وثائق أخرى ملزِمة للدول الأعضاء تحدد أن من الضروري استخدام مصطلح جديد (</w:t>
            </w:r>
            <w:r w:rsidRPr="00F802B6">
              <w:rPr>
                <w:i/>
                <w:iCs/>
                <w:spacing w:val="-2"/>
                <w:lang w:bidi="ar-EG"/>
              </w:rPr>
              <w:t>chair</w:t>
            </w:r>
            <w:r w:rsidRPr="00F802B6">
              <w:rPr>
                <w:i/>
                <w:iCs/>
                <w:spacing w:val="-2"/>
                <w:rtl/>
                <w:lang w:bidi="ar-EG"/>
              </w:rPr>
              <w:t xml:space="preserve">) نتيجة إلغاء مقرر المجلس </w:t>
            </w:r>
            <w:r w:rsidRPr="00F802B6">
              <w:rPr>
                <w:i/>
                <w:iCs/>
                <w:spacing w:val="-2"/>
                <w:cs/>
                <w:lang w:bidi="ar-EG"/>
              </w:rPr>
              <w:t>‎</w:t>
            </w:r>
            <w:r w:rsidRPr="00F802B6">
              <w:rPr>
                <w:i/>
                <w:iCs/>
                <w:spacing w:val="-2"/>
                <w:lang w:bidi="ar-EG"/>
              </w:rPr>
              <w:t>500</w:t>
            </w:r>
            <w:r w:rsidRPr="00F802B6">
              <w:rPr>
                <w:i/>
                <w:iCs/>
                <w:spacing w:val="-2"/>
                <w:rtl/>
                <w:lang w:bidi="ar-EG"/>
              </w:rPr>
              <w:t>. ‏ودليل الاتحاد لأسلوب الكتابة باللغة الإنكليزية هو أداة داعمة وينبغي ألا تُعتبر مبرراً للاستعاضة عن المصطلحات. ولا</w:t>
            </w:r>
            <w:r w:rsidR="00E075CB" w:rsidRPr="00F802B6">
              <w:rPr>
                <w:rFonts w:hint="cs"/>
                <w:i/>
                <w:iCs/>
                <w:spacing w:val="-2"/>
                <w:rtl/>
                <w:lang w:bidi="ar-EG"/>
              </w:rPr>
              <w:t> </w:t>
            </w:r>
            <w:r w:rsidRPr="00F802B6">
              <w:rPr>
                <w:i/>
                <w:iCs/>
                <w:spacing w:val="-2"/>
                <w:rtl/>
                <w:lang w:bidi="ar-EG"/>
              </w:rPr>
              <w:t>يناقش الاتحاد الروسي جوانب المساواة بين الجنسين في هذه المصطلحات، ولكنه يدعو إلى أن يكون تطبيقها في</w:t>
            </w:r>
            <w:r w:rsidR="00E075CB" w:rsidRPr="00F802B6">
              <w:rPr>
                <w:rFonts w:hint="cs"/>
                <w:i/>
                <w:iCs/>
                <w:spacing w:val="-2"/>
                <w:rtl/>
                <w:lang w:bidi="ar-EG"/>
              </w:rPr>
              <w:t> </w:t>
            </w:r>
            <w:r w:rsidRPr="00F802B6">
              <w:rPr>
                <w:i/>
                <w:iCs/>
                <w:spacing w:val="-2"/>
                <w:rtl/>
                <w:lang w:bidi="ar-EG"/>
              </w:rPr>
              <w:t xml:space="preserve">جميع وثائق الاتحاد، بما في ذلك قطاع تقييس الاتصالات، متسقاً مع مصطلحات صكوك الاتحاد الأساسية (الاتفاقية والدستور). ويجب أن تتم أي تغييرات في نص </w:t>
            </w:r>
            <w:r w:rsidR="00137077" w:rsidRPr="00F802B6">
              <w:rPr>
                <w:i/>
                <w:iCs/>
                <w:spacing w:val="-2"/>
                <w:rtl/>
                <w:lang w:bidi="ar-EG"/>
              </w:rPr>
              <w:t xml:space="preserve">الاتفاقية والدستور </w:t>
            </w:r>
            <w:r w:rsidRPr="00F802B6">
              <w:rPr>
                <w:i/>
                <w:iCs/>
                <w:spacing w:val="-2"/>
                <w:rtl/>
                <w:lang w:bidi="ar-EG"/>
              </w:rPr>
              <w:t>عن طريق مؤتمر المندوبين المفوضين. وتتعارض أي قرارات أخرى مع الاتفاقية والدستور وتشكل سابقة خطيرة لانتهاك المبادئ الأساسية للاتحاد</w:t>
            </w:r>
            <w:r w:rsidRPr="00F802B6">
              <w:rPr>
                <w:i/>
                <w:iCs/>
                <w:spacing w:val="-2"/>
                <w:cs/>
                <w:lang w:bidi="ar-EG"/>
              </w:rPr>
              <w:t>‎</w:t>
            </w:r>
            <w:r w:rsidRPr="00F802B6">
              <w:rPr>
                <w:i/>
                <w:iCs/>
                <w:spacing w:val="-2"/>
                <w:rtl/>
                <w:cs/>
                <w:lang w:bidi="ar-EG"/>
              </w:rPr>
              <w:t>.</w:t>
            </w:r>
          </w:p>
        </w:tc>
      </w:tr>
      <w:tr w:rsidR="00877E60" w:rsidRPr="0085164E" w14:paraId="092F0605" w14:textId="77777777" w:rsidTr="00835069">
        <w:tc>
          <w:tcPr>
            <w:tcW w:w="774" w:type="dxa"/>
          </w:tcPr>
          <w:p w14:paraId="7F3D1CEB" w14:textId="77777777" w:rsidR="00877E60" w:rsidRPr="0085164E" w:rsidRDefault="00877E60" w:rsidP="00835069">
            <w:pPr>
              <w:rPr>
                <w:lang w:bidi="ar-EG"/>
              </w:rPr>
            </w:pPr>
            <w:r>
              <w:rPr>
                <w:rFonts w:hint="cs"/>
                <w:rtl/>
                <w:lang w:bidi="ar-EG"/>
              </w:rPr>
              <w:t>[...]</w:t>
            </w:r>
          </w:p>
        </w:tc>
        <w:tc>
          <w:tcPr>
            <w:tcW w:w="8865" w:type="dxa"/>
          </w:tcPr>
          <w:p w14:paraId="668B4DA8" w14:textId="77777777" w:rsidR="00877E60" w:rsidRPr="0085164E" w:rsidRDefault="00877E60" w:rsidP="00835069">
            <w:pPr>
              <w:rPr>
                <w:rtl/>
                <w:lang w:bidi="ar-EG"/>
              </w:rPr>
            </w:pPr>
          </w:p>
        </w:tc>
      </w:tr>
    </w:tbl>
    <w:p w14:paraId="6C069514" w14:textId="77777777" w:rsidR="00877E60" w:rsidRPr="0085164E" w:rsidRDefault="00877E60" w:rsidP="00877E60">
      <w:pPr>
        <w:pStyle w:val="Heading1"/>
        <w:rPr>
          <w:rtl/>
          <w:lang w:bidi="ar-EG"/>
        </w:rPr>
      </w:pPr>
      <w:bookmarkStart w:id="0" w:name="_Toc162251175"/>
      <w:r w:rsidRPr="0085164E">
        <w:rPr>
          <w:rtl/>
          <w:lang w:bidi="ar-EG"/>
        </w:rPr>
        <w:lastRenderedPageBreak/>
        <w:t>23</w:t>
      </w:r>
      <w:r w:rsidRPr="0085164E">
        <w:rPr>
          <w:rtl/>
          <w:lang w:bidi="ar-EG"/>
        </w:rPr>
        <w:tab/>
        <w:t>ما يستجد من أعمال</w:t>
      </w:r>
      <w:bookmarkEnd w:id="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877E60" w:rsidRPr="0085164E" w14:paraId="199B3BE8" w14:textId="77777777" w:rsidTr="00835069">
        <w:tc>
          <w:tcPr>
            <w:tcW w:w="774" w:type="dxa"/>
          </w:tcPr>
          <w:p w14:paraId="539200FF" w14:textId="77777777" w:rsidR="00877E60" w:rsidRPr="0085164E" w:rsidRDefault="00877E60" w:rsidP="00835069">
            <w:pPr>
              <w:rPr>
                <w:lang w:bidi="ar-EG"/>
              </w:rPr>
            </w:pPr>
            <w:r w:rsidRPr="0085164E">
              <w:rPr>
                <w:rtl/>
                <w:lang w:bidi="ar-EG"/>
              </w:rPr>
              <w:t>1.23</w:t>
            </w:r>
          </w:p>
        </w:tc>
        <w:tc>
          <w:tcPr>
            <w:tcW w:w="8865" w:type="dxa"/>
          </w:tcPr>
          <w:p w14:paraId="233D23A9" w14:textId="77777777" w:rsidR="00877E60" w:rsidRPr="0085164E" w:rsidRDefault="00877E60" w:rsidP="00835069">
            <w:pPr>
              <w:rPr>
                <w:rtl/>
                <w:lang w:bidi="ar-EG"/>
              </w:rPr>
            </w:pPr>
            <w:r w:rsidRPr="0085164E">
              <w:rPr>
                <w:rtl/>
                <w:lang w:bidi="ar-EG"/>
              </w:rPr>
              <w:t>أدلى الاتحاد الروسي ببيان لتلخيص جميع شواغله والمناقشات الرسمية وغير الرسمية خلال هذا الاجتماع للفريق الاستشاري لتقييس الاتصالات فيما يتعلق باستخدام مصطلحي "</w:t>
            </w:r>
            <w:r w:rsidRPr="0085164E">
              <w:rPr>
                <w:lang w:bidi="ar-EG"/>
              </w:rPr>
              <w:t>Chair/Vice-chair</w:t>
            </w:r>
            <w:r w:rsidRPr="0085164E">
              <w:rPr>
                <w:rtl/>
                <w:lang w:bidi="ar-EG"/>
              </w:rPr>
              <w:t>" بدلاً من مصطلحي "</w:t>
            </w:r>
            <w:r w:rsidRPr="0085164E">
              <w:rPr>
                <w:lang w:bidi="ar-EG"/>
              </w:rPr>
              <w:t>Chairman/Vice-chairman</w:t>
            </w:r>
            <w:r w:rsidRPr="0085164E">
              <w:rPr>
                <w:rtl/>
                <w:lang w:bidi="ar-EG"/>
              </w:rPr>
              <w:t>" على النحو التالي:</w:t>
            </w:r>
          </w:p>
          <w:p w14:paraId="7B8DC8E2" w14:textId="77777777" w:rsidR="00877E60" w:rsidRPr="0085164E" w:rsidRDefault="00877E60" w:rsidP="00835069">
            <w:pPr>
              <w:tabs>
                <w:tab w:val="clear" w:pos="794"/>
                <w:tab w:val="left" w:pos="418"/>
              </w:tabs>
              <w:ind w:left="418" w:hanging="418"/>
              <w:rPr>
                <w:i/>
                <w:iCs/>
                <w:rtl/>
                <w:lang w:bidi="ar-EG"/>
              </w:rPr>
            </w:pPr>
            <w:r>
              <w:rPr>
                <w:i/>
                <w:iCs/>
                <w:rtl/>
                <w:lang w:bidi="ar-EG"/>
              </w:rPr>
              <w:tab/>
            </w:r>
            <w:r w:rsidRPr="0085164E">
              <w:rPr>
                <w:i/>
                <w:iCs/>
                <w:rtl/>
                <w:lang w:bidi="ar-EG"/>
              </w:rPr>
              <w:t>يعترض الاتحاد الروسي على الاستخدام غير المبرر لمصطلحي "</w:t>
            </w:r>
            <w:r w:rsidRPr="0085164E">
              <w:rPr>
                <w:i/>
                <w:iCs/>
                <w:lang w:bidi="ar-EG"/>
              </w:rPr>
              <w:t>Chair</w:t>
            </w:r>
            <w:r w:rsidRPr="0085164E">
              <w:rPr>
                <w:i/>
                <w:iCs/>
                <w:rtl/>
                <w:lang w:bidi="ar-EG"/>
              </w:rPr>
              <w:t>" و"</w:t>
            </w:r>
            <w:r w:rsidRPr="0085164E">
              <w:rPr>
                <w:i/>
                <w:iCs/>
                <w:lang w:bidi="ar-EG"/>
              </w:rPr>
              <w:t>Vice-chair</w:t>
            </w:r>
            <w:r w:rsidRPr="0085164E">
              <w:rPr>
                <w:i/>
                <w:iCs/>
                <w:rtl/>
                <w:lang w:bidi="ar-EG"/>
              </w:rPr>
              <w:t>" في وثائق قطاع تقييس الاتصالات أثناء اجتماع الفريق الاستشاري لتقييس الاتصالات (</w:t>
            </w:r>
            <w:r w:rsidRPr="0085164E">
              <w:rPr>
                <w:i/>
                <w:iCs/>
                <w:cs/>
                <w:lang w:bidi="ar-EG"/>
              </w:rPr>
              <w:t>‎</w:t>
            </w:r>
            <w:r w:rsidRPr="0085164E">
              <w:rPr>
                <w:i/>
                <w:iCs/>
                <w:lang w:bidi="ar-EG"/>
              </w:rPr>
              <w:t>TSAG</w:t>
            </w:r>
            <w:r w:rsidRPr="0085164E">
              <w:rPr>
                <w:i/>
                <w:iCs/>
                <w:rtl/>
                <w:lang w:bidi="ar-EG"/>
              </w:rPr>
              <w:t>) ‏وهو ما لا يتوافق في رأينا مع أساليب العمل وأحكام اتفاقية الاتحاد ودستوره.</w:t>
            </w:r>
          </w:p>
          <w:p w14:paraId="096072AD" w14:textId="77777777" w:rsidR="00877E60" w:rsidRPr="0085164E" w:rsidRDefault="00877E60" w:rsidP="00835069">
            <w:pPr>
              <w:tabs>
                <w:tab w:val="clear" w:pos="794"/>
                <w:tab w:val="left" w:pos="418"/>
              </w:tabs>
              <w:ind w:left="418" w:hanging="418"/>
              <w:rPr>
                <w:i/>
                <w:iCs/>
                <w:rtl/>
                <w:lang w:bidi="ar-EG"/>
              </w:rPr>
            </w:pPr>
            <w:r>
              <w:rPr>
                <w:i/>
                <w:iCs/>
                <w:rtl/>
                <w:lang w:bidi="ar-EG"/>
              </w:rPr>
              <w:tab/>
            </w:r>
            <w:r w:rsidRPr="0085164E">
              <w:rPr>
                <w:i/>
                <w:iCs/>
                <w:rtl/>
                <w:lang w:bidi="ar-EG"/>
              </w:rPr>
              <w:t xml:space="preserve">ولا يرى الاتحاد الروسي أن من المشروع استخدام إلغاء مقرر المجلس </w:t>
            </w:r>
            <w:r w:rsidRPr="0085164E">
              <w:rPr>
                <w:i/>
                <w:iCs/>
                <w:cs/>
                <w:lang w:bidi="ar-EG"/>
              </w:rPr>
              <w:t>‎</w:t>
            </w:r>
            <w:r w:rsidRPr="0085164E">
              <w:rPr>
                <w:i/>
                <w:iCs/>
                <w:lang w:bidi="ar-EG"/>
              </w:rPr>
              <w:t>500</w:t>
            </w:r>
            <w:r w:rsidRPr="0085164E">
              <w:rPr>
                <w:i/>
                <w:iCs/>
                <w:rtl/>
                <w:lang w:bidi="ar-EG"/>
              </w:rPr>
              <w:t xml:space="preserve"> (دورة ‏المجلس لعام </w:t>
            </w:r>
            <w:r w:rsidRPr="0085164E">
              <w:rPr>
                <w:i/>
                <w:iCs/>
                <w:cs/>
                <w:lang w:bidi="ar-EG"/>
              </w:rPr>
              <w:t>‎</w:t>
            </w:r>
            <w:r w:rsidRPr="0085164E">
              <w:rPr>
                <w:i/>
                <w:iCs/>
                <w:lang w:bidi="ar-EG"/>
              </w:rPr>
              <w:t>2000</w:t>
            </w:r>
            <w:r w:rsidRPr="0085164E">
              <w:rPr>
                <w:i/>
                <w:iCs/>
                <w:rtl/>
                <w:lang w:bidi="ar-EG"/>
              </w:rPr>
              <w:t xml:space="preserve">) (‏الوثيقة </w:t>
            </w:r>
            <w:r w:rsidRPr="0085164E">
              <w:rPr>
                <w:i/>
                <w:iCs/>
                <w:cs/>
                <w:lang w:bidi="ar-EG"/>
              </w:rPr>
              <w:t>‎</w:t>
            </w:r>
            <w:r w:rsidRPr="0085164E">
              <w:rPr>
                <w:i/>
                <w:iCs/>
                <w:lang w:bidi="ar-EG"/>
              </w:rPr>
              <w:t>C23/</w:t>
            </w:r>
            <w:r w:rsidRPr="0085164E">
              <w:rPr>
                <w:i/>
                <w:iCs/>
                <w:lang w:val="fr-CH" w:bidi="ar-EG"/>
              </w:rPr>
              <w:t>3</w:t>
            </w:r>
            <w:r w:rsidRPr="0085164E">
              <w:rPr>
                <w:i/>
                <w:iCs/>
                <w:rtl/>
              </w:rPr>
              <w:t xml:space="preserve">) </w:t>
            </w:r>
            <w:r w:rsidRPr="0085164E">
              <w:rPr>
                <w:i/>
                <w:iCs/>
                <w:rtl/>
                <w:lang w:bidi="ar-EG"/>
              </w:rPr>
              <w:t xml:space="preserve">والمحتويات ذات الصلة للمحاضر الموجزة للجلسة العامة السابعة والأخيرة لاجتماع مجلس الاتحاد (الوثيقة </w:t>
            </w:r>
            <w:r w:rsidRPr="0085164E">
              <w:rPr>
                <w:i/>
                <w:iCs/>
                <w:cs/>
                <w:lang w:bidi="ar-EG"/>
              </w:rPr>
              <w:t>‎</w:t>
            </w:r>
            <w:r w:rsidRPr="0085164E">
              <w:rPr>
                <w:i/>
                <w:iCs/>
                <w:lang w:bidi="ar-EG"/>
              </w:rPr>
              <w:t>C23/112</w:t>
            </w:r>
            <w:r w:rsidRPr="0085164E">
              <w:rPr>
                <w:i/>
                <w:iCs/>
                <w:rtl/>
                <w:lang w:bidi="ar-EG"/>
              </w:rPr>
              <w:t>) ‏لتعديل دليل الاتحاد لأسلوب الكتابة باللغة الإنكليزية والاستعاضة لاحقاً عن مصطلحي "</w:t>
            </w:r>
            <w:r w:rsidRPr="0085164E">
              <w:rPr>
                <w:i/>
                <w:iCs/>
                <w:lang w:bidi="ar-EG"/>
              </w:rPr>
              <w:t>Chairman/Vice-chairman</w:t>
            </w:r>
            <w:r w:rsidRPr="0085164E">
              <w:rPr>
                <w:i/>
                <w:iCs/>
                <w:rtl/>
                <w:lang w:bidi="ar-EG"/>
              </w:rPr>
              <w:t>" بمصطلحي "</w:t>
            </w:r>
            <w:r w:rsidRPr="0085164E">
              <w:rPr>
                <w:i/>
                <w:iCs/>
                <w:lang w:bidi="ar-EG"/>
              </w:rPr>
              <w:t>Chair/Vice-chair</w:t>
            </w:r>
            <w:r w:rsidRPr="0085164E">
              <w:rPr>
                <w:i/>
                <w:iCs/>
                <w:rtl/>
                <w:lang w:bidi="ar-EG"/>
              </w:rPr>
              <w:t>" في وثائق الاتحاد.</w:t>
            </w:r>
          </w:p>
          <w:p w14:paraId="541C11F7" w14:textId="08E63F34" w:rsidR="00877E60" w:rsidRPr="009A291A" w:rsidRDefault="00877E60" w:rsidP="00835069">
            <w:pPr>
              <w:tabs>
                <w:tab w:val="clear" w:pos="794"/>
                <w:tab w:val="left" w:pos="418"/>
              </w:tabs>
              <w:ind w:left="418" w:hanging="418"/>
              <w:rPr>
                <w:i/>
                <w:iCs/>
                <w:spacing w:val="-2"/>
                <w:rtl/>
              </w:rPr>
            </w:pPr>
            <w:r w:rsidRPr="009A291A">
              <w:rPr>
                <w:i/>
                <w:iCs/>
                <w:spacing w:val="-2"/>
                <w:rtl/>
                <w:lang w:bidi="ar-EG"/>
              </w:rPr>
              <w:tab/>
              <w:t>إن مصطلحات "</w:t>
            </w:r>
            <w:r w:rsidRPr="009A291A">
              <w:rPr>
                <w:i/>
                <w:iCs/>
                <w:spacing w:val="-2"/>
                <w:lang w:bidi="ar-EG"/>
              </w:rPr>
              <w:t>Chairman/Chairmen</w:t>
            </w:r>
            <w:r w:rsidRPr="009A291A">
              <w:rPr>
                <w:i/>
                <w:iCs/>
                <w:spacing w:val="-2"/>
                <w:rtl/>
                <w:lang w:bidi="ar-EG"/>
              </w:rPr>
              <w:t>" و"</w:t>
            </w:r>
            <w:r w:rsidRPr="009A291A">
              <w:rPr>
                <w:i/>
                <w:iCs/>
                <w:spacing w:val="-2"/>
                <w:lang w:bidi="ar-EG"/>
              </w:rPr>
              <w:t>Vice-Chairman/Vice-Chairmen</w:t>
            </w:r>
            <w:r w:rsidRPr="009A291A">
              <w:rPr>
                <w:i/>
                <w:iCs/>
                <w:spacing w:val="-2"/>
                <w:rtl/>
                <w:lang w:bidi="ar-EG"/>
              </w:rPr>
              <w:t>" مستخدمة في</w:t>
            </w:r>
            <w:r w:rsidR="007110CB" w:rsidRPr="009A291A">
              <w:rPr>
                <w:rFonts w:hint="cs"/>
                <w:i/>
                <w:iCs/>
                <w:spacing w:val="-2"/>
                <w:rtl/>
                <w:lang w:bidi="ar-EG"/>
              </w:rPr>
              <w:t> </w:t>
            </w:r>
            <w:r w:rsidRPr="009A291A">
              <w:rPr>
                <w:i/>
                <w:iCs/>
                <w:spacing w:val="-2"/>
                <w:rtl/>
                <w:lang w:bidi="ar-EG"/>
              </w:rPr>
              <w:t>دستور الاتحاد في المادة 3 وفي اتفاقية الاتحاد في المواد 2 و4 و6 و8 و9 و10 و</w:t>
            </w:r>
            <w:r w:rsidRPr="009A291A">
              <w:rPr>
                <w:i/>
                <w:iCs/>
                <w:spacing w:val="-2"/>
                <w:lang w:bidi="ar-EG"/>
              </w:rPr>
              <w:t>11A</w:t>
            </w:r>
            <w:r w:rsidRPr="009A291A">
              <w:rPr>
                <w:i/>
                <w:iCs/>
                <w:spacing w:val="-2"/>
                <w:rtl/>
              </w:rPr>
              <w:t xml:space="preserve"> و13 و</w:t>
            </w:r>
            <w:r w:rsidRPr="009A291A">
              <w:rPr>
                <w:i/>
                <w:iCs/>
                <w:spacing w:val="-2"/>
                <w:lang w:bidi="ar-EG"/>
              </w:rPr>
              <w:t>14A</w:t>
            </w:r>
            <w:r w:rsidRPr="009A291A">
              <w:rPr>
                <w:i/>
                <w:iCs/>
                <w:spacing w:val="-2"/>
                <w:rtl/>
              </w:rPr>
              <w:t xml:space="preserve"> و15 و16 و</w:t>
            </w:r>
            <w:r w:rsidRPr="009A291A">
              <w:rPr>
                <w:i/>
                <w:iCs/>
                <w:spacing w:val="-2"/>
                <w:lang w:bidi="ar-EG"/>
              </w:rPr>
              <w:t>17A</w:t>
            </w:r>
            <w:r w:rsidRPr="009A291A">
              <w:rPr>
                <w:i/>
                <w:iCs/>
                <w:spacing w:val="-2"/>
                <w:rtl/>
              </w:rPr>
              <w:t xml:space="preserve"> و20 و31، وكذلك في قرارات مؤتمرات المندوبين المفوضين.</w:t>
            </w:r>
          </w:p>
          <w:p w14:paraId="53EA16A2" w14:textId="6EAB1D53" w:rsidR="00877E60" w:rsidRPr="0048412E" w:rsidRDefault="00877E60" w:rsidP="00835069">
            <w:pPr>
              <w:tabs>
                <w:tab w:val="clear" w:pos="794"/>
                <w:tab w:val="left" w:pos="418"/>
              </w:tabs>
              <w:ind w:left="418" w:hanging="418"/>
              <w:rPr>
                <w:i/>
                <w:iCs/>
                <w:spacing w:val="-2"/>
                <w:rtl/>
              </w:rPr>
            </w:pPr>
            <w:r w:rsidRPr="0048412E">
              <w:rPr>
                <w:i/>
                <w:iCs/>
                <w:spacing w:val="-2"/>
                <w:rtl/>
              </w:rPr>
              <w:tab/>
              <w:t>وفي هذا الصدد، يرى الاتحاد الروسي أن تطبيق أمانة مكتب تقييس الاتصالات للدليل المذكور أعلاه على كل من وثائق العمل (</w:t>
            </w:r>
            <w:r w:rsidRPr="0048412E">
              <w:rPr>
                <w:i/>
                <w:iCs/>
                <w:spacing w:val="-2"/>
                <w:cs/>
              </w:rPr>
              <w:t>‎</w:t>
            </w:r>
            <w:r w:rsidRPr="0048412E">
              <w:rPr>
                <w:i/>
                <w:iCs/>
                <w:spacing w:val="-2"/>
                <w:rtl/>
              </w:rPr>
              <w:t>الوثائق المؤقتة) ‏ووثائق قطاع تقييس الاتصالات المعتمدة وكذلك الممارسة المتمثلة في</w:t>
            </w:r>
            <w:r w:rsidR="00E075CB" w:rsidRPr="0048412E">
              <w:rPr>
                <w:rFonts w:hint="cs"/>
                <w:i/>
                <w:iCs/>
                <w:spacing w:val="-2"/>
                <w:rtl/>
              </w:rPr>
              <w:t> </w:t>
            </w:r>
            <w:r w:rsidRPr="0048412E">
              <w:rPr>
                <w:i/>
                <w:iCs/>
                <w:spacing w:val="-2"/>
                <w:rtl/>
              </w:rPr>
              <w:t xml:space="preserve">استخدام هذا الدليل كأداة لإعداد </w:t>
            </w:r>
            <w:r w:rsidRPr="0048412E">
              <w:rPr>
                <w:i/>
                <w:iCs/>
                <w:spacing w:val="-2"/>
                <w:rtl/>
                <w:lang w:bidi="ar-EG"/>
              </w:rPr>
              <w:t>وثائق</w:t>
            </w:r>
            <w:r w:rsidRPr="0048412E">
              <w:rPr>
                <w:i/>
                <w:iCs/>
                <w:spacing w:val="-2"/>
                <w:rtl/>
              </w:rPr>
              <w:t xml:space="preserve"> قطاع تقييس الاتصالات كمبرر لشرعية تحديث المصطلحات المذكورة آنفاً، يؤدي إلى تناقض مع أحكام دستور الاتحاد واتفاقيته.</w:t>
            </w:r>
          </w:p>
          <w:p w14:paraId="56731FE3" w14:textId="74B2B4A7" w:rsidR="00877E60" w:rsidRPr="0085164E" w:rsidRDefault="00877E60" w:rsidP="00835069">
            <w:pPr>
              <w:tabs>
                <w:tab w:val="clear" w:pos="794"/>
                <w:tab w:val="left" w:pos="418"/>
              </w:tabs>
              <w:ind w:left="418" w:hanging="418"/>
              <w:rPr>
                <w:i/>
                <w:iCs/>
                <w:rtl/>
              </w:rPr>
            </w:pPr>
            <w:r>
              <w:rPr>
                <w:i/>
                <w:iCs/>
                <w:rtl/>
              </w:rPr>
              <w:tab/>
            </w:r>
            <w:r w:rsidRPr="0085164E">
              <w:rPr>
                <w:i/>
                <w:iCs/>
                <w:rtl/>
              </w:rPr>
              <w:t xml:space="preserve">ويؤكد الاتحاد الروسي مجدداً أن أي تغييرات لا تقبلها جميع الدول الأعضاء في الاتحاد وتتعارض مع دستور الاتحاد واتفاقيته، ومع قرارات مؤتمرات المندوبين المفوضين، تعتبر غير مقبولة وتقوض شرعية الوثائق التي تطبق فيها، وتعرض للخطر إمكانية تطبيقها في أنشطة الاتحاد. ويجب أن تبقى جميع النصوص الحالية </w:t>
            </w:r>
            <w:r w:rsidRPr="0048412E">
              <w:rPr>
                <w:i/>
                <w:iCs/>
                <w:spacing w:val="-2"/>
                <w:rtl/>
              </w:rPr>
              <w:t xml:space="preserve">والمراجعة بدون تغيير فيما يتعلق بالاستخدام </w:t>
            </w:r>
            <w:r w:rsidRPr="0048412E">
              <w:rPr>
                <w:i/>
                <w:iCs/>
                <w:spacing w:val="-2"/>
                <w:rtl/>
                <w:lang w:bidi="ar-EG"/>
              </w:rPr>
              <w:t>الكتابي</w:t>
            </w:r>
            <w:r w:rsidRPr="0048412E">
              <w:rPr>
                <w:i/>
                <w:iCs/>
                <w:spacing w:val="-2"/>
                <w:rtl/>
              </w:rPr>
              <w:t xml:space="preserve"> ل</w:t>
            </w:r>
            <w:r w:rsidRPr="0048412E">
              <w:rPr>
                <w:i/>
                <w:iCs/>
                <w:spacing w:val="-2"/>
                <w:rtl/>
                <w:lang w:bidi="ar-EG"/>
              </w:rPr>
              <w:t>مصطلحي "</w:t>
            </w:r>
            <w:r w:rsidRPr="0048412E">
              <w:rPr>
                <w:i/>
                <w:iCs/>
                <w:spacing w:val="-2"/>
                <w:lang w:bidi="ar-EG"/>
              </w:rPr>
              <w:t>Chairman/Vice-chairman</w:t>
            </w:r>
            <w:r w:rsidRPr="0048412E">
              <w:rPr>
                <w:i/>
                <w:iCs/>
                <w:spacing w:val="-2"/>
                <w:rtl/>
                <w:lang w:bidi="ar-EG"/>
              </w:rPr>
              <w:t xml:space="preserve">" </w:t>
            </w:r>
            <w:r w:rsidRPr="0048412E">
              <w:rPr>
                <w:i/>
                <w:iCs/>
                <w:spacing w:val="-2"/>
                <w:rtl/>
              </w:rPr>
              <w:t>وفقاً لأحكام دستور الاتحاد</w:t>
            </w:r>
            <w:r w:rsidRPr="0085164E">
              <w:rPr>
                <w:i/>
                <w:iCs/>
                <w:rtl/>
              </w:rPr>
              <w:t xml:space="preserve"> واتفاقيته إلى أن يتخذ قرار بهذا الشأن على النحو المحدد.</w:t>
            </w:r>
          </w:p>
        </w:tc>
      </w:tr>
    </w:tbl>
    <w:p w14:paraId="22307207" w14:textId="77777777" w:rsidR="008315CE" w:rsidRDefault="008315CE" w:rsidP="008315CE">
      <w:pPr>
        <w:spacing w:before="600"/>
        <w:jc w:val="center"/>
        <w:rPr>
          <w:lang w:bidi="ar-EG"/>
        </w:rPr>
      </w:pPr>
      <w:r w:rsidRPr="00A55ED3">
        <w:rPr>
          <w:rFonts w:hint="cs"/>
          <w:rtl/>
          <w:lang w:bidi="ar-EG"/>
        </w:rPr>
        <w:t>ــــــــــــــــــــــــــــــــــــــــــــــــــــــــــــــــــــــــــــــــــــــــــــــــ</w:t>
      </w:r>
    </w:p>
    <w:sectPr w:rsidR="008315CE" w:rsidSect="006C3242">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1577" w14:textId="77777777" w:rsidR="0043251C" w:rsidRDefault="0043251C" w:rsidP="006C3242">
      <w:pPr>
        <w:spacing w:before="0" w:line="240" w:lineRule="auto"/>
      </w:pPr>
      <w:r>
        <w:separator/>
      </w:r>
    </w:p>
  </w:endnote>
  <w:endnote w:type="continuationSeparator" w:id="0">
    <w:p w14:paraId="6C1C7B44" w14:textId="77777777" w:rsidR="0043251C" w:rsidRDefault="0043251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2791B8F" w14:textId="77777777" w:rsidTr="00357086">
      <w:trPr>
        <w:jc w:val="center"/>
      </w:trPr>
      <w:tc>
        <w:tcPr>
          <w:tcW w:w="868" w:type="pct"/>
          <w:vAlign w:val="center"/>
        </w:tcPr>
        <w:p w14:paraId="0EA03ECB" w14:textId="2299255A"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3495B9D4" w14:textId="25755DB8"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633192">
            <w:rPr>
              <w:rFonts w:ascii="Calibri" w:hAnsi="Calibri" w:cs="Arial"/>
              <w:bCs/>
              <w:color w:val="7F7F7F"/>
              <w:sz w:val="18"/>
            </w:rPr>
            <w:t>65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F06C9D0"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B23257A" w14:textId="68AA4E9B" w:rsidR="00387876" w:rsidRPr="0026373E" w:rsidRDefault="00387876" w:rsidP="0063319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A7C85FF" w14:textId="77777777" w:rsidTr="00F50E3F">
      <w:trPr>
        <w:jc w:val="center"/>
      </w:trPr>
      <w:tc>
        <w:tcPr>
          <w:tcW w:w="868" w:type="pct"/>
          <w:vAlign w:val="center"/>
        </w:tcPr>
        <w:p w14:paraId="3ADC23F4" w14:textId="77777777" w:rsidR="007B0AA0" w:rsidRPr="007B0AA0" w:rsidRDefault="006C1C52"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A5C2AB3" w14:textId="73BE5AB2"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633192">
            <w:rPr>
              <w:rFonts w:ascii="Calibri" w:hAnsi="Calibri" w:cs="Arial"/>
              <w:bCs/>
              <w:color w:val="7F7F7F"/>
              <w:sz w:val="18"/>
            </w:rPr>
            <w:t>65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CDECD73"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62D83F2" w14:textId="7147F381" w:rsidR="00387876" w:rsidRPr="0026373E" w:rsidRDefault="00387876" w:rsidP="00E534B9">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4001" w14:textId="77777777" w:rsidR="0043251C" w:rsidRDefault="0043251C" w:rsidP="006C3242">
      <w:pPr>
        <w:spacing w:before="0" w:line="240" w:lineRule="auto"/>
      </w:pPr>
      <w:r>
        <w:separator/>
      </w:r>
    </w:p>
  </w:footnote>
  <w:footnote w:type="continuationSeparator" w:id="0">
    <w:p w14:paraId="156A887B" w14:textId="77777777" w:rsidR="0043251C" w:rsidRDefault="0043251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5EA"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42BFA4C" wp14:editId="462E06FC">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9EF46"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6ECEC610" wp14:editId="0D914FD2">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1C"/>
    <w:rsid w:val="0006468A"/>
    <w:rsid w:val="00090574"/>
    <w:rsid w:val="0009186A"/>
    <w:rsid w:val="000C1C0E"/>
    <w:rsid w:val="000C548A"/>
    <w:rsid w:val="00137077"/>
    <w:rsid w:val="00195B5F"/>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87876"/>
    <w:rsid w:val="003F4B29"/>
    <w:rsid w:val="0042686F"/>
    <w:rsid w:val="004317D8"/>
    <w:rsid w:val="0043251C"/>
    <w:rsid w:val="0043281F"/>
    <w:rsid w:val="00434183"/>
    <w:rsid w:val="00443869"/>
    <w:rsid w:val="00447F32"/>
    <w:rsid w:val="0048412E"/>
    <w:rsid w:val="004B7334"/>
    <w:rsid w:val="004E11DC"/>
    <w:rsid w:val="00525DDD"/>
    <w:rsid w:val="005409AC"/>
    <w:rsid w:val="00541EE5"/>
    <w:rsid w:val="0055516A"/>
    <w:rsid w:val="00562A38"/>
    <w:rsid w:val="0058491B"/>
    <w:rsid w:val="00592EA5"/>
    <w:rsid w:val="005A3170"/>
    <w:rsid w:val="00633192"/>
    <w:rsid w:val="00675A77"/>
    <w:rsid w:val="00677396"/>
    <w:rsid w:val="0069200F"/>
    <w:rsid w:val="006A65CB"/>
    <w:rsid w:val="006C1C52"/>
    <w:rsid w:val="006C3242"/>
    <w:rsid w:val="006C7CC0"/>
    <w:rsid w:val="006F63F7"/>
    <w:rsid w:val="007025C7"/>
    <w:rsid w:val="00706D7A"/>
    <w:rsid w:val="007110CB"/>
    <w:rsid w:val="00722F0D"/>
    <w:rsid w:val="0074420E"/>
    <w:rsid w:val="00783E26"/>
    <w:rsid w:val="007B0AA0"/>
    <w:rsid w:val="007C3BC7"/>
    <w:rsid w:val="007C3BCD"/>
    <w:rsid w:val="007D4ACF"/>
    <w:rsid w:val="007F0787"/>
    <w:rsid w:val="00810B7B"/>
    <w:rsid w:val="0082358A"/>
    <w:rsid w:val="008235CD"/>
    <w:rsid w:val="008247DE"/>
    <w:rsid w:val="008315CE"/>
    <w:rsid w:val="008339C0"/>
    <w:rsid w:val="00840B10"/>
    <w:rsid w:val="008513CB"/>
    <w:rsid w:val="00877E60"/>
    <w:rsid w:val="008A7F84"/>
    <w:rsid w:val="008F4C50"/>
    <w:rsid w:val="0091702E"/>
    <w:rsid w:val="00923B0C"/>
    <w:rsid w:val="0094021C"/>
    <w:rsid w:val="00952F86"/>
    <w:rsid w:val="00974B51"/>
    <w:rsid w:val="00982B28"/>
    <w:rsid w:val="009A291A"/>
    <w:rsid w:val="009D313F"/>
    <w:rsid w:val="00A47A5A"/>
    <w:rsid w:val="00A6683B"/>
    <w:rsid w:val="00A97F94"/>
    <w:rsid w:val="00AA7EA2"/>
    <w:rsid w:val="00B03099"/>
    <w:rsid w:val="00B05BC8"/>
    <w:rsid w:val="00B6080B"/>
    <w:rsid w:val="00B64B47"/>
    <w:rsid w:val="00B91B14"/>
    <w:rsid w:val="00B95654"/>
    <w:rsid w:val="00C002DE"/>
    <w:rsid w:val="00C30813"/>
    <w:rsid w:val="00C53BF8"/>
    <w:rsid w:val="00C66157"/>
    <w:rsid w:val="00C674FE"/>
    <w:rsid w:val="00C67501"/>
    <w:rsid w:val="00C75633"/>
    <w:rsid w:val="00CE2EE1"/>
    <w:rsid w:val="00CE3349"/>
    <w:rsid w:val="00CE36E5"/>
    <w:rsid w:val="00CF03A7"/>
    <w:rsid w:val="00CF27F5"/>
    <w:rsid w:val="00CF3FFD"/>
    <w:rsid w:val="00D10CCF"/>
    <w:rsid w:val="00D13941"/>
    <w:rsid w:val="00D63735"/>
    <w:rsid w:val="00D77D0F"/>
    <w:rsid w:val="00DA1CF0"/>
    <w:rsid w:val="00DC1E02"/>
    <w:rsid w:val="00DC24B4"/>
    <w:rsid w:val="00DC5FB0"/>
    <w:rsid w:val="00DF16DC"/>
    <w:rsid w:val="00E05BF5"/>
    <w:rsid w:val="00E075CB"/>
    <w:rsid w:val="00E45211"/>
    <w:rsid w:val="00E473C5"/>
    <w:rsid w:val="00E534B9"/>
    <w:rsid w:val="00E61BE8"/>
    <w:rsid w:val="00E92863"/>
    <w:rsid w:val="00E95327"/>
    <w:rsid w:val="00EB796D"/>
    <w:rsid w:val="00F02F19"/>
    <w:rsid w:val="00F058DC"/>
    <w:rsid w:val="00F24FC4"/>
    <w:rsid w:val="00F2676C"/>
    <w:rsid w:val="00F363FE"/>
    <w:rsid w:val="00F50E3F"/>
    <w:rsid w:val="00F802B6"/>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E2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E53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22-TSAG-R-0004/en" TargetMode="External"/><Relationship Id="rId13" Type="http://schemas.openxmlformats.org/officeDocument/2006/relationships/hyperlink" Target="https://www.itu.int/md/T22-TSAG-240122-TD-GEN-0450/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22-TSAG-240122-TD-GEN-0450/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meetingdoc.asp?lang=en&amp;parent=T22-TSAG-240122-TD-GEN-046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AG-240122-TD-GEN-0450/en" TargetMode="External"/><Relationship Id="rId5" Type="http://schemas.openxmlformats.org/officeDocument/2006/relationships/webSettings" Target="webSettings.xml"/><Relationship Id="rId15" Type="http://schemas.openxmlformats.org/officeDocument/2006/relationships/hyperlink" Target="https://www.itu.int/md/meetingdoc.asp?lang=en&amp;parent=T22-TSAG-240122-TD-GEN-0453" TargetMode="External"/><Relationship Id="rId10" Type="http://schemas.openxmlformats.org/officeDocument/2006/relationships/hyperlink" Target="https://www.itu.int/md/T22-TSAG-R-0004/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CL-C-0112/en" TargetMode="External"/><Relationship Id="rId14" Type="http://schemas.openxmlformats.org/officeDocument/2006/relationships/hyperlink" Target="https://www.itu.int/md/meetingdoc.asp?lang=en&amp;parent=T22-TSAG-240122-TD-GEN-047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2024-05-08T09:14:00Z</dcterms:created>
  <dcterms:modified xsi:type="dcterms:W3CDTF">2024-05-22T09:19:00Z</dcterms:modified>
  <cp:category>Conference document</cp:category>
</cp:coreProperties>
</file>