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1353C6" w:rsidRPr="00813E5E" w14:paraId="16C8DD02" w14:textId="77777777" w:rsidTr="00C538FC">
        <w:trPr>
          <w:cantSplit/>
          <w:trHeight w:val="23"/>
        </w:trPr>
        <w:tc>
          <w:tcPr>
            <w:tcW w:w="3969" w:type="dxa"/>
            <w:vMerge w:val="restart"/>
            <w:tcMar>
              <w:left w:w="0" w:type="dxa"/>
            </w:tcMar>
          </w:tcPr>
          <w:p w14:paraId="380780FF" w14:textId="0A66C1D5" w:rsidR="001353C6" w:rsidRPr="00E85629" w:rsidRDefault="001353C6" w:rsidP="001353C6">
            <w:pPr>
              <w:tabs>
                <w:tab w:val="left" w:pos="851"/>
              </w:tabs>
              <w:spacing w:before="0" w:line="240" w:lineRule="atLeast"/>
              <w:rPr>
                <w:b/>
              </w:rPr>
            </w:pPr>
            <w:bookmarkStart w:id="0" w:name="_Hlk133421839"/>
            <w:r w:rsidRPr="00401E6A">
              <w:rPr>
                <w:b/>
              </w:rPr>
              <w:t>Punto del orden del día: PL 3</w:t>
            </w:r>
          </w:p>
        </w:tc>
        <w:tc>
          <w:tcPr>
            <w:tcW w:w="5245" w:type="dxa"/>
          </w:tcPr>
          <w:p w14:paraId="12EC8577" w14:textId="381749D0" w:rsidR="001353C6" w:rsidRPr="00E85629" w:rsidRDefault="001353C6" w:rsidP="000A2F16">
            <w:pPr>
              <w:spacing w:before="0" w:line="240" w:lineRule="atLeast"/>
              <w:jc w:val="right"/>
              <w:rPr>
                <w:b/>
              </w:rPr>
            </w:pPr>
            <w:r>
              <w:rPr>
                <w:b/>
              </w:rPr>
              <w:t xml:space="preserve">Revisión 1 </w:t>
            </w:r>
            <w:r w:rsidR="000A2F16">
              <w:rPr>
                <w:b/>
              </w:rPr>
              <w:t>a</w:t>
            </w:r>
            <w:r>
              <w:rPr>
                <w:b/>
              </w:rPr>
              <w:t>l</w:t>
            </w:r>
            <w:r w:rsidR="000A2F16">
              <w:rPr>
                <w:b/>
              </w:rPr>
              <w:br/>
            </w:r>
            <w:r>
              <w:rPr>
                <w:b/>
              </w:rPr>
              <w:t>Documento C24/64-S</w:t>
            </w:r>
          </w:p>
        </w:tc>
      </w:tr>
      <w:tr w:rsidR="001353C6" w:rsidRPr="00813E5E" w14:paraId="2F7BAD0F" w14:textId="77777777" w:rsidTr="00C538FC">
        <w:trPr>
          <w:cantSplit/>
        </w:trPr>
        <w:tc>
          <w:tcPr>
            <w:tcW w:w="3969" w:type="dxa"/>
            <w:vMerge/>
          </w:tcPr>
          <w:p w14:paraId="32D340BD" w14:textId="77777777" w:rsidR="001353C6" w:rsidRPr="00813E5E" w:rsidRDefault="001353C6" w:rsidP="001353C6">
            <w:pPr>
              <w:tabs>
                <w:tab w:val="left" w:pos="851"/>
              </w:tabs>
              <w:spacing w:line="240" w:lineRule="atLeast"/>
              <w:rPr>
                <w:b/>
              </w:rPr>
            </w:pPr>
          </w:p>
        </w:tc>
        <w:tc>
          <w:tcPr>
            <w:tcW w:w="5245" w:type="dxa"/>
          </w:tcPr>
          <w:p w14:paraId="6D67502D" w14:textId="3C5E21B4" w:rsidR="001353C6" w:rsidRPr="00E85629" w:rsidRDefault="001353C6" w:rsidP="001353C6">
            <w:pPr>
              <w:tabs>
                <w:tab w:val="left" w:pos="851"/>
              </w:tabs>
              <w:spacing w:before="0"/>
              <w:jc w:val="right"/>
              <w:rPr>
                <w:b/>
              </w:rPr>
            </w:pPr>
            <w:r w:rsidRPr="00401E6A">
              <w:rPr>
                <w:b/>
              </w:rPr>
              <w:t>3</w:t>
            </w:r>
            <w:r>
              <w:rPr>
                <w:b/>
              </w:rPr>
              <w:t>1</w:t>
            </w:r>
            <w:r w:rsidRPr="00401E6A">
              <w:rPr>
                <w:b/>
              </w:rPr>
              <w:t xml:space="preserve"> de mayo de 2024</w:t>
            </w:r>
          </w:p>
        </w:tc>
      </w:tr>
      <w:tr w:rsidR="001353C6" w:rsidRPr="00F24B71" w14:paraId="14ED61B8" w14:textId="77777777" w:rsidTr="00C538FC">
        <w:trPr>
          <w:cantSplit/>
          <w:trHeight w:val="23"/>
        </w:trPr>
        <w:tc>
          <w:tcPr>
            <w:tcW w:w="3969" w:type="dxa"/>
            <w:vMerge/>
          </w:tcPr>
          <w:p w14:paraId="36AAE2B4" w14:textId="77777777" w:rsidR="001353C6" w:rsidRPr="00813E5E" w:rsidRDefault="001353C6" w:rsidP="001353C6">
            <w:pPr>
              <w:tabs>
                <w:tab w:val="left" w:pos="851"/>
              </w:tabs>
              <w:spacing w:line="240" w:lineRule="atLeast"/>
              <w:rPr>
                <w:b/>
              </w:rPr>
            </w:pPr>
          </w:p>
        </w:tc>
        <w:tc>
          <w:tcPr>
            <w:tcW w:w="5245" w:type="dxa"/>
          </w:tcPr>
          <w:p w14:paraId="54C7ED74" w14:textId="619DA1B6" w:rsidR="001353C6" w:rsidRPr="00F24B71" w:rsidRDefault="001353C6" w:rsidP="001353C6">
            <w:pPr>
              <w:tabs>
                <w:tab w:val="left" w:pos="851"/>
              </w:tabs>
              <w:spacing w:before="0" w:line="240" w:lineRule="atLeast"/>
              <w:jc w:val="right"/>
              <w:rPr>
                <w:b/>
                <w:bCs/>
              </w:rPr>
            </w:pPr>
            <w:r w:rsidRPr="00F24B71">
              <w:rPr>
                <w:rFonts w:cstheme="minorHAnsi"/>
                <w:b/>
                <w:bCs/>
                <w:lang w:val="fr-CH"/>
              </w:rPr>
              <w:t xml:space="preserve">Original: </w:t>
            </w:r>
            <w:proofErr w:type="spellStart"/>
            <w:r w:rsidRPr="00F24B71">
              <w:rPr>
                <w:rFonts w:cstheme="minorHAnsi"/>
                <w:b/>
                <w:bCs/>
                <w:lang w:val="fr-CH"/>
              </w:rPr>
              <w:t>inglés</w:t>
            </w:r>
            <w:proofErr w:type="spellEnd"/>
          </w:p>
        </w:tc>
      </w:tr>
      <w:tr w:rsidR="00FE57F6" w:rsidRPr="00813E5E" w14:paraId="28C23F0D" w14:textId="77777777" w:rsidTr="00C538FC">
        <w:trPr>
          <w:cantSplit/>
          <w:trHeight w:val="23"/>
        </w:trPr>
        <w:tc>
          <w:tcPr>
            <w:tcW w:w="3969" w:type="dxa"/>
          </w:tcPr>
          <w:p w14:paraId="71CA9CDE" w14:textId="77777777" w:rsidR="00FE57F6" w:rsidRPr="00813E5E" w:rsidRDefault="00FE57F6" w:rsidP="00C538FC">
            <w:pPr>
              <w:tabs>
                <w:tab w:val="left" w:pos="851"/>
              </w:tabs>
              <w:spacing w:line="240" w:lineRule="atLeast"/>
              <w:rPr>
                <w:b/>
              </w:rPr>
            </w:pPr>
          </w:p>
        </w:tc>
        <w:tc>
          <w:tcPr>
            <w:tcW w:w="5245" w:type="dxa"/>
          </w:tcPr>
          <w:p w14:paraId="04F0E65D" w14:textId="77777777" w:rsidR="00FE57F6" w:rsidRDefault="00FE57F6" w:rsidP="00C538FC">
            <w:pPr>
              <w:tabs>
                <w:tab w:val="left" w:pos="851"/>
              </w:tabs>
              <w:spacing w:before="0" w:line="240" w:lineRule="atLeast"/>
              <w:jc w:val="right"/>
              <w:rPr>
                <w:b/>
              </w:rPr>
            </w:pPr>
          </w:p>
        </w:tc>
      </w:tr>
      <w:tr w:rsidR="00FE57F6" w:rsidRPr="00FE57F6" w14:paraId="0744CD5D" w14:textId="77777777" w:rsidTr="00C538FC">
        <w:trPr>
          <w:cantSplit/>
        </w:trPr>
        <w:tc>
          <w:tcPr>
            <w:tcW w:w="9214" w:type="dxa"/>
            <w:gridSpan w:val="2"/>
            <w:tcMar>
              <w:left w:w="0" w:type="dxa"/>
            </w:tcMar>
          </w:tcPr>
          <w:p w14:paraId="3EF99137" w14:textId="77777777" w:rsidR="00FE57F6" w:rsidRPr="004B5D49" w:rsidRDefault="00F24B71" w:rsidP="00C538FC">
            <w:pPr>
              <w:pStyle w:val="Source"/>
              <w:jc w:val="left"/>
              <w:rPr>
                <w:sz w:val="34"/>
                <w:szCs w:val="34"/>
                <w:lang w:val="es-ES"/>
              </w:rPr>
            </w:pPr>
            <w:r w:rsidRPr="00C538FC">
              <w:rPr>
                <w:rFonts w:cstheme="minorHAnsi"/>
                <w:sz w:val="34"/>
                <w:szCs w:val="34"/>
              </w:rPr>
              <w:t>Informe de</w:t>
            </w:r>
            <w:r w:rsidR="004B5D49">
              <w:rPr>
                <w:rFonts w:cstheme="minorHAnsi"/>
                <w:sz w:val="34"/>
                <w:szCs w:val="34"/>
              </w:rPr>
              <w:t xml:space="preserve"> </w:t>
            </w:r>
            <w:r w:rsidRPr="00C538FC">
              <w:rPr>
                <w:rFonts w:cstheme="minorHAnsi"/>
                <w:sz w:val="34"/>
                <w:szCs w:val="34"/>
              </w:rPr>
              <w:t>l</w:t>
            </w:r>
            <w:r w:rsidR="004B5D49">
              <w:rPr>
                <w:rFonts w:cstheme="minorHAnsi"/>
                <w:sz w:val="34"/>
                <w:szCs w:val="34"/>
              </w:rPr>
              <w:t>a</w:t>
            </w:r>
            <w:r w:rsidRPr="00C538FC">
              <w:rPr>
                <w:rFonts w:cstheme="minorHAnsi"/>
                <w:sz w:val="34"/>
                <w:szCs w:val="34"/>
              </w:rPr>
              <w:t xml:space="preserve"> Secretari</w:t>
            </w:r>
            <w:r w:rsidR="004B5D49">
              <w:rPr>
                <w:rFonts w:cstheme="minorHAnsi"/>
                <w:sz w:val="34"/>
                <w:szCs w:val="34"/>
              </w:rPr>
              <w:t>a</w:t>
            </w:r>
            <w:r w:rsidRPr="00C538FC">
              <w:rPr>
                <w:rFonts w:cstheme="minorHAnsi"/>
                <w:sz w:val="34"/>
                <w:szCs w:val="34"/>
              </w:rPr>
              <w:t xml:space="preserve"> General</w:t>
            </w:r>
          </w:p>
        </w:tc>
      </w:tr>
      <w:tr w:rsidR="00FE57F6" w:rsidRPr="00813E5E" w14:paraId="5E2B474A" w14:textId="77777777" w:rsidTr="00C538FC">
        <w:trPr>
          <w:cantSplit/>
        </w:trPr>
        <w:tc>
          <w:tcPr>
            <w:tcW w:w="9214" w:type="dxa"/>
            <w:gridSpan w:val="2"/>
            <w:tcMar>
              <w:left w:w="0" w:type="dxa"/>
            </w:tcMar>
          </w:tcPr>
          <w:p w14:paraId="75872F37" w14:textId="3CCC97F6" w:rsidR="00FE57F6" w:rsidRPr="001353C6" w:rsidRDefault="001353C6" w:rsidP="00C538FC">
            <w:pPr>
              <w:pStyle w:val="Subtitle"/>
              <w:framePr w:hSpace="0" w:wrap="auto" w:hAnchor="text" w:xAlign="left" w:yAlign="inline"/>
              <w:rPr>
                <w:lang w:val="es-ES"/>
              </w:rPr>
            </w:pPr>
            <w:r w:rsidRPr="001353C6">
              <w:rPr>
                <w:rFonts w:cstheme="minorHAnsi"/>
                <w:lang w:val="es-ES"/>
              </w:rPr>
              <w:t>ORDEN DEL DÍA DE LA CONFERENCIA MUNDIAL DE RADIOCOMUNICACIONES 2027 (CMR-27)</w:t>
            </w:r>
          </w:p>
        </w:tc>
      </w:tr>
      <w:tr w:rsidR="00FE57F6" w:rsidRPr="00813E5E" w14:paraId="4DC483B4" w14:textId="77777777" w:rsidTr="00C538FC">
        <w:trPr>
          <w:cantSplit/>
        </w:trPr>
        <w:tc>
          <w:tcPr>
            <w:tcW w:w="9214" w:type="dxa"/>
            <w:gridSpan w:val="2"/>
            <w:tcBorders>
              <w:top w:val="single" w:sz="4" w:space="0" w:color="auto"/>
              <w:bottom w:val="single" w:sz="4" w:space="0" w:color="auto"/>
            </w:tcBorders>
            <w:tcMar>
              <w:left w:w="0" w:type="dxa"/>
            </w:tcMar>
          </w:tcPr>
          <w:p w14:paraId="3D5ADAE4" w14:textId="08343080" w:rsidR="00FE57F6" w:rsidRPr="00F24B71" w:rsidRDefault="00F24B71" w:rsidP="00C538FC">
            <w:pPr>
              <w:spacing w:before="160"/>
              <w:rPr>
                <w:b/>
                <w:bCs/>
                <w:sz w:val="26"/>
                <w:szCs w:val="26"/>
                <w:lang w:val="es-ES"/>
              </w:rPr>
            </w:pPr>
            <w:r w:rsidRPr="00F24B71">
              <w:rPr>
                <w:b/>
                <w:bCs/>
                <w:sz w:val="26"/>
                <w:szCs w:val="26"/>
                <w:lang w:val="es-ES"/>
              </w:rPr>
              <w:t>Objet</w:t>
            </w:r>
            <w:r w:rsidR="00676597">
              <w:rPr>
                <w:b/>
                <w:bCs/>
                <w:sz w:val="26"/>
                <w:szCs w:val="26"/>
                <w:lang w:val="es-ES"/>
              </w:rPr>
              <w:t>o</w:t>
            </w:r>
          </w:p>
          <w:p w14:paraId="2992BB44" w14:textId="77777777" w:rsidR="001353C6" w:rsidRDefault="001353C6" w:rsidP="001353C6">
            <w:pPr>
              <w:rPr>
                <w:lang w:val="es-ES"/>
              </w:rPr>
            </w:pPr>
            <w:r w:rsidRPr="00401E6A">
              <w:rPr>
                <w:lang w:val="es-ES"/>
              </w:rPr>
              <w:t>La Resolución</w:t>
            </w:r>
            <w:r>
              <w:rPr>
                <w:lang w:val="es-ES"/>
              </w:rPr>
              <w:t> </w:t>
            </w:r>
            <w:r w:rsidRPr="00401E6A">
              <w:rPr>
                <w:lang w:val="es-ES"/>
              </w:rPr>
              <w:t>813 (CMR-23) recomienda puntos del orden del día de la Conferencia Mundial de Radiocomunicaciones de 2027 (CMR-27). De conformidad con el número</w:t>
            </w:r>
            <w:r>
              <w:rPr>
                <w:lang w:val="es-ES"/>
              </w:rPr>
              <w:t> </w:t>
            </w:r>
            <w:r w:rsidRPr="00401E6A">
              <w:rPr>
                <w:lang w:val="es-ES"/>
              </w:rPr>
              <w:t>118 del Convenio, el Consejo tiene el mandato de establecer el orden del día definitivo de una Conferencia Mundial de Radiocomunicaciones, preferiblemente dos años antes de la Conferencia, con el acuerdo de la mayoría de los Estados Miembros de la Unión, a reserva de las disposiciones del número</w:t>
            </w:r>
            <w:r>
              <w:rPr>
                <w:lang w:val="es-ES"/>
              </w:rPr>
              <w:t> </w:t>
            </w:r>
            <w:r w:rsidRPr="00401E6A">
              <w:rPr>
                <w:lang w:val="es-ES"/>
              </w:rPr>
              <w:t>47 del Convenio.</w:t>
            </w:r>
          </w:p>
          <w:p w14:paraId="618C4414" w14:textId="744ABCF2" w:rsidR="00FE57F6" w:rsidRPr="00F24B71" w:rsidRDefault="001353C6" w:rsidP="001353C6">
            <w:pPr>
              <w:rPr>
                <w:lang w:val="es-ES"/>
              </w:rPr>
            </w:pPr>
            <w:r>
              <w:rPr>
                <w:lang w:val="es-ES"/>
              </w:rPr>
              <w:t>La Secretaria General ha recibido además cartas expresando el interés por organizar la AR</w:t>
            </w:r>
            <w:r w:rsidR="002C0781">
              <w:rPr>
                <w:lang w:val="es-ES"/>
              </w:rPr>
              <w:noBreakHyphen/>
            </w:r>
            <w:r>
              <w:rPr>
                <w:lang w:val="es-ES"/>
              </w:rPr>
              <w:t>27, la CMR-27 y la RPC31-1 de Rwanda y China.</w:t>
            </w:r>
          </w:p>
          <w:p w14:paraId="5D1C98A4" w14:textId="77777777" w:rsidR="00FE57F6" w:rsidRPr="00F24B71" w:rsidRDefault="00F24B71" w:rsidP="00C538FC">
            <w:pPr>
              <w:spacing w:before="160"/>
              <w:rPr>
                <w:b/>
                <w:bCs/>
                <w:sz w:val="26"/>
                <w:szCs w:val="26"/>
                <w:lang w:val="es-ES"/>
              </w:rPr>
            </w:pPr>
            <w:r w:rsidRPr="00F24B71">
              <w:rPr>
                <w:b/>
                <w:bCs/>
                <w:sz w:val="26"/>
                <w:szCs w:val="26"/>
                <w:lang w:val="es-ES"/>
              </w:rPr>
              <w:t xml:space="preserve">Acción solicitada </w:t>
            </w:r>
            <w:r w:rsidR="00677A97">
              <w:rPr>
                <w:b/>
                <w:bCs/>
                <w:sz w:val="26"/>
                <w:szCs w:val="26"/>
                <w:lang w:val="es-ES"/>
              </w:rPr>
              <w:t>al</w:t>
            </w:r>
            <w:r w:rsidRPr="00F24B71">
              <w:rPr>
                <w:b/>
                <w:bCs/>
                <w:sz w:val="26"/>
                <w:szCs w:val="26"/>
                <w:lang w:val="es-ES"/>
              </w:rPr>
              <w:t xml:space="preserve"> Consejo</w:t>
            </w:r>
          </w:p>
          <w:p w14:paraId="429E1E02" w14:textId="3CD23E65" w:rsidR="001353C6" w:rsidRDefault="001353C6" w:rsidP="00D76440">
            <w:pPr>
              <w:rPr>
                <w:b/>
                <w:bCs/>
                <w:sz w:val="26"/>
                <w:szCs w:val="26"/>
                <w:lang w:val="es-ES"/>
              </w:rPr>
            </w:pPr>
            <w:r w:rsidRPr="00401E6A">
              <w:rPr>
                <w:lang w:val="es-ES"/>
              </w:rPr>
              <w:t>Se invita al Consejo</w:t>
            </w:r>
            <w:r w:rsidRPr="00F24B71">
              <w:rPr>
                <w:b/>
                <w:bCs/>
                <w:sz w:val="26"/>
                <w:szCs w:val="26"/>
                <w:lang w:val="es-ES"/>
              </w:rPr>
              <w:t xml:space="preserve"> </w:t>
            </w:r>
          </w:p>
          <w:p w14:paraId="57CB7EB9" w14:textId="4FB8DAAD" w:rsidR="001353C6" w:rsidRDefault="004A021E" w:rsidP="004A021E">
            <w:pPr>
              <w:pStyle w:val="enumlev1"/>
              <w:rPr>
                <w:lang w:val="es-ES"/>
              </w:rPr>
            </w:pPr>
            <w:r>
              <w:rPr>
                <w:lang w:val="es-ES"/>
              </w:rPr>
              <w:sym w:font="Symbol" w:char="F02D"/>
            </w:r>
            <w:r>
              <w:rPr>
                <w:lang w:val="es-ES"/>
              </w:rPr>
              <w:tab/>
            </w:r>
            <w:r w:rsidR="001353C6" w:rsidRPr="00401E6A">
              <w:rPr>
                <w:lang w:val="es-ES"/>
              </w:rPr>
              <w:t xml:space="preserve">a </w:t>
            </w:r>
            <w:r w:rsidR="001353C6" w:rsidRPr="00401E6A">
              <w:rPr>
                <w:b/>
                <w:bCs/>
                <w:lang w:val="es-ES"/>
              </w:rPr>
              <w:t xml:space="preserve">establecer </w:t>
            </w:r>
            <w:r w:rsidR="001353C6" w:rsidRPr="00401E6A">
              <w:rPr>
                <w:lang w:val="es-ES"/>
              </w:rPr>
              <w:t xml:space="preserve">el orden del día definitivo de la CMR-27 y a </w:t>
            </w:r>
            <w:r w:rsidR="001353C6" w:rsidRPr="00401E6A">
              <w:rPr>
                <w:b/>
                <w:bCs/>
                <w:lang w:val="es-ES"/>
              </w:rPr>
              <w:t>adoptar</w:t>
            </w:r>
            <w:r w:rsidR="001353C6" w:rsidRPr="00401E6A">
              <w:rPr>
                <w:lang w:val="es-ES"/>
              </w:rPr>
              <w:t xml:space="preserve"> la Resolución que figura en el Anexo</w:t>
            </w:r>
            <w:r w:rsidR="001353C6">
              <w:rPr>
                <w:lang w:val="es-ES"/>
              </w:rPr>
              <w:t> </w:t>
            </w:r>
            <w:r w:rsidR="001353C6" w:rsidRPr="00401E6A">
              <w:rPr>
                <w:lang w:val="es-ES"/>
              </w:rPr>
              <w:t>B</w:t>
            </w:r>
            <w:r>
              <w:rPr>
                <w:lang w:val="es-ES"/>
              </w:rPr>
              <w:t>;</w:t>
            </w:r>
          </w:p>
          <w:p w14:paraId="68B08AD8" w14:textId="1D6FF6E3" w:rsidR="001353C6" w:rsidRDefault="004A021E" w:rsidP="004A021E">
            <w:pPr>
              <w:pStyle w:val="enumlev1"/>
              <w:rPr>
                <w:b/>
                <w:bCs/>
                <w:sz w:val="26"/>
                <w:szCs w:val="26"/>
                <w:lang w:val="es-ES"/>
              </w:rPr>
            </w:pPr>
            <w:r>
              <w:rPr>
                <w:lang w:val="es-ES"/>
              </w:rPr>
              <w:sym w:font="Symbol" w:char="F02D"/>
            </w:r>
            <w:r>
              <w:rPr>
                <w:lang w:val="es-ES"/>
              </w:rPr>
              <w:tab/>
            </w:r>
            <w:r w:rsidR="001353C6">
              <w:rPr>
                <w:lang w:val="es-ES"/>
              </w:rPr>
              <w:t xml:space="preserve">a </w:t>
            </w:r>
            <w:r w:rsidR="001353C6" w:rsidRPr="002C0781">
              <w:rPr>
                <w:b/>
                <w:bCs/>
                <w:lang w:val="es-ES"/>
              </w:rPr>
              <w:t>tomar nota</w:t>
            </w:r>
            <w:r w:rsidR="001353C6">
              <w:rPr>
                <w:lang w:val="es-ES"/>
              </w:rPr>
              <w:t xml:space="preserve"> de las expresiones de interés de la </w:t>
            </w:r>
            <w:proofErr w:type="spellStart"/>
            <w:r w:rsidR="001353C6">
              <w:rPr>
                <w:lang w:val="es-ES"/>
              </w:rPr>
              <w:t>Aministración</w:t>
            </w:r>
            <w:proofErr w:type="spellEnd"/>
            <w:r w:rsidR="001353C6">
              <w:rPr>
                <w:lang w:val="es-ES"/>
              </w:rPr>
              <w:t xml:space="preserve"> de Rwanda por organizar la AR-27, la CMR-27 y la RPC31-1 en Kigali y de la Administración de China por organizar la AR-27, la CMR-27 y la RPC31-1 en </w:t>
            </w:r>
            <w:proofErr w:type="spellStart"/>
            <w:r w:rsidR="001353C6">
              <w:rPr>
                <w:lang w:val="es-ES"/>
              </w:rPr>
              <w:t>Shangái</w:t>
            </w:r>
            <w:proofErr w:type="spellEnd"/>
            <w:r w:rsidR="001353C6">
              <w:rPr>
                <w:lang w:val="es-ES"/>
              </w:rPr>
              <w:t>.</w:t>
            </w:r>
          </w:p>
          <w:p w14:paraId="29ECF93D" w14:textId="343078FC" w:rsidR="00FE57F6" w:rsidRPr="00F24B71" w:rsidRDefault="00F24B71" w:rsidP="00C538FC">
            <w:pPr>
              <w:spacing w:before="160"/>
              <w:rPr>
                <w:b/>
                <w:bCs/>
                <w:sz w:val="26"/>
                <w:szCs w:val="26"/>
                <w:lang w:val="es-ES"/>
              </w:rPr>
            </w:pPr>
            <w:r w:rsidRPr="00F24B71">
              <w:rPr>
                <w:b/>
                <w:bCs/>
                <w:sz w:val="26"/>
                <w:szCs w:val="26"/>
                <w:lang w:val="es-ES"/>
              </w:rPr>
              <w:t>Vínculos pertinentes con el Plan Estratégico</w:t>
            </w:r>
          </w:p>
          <w:p w14:paraId="3C68A360" w14:textId="0F238BD7" w:rsidR="000D2C1F" w:rsidRDefault="001353C6" w:rsidP="00604FDA">
            <w:pPr>
              <w:rPr>
                <w:lang w:val="es-ES"/>
              </w:rPr>
            </w:pPr>
            <w:r w:rsidRPr="00401E6A">
              <w:rPr>
                <w:lang w:val="es-ES"/>
              </w:rPr>
              <w:t>Desarrollo y aplicación de los Reglamentos Administrativos de la UIT; Plataformas de encuentro</w:t>
            </w:r>
            <w:r w:rsidR="000D2C1F">
              <w:rPr>
                <w:lang w:val="es-ES"/>
              </w:rPr>
              <w:t>.</w:t>
            </w:r>
          </w:p>
          <w:p w14:paraId="086B6CFB" w14:textId="15507045" w:rsidR="00D43B85" w:rsidRDefault="00F24B71" w:rsidP="00604FDA">
            <w:pPr>
              <w:rPr>
                <w:b/>
                <w:bCs/>
                <w:sz w:val="26"/>
                <w:szCs w:val="26"/>
              </w:rPr>
            </w:pPr>
            <w:r w:rsidRPr="00F24B71">
              <w:rPr>
                <w:b/>
                <w:bCs/>
                <w:sz w:val="26"/>
                <w:szCs w:val="26"/>
              </w:rPr>
              <w:t>Repercusiones financieras</w:t>
            </w:r>
          </w:p>
          <w:p w14:paraId="570AED91" w14:textId="54D51F6D" w:rsidR="00FE57F6" w:rsidRPr="000D2C1F" w:rsidRDefault="001353C6" w:rsidP="00D76440">
            <w:pPr>
              <w:rPr>
                <w:szCs w:val="24"/>
              </w:rPr>
            </w:pPr>
            <w:r w:rsidRPr="000D2C1F">
              <w:rPr>
                <w:szCs w:val="24"/>
              </w:rPr>
              <w:t>N</w:t>
            </w:r>
            <w:r w:rsidR="00F24B71" w:rsidRPr="000D2C1F">
              <w:rPr>
                <w:szCs w:val="24"/>
              </w:rPr>
              <w:t>inguna</w:t>
            </w:r>
            <w:r w:rsidR="000D2C1F">
              <w:rPr>
                <w:szCs w:val="24"/>
              </w:rPr>
              <w:t>.</w:t>
            </w:r>
          </w:p>
          <w:p w14:paraId="5948AA98" w14:textId="77777777" w:rsidR="00FE57F6" w:rsidRPr="00813E5E" w:rsidRDefault="00FE57F6" w:rsidP="00604FDA">
            <w:pPr>
              <w:rPr>
                <w:caps/>
                <w:sz w:val="22"/>
              </w:rPr>
            </w:pPr>
            <w:r w:rsidRPr="00813E5E">
              <w:rPr>
                <w:sz w:val="22"/>
              </w:rPr>
              <w:t>____________</w:t>
            </w:r>
            <w:r>
              <w:rPr>
                <w:sz w:val="22"/>
              </w:rPr>
              <w:t>______</w:t>
            </w:r>
          </w:p>
          <w:p w14:paraId="53C56EAC" w14:textId="715D7666" w:rsidR="00FE57F6" w:rsidRDefault="00F24B71" w:rsidP="00C538FC">
            <w:pPr>
              <w:spacing w:before="160"/>
              <w:rPr>
                <w:b/>
                <w:bCs/>
                <w:sz w:val="26"/>
                <w:szCs w:val="26"/>
              </w:rPr>
            </w:pPr>
            <w:r w:rsidRPr="00F24B71">
              <w:rPr>
                <w:b/>
                <w:bCs/>
                <w:sz w:val="26"/>
                <w:szCs w:val="26"/>
              </w:rPr>
              <w:t>Referencia</w:t>
            </w:r>
            <w:r w:rsidR="001353C6">
              <w:rPr>
                <w:b/>
                <w:bCs/>
                <w:sz w:val="26"/>
                <w:szCs w:val="26"/>
              </w:rPr>
              <w:t>s</w:t>
            </w:r>
          </w:p>
          <w:p w14:paraId="58339413" w14:textId="0A5EA026" w:rsidR="00FE57F6" w:rsidRDefault="0066055D" w:rsidP="00C538FC">
            <w:pPr>
              <w:spacing w:after="160"/>
            </w:pPr>
            <w:hyperlink r:id="rId7" w:history="1">
              <w:r w:rsidR="001353C6" w:rsidRPr="00401E6A">
                <w:rPr>
                  <w:rStyle w:val="Hyperlink"/>
                  <w:i/>
                  <w:iCs/>
                  <w:lang w:val="es-ES"/>
                </w:rPr>
                <w:t>CV 42, 47, 75, 118 y 126</w:t>
              </w:r>
            </w:hyperlink>
            <w:r w:rsidR="001353C6" w:rsidRPr="00401E6A">
              <w:rPr>
                <w:i/>
                <w:iCs/>
                <w:lang w:val="es-ES"/>
              </w:rPr>
              <w:t>;</w:t>
            </w:r>
            <w:r w:rsidR="001353C6" w:rsidRPr="00401E6A">
              <w:rPr>
                <w:lang w:val="es-ES"/>
              </w:rPr>
              <w:t xml:space="preserve"> </w:t>
            </w:r>
            <w:hyperlink r:id="rId8" w:history="1">
              <w:r w:rsidR="001353C6" w:rsidRPr="00401E6A">
                <w:rPr>
                  <w:rStyle w:val="Hyperlink"/>
                  <w:i/>
                  <w:iCs/>
                  <w:lang w:val="es-ES"/>
                </w:rPr>
                <w:t>Resolución 813 (CMR-23)</w:t>
              </w:r>
            </w:hyperlink>
          </w:p>
        </w:tc>
      </w:tr>
    </w:tbl>
    <w:bookmarkEnd w:id="0"/>
    <w:p w14:paraId="4D45CDE5" w14:textId="1BCC3ACE" w:rsidR="001353C6" w:rsidRPr="00401E6A" w:rsidRDefault="001353C6" w:rsidP="001353C6">
      <w:pPr>
        <w:pStyle w:val="Heading1"/>
        <w:rPr>
          <w:lang w:val="es-ES"/>
        </w:rPr>
      </w:pPr>
      <w:r>
        <w:rPr>
          <w:lang w:val="es-ES"/>
        </w:rPr>
        <w:lastRenderedPageBreak/>
        <w:t>1</w:t>
      </w:r>
      <w:r>
        <w:rPr>
          <w:lang w:val="es-ES"/>
        </w:rPr>
        <w:tab/>
      </w:r>
      <w:r w:rsidRPr="00401E6A">
        <w:rPr>
          <w:lang w:val="es-ES"/>
        </w:rPr>
        <w:t>Conferencia Mundial de Radiocomunicaciones (CMR-27)</w:t>
      </w:r>
    </w:p>
    <w:p w14:paraId="09F8B890" w14:textId="77777777" w:rsidR="001353C6" w:rsidRPr="00401E6A" w:rsidRDefault="001353C6" w:rsidP="001353C6">
      <w:pPr>
        <w:rPr>
          <w:lang w:val="es-ES"/>
        </w:rPr>
      </w:pPr>
      <w:r w:rsidRPr="00401E6A">
        <w:rPr>
          <w:lang w:val="es-ES"/>
        </w:rPr>
        <w:t>1.1</w:t>
      </w:r>
      <w:r w:rsidRPr="00401E6A">
        <w:rPr>
          <w:lang w:val="es-ES"/>
        </w:rPr>
        <w:tab/>
        <w:t>La Conferencia Mundial de Radiocomunicaciones (CMR-23), en su Resolución</w:t>
      </w:r>
      <w:r>
        <w:rPr>
          <w:lang w:val="es-ES"/>
        </w:rPr>
        <w:t> </w:t>
      </w:r>
      <w:r w:rsidRPr="00401E6A">
        <w:rPr>
          <w:lang w:val="es-ES"/>
        </w:rPr>
        <w:t xml:space="preserve">813 (CMR-23) (anteriormente COM6/23), resuelve </w:t>
      </w:r>
      <w:r>
        <w:rPr>
          <w:lang w:val="es-ES"/>
        </w:rPr>
        <w:t>"</w:t>
      </w:r>
      <w:r w:rsidRPr="00401E6A">
        <w:rPr>
          <w:lang w:val="es-ES"/>
        </w:rPr>
        <w:t>recomendar al Consejo la celebración de una Conferencia Mundial de Radiocomunicaciones en 2027 con una duración máxima de cuatro semanas</w:t>
      </w:r>
      <w:r>
        <w:rPr>
          <w:lang w:val="es-ES"/>
        </w:rPr>
        <w:t>"</w:t>
      </w:r>
      <w:r w:rsidRPr="00401E6A">
        <w:rPr>
          <w:lang w:val="es-ES"/>
        </w:rPr>
        <w:t xml:space="preserve"> (véase el Anexo</w:t>
      </w:r>
      <w:r>
        <w:rPr>
          <w:lang w:val="es-ES"/>
        </w:rPr>
        <w:t> </w:t>
      </w:r>
      <w:r w:rsidRPr="00401E6A">
        <w:rPr>
          <w:lang w:val="es-ES"/>
        </w:rPr>
        <w:t>A al presente documento). Además, recomendó que el Consejo incluyera puntos en el orden del día de la CMR-27 y también invitó al Consejo a ultimar el orden del día, tomar las disposiciones necesarias para convocar la CMR</w:t>
      </w:r>
      <w:r>
        <w:rPr>
          <w:lang w:val="es-ES"/>
        </w:rPr>
        <w:noBreakHyphen/>
      </w:r>
      <w:r w:rsidRPr="00401E6A">
        <w:rPr>
          <w:lang w:val="es-ES"/>
        </w:rPr>
        <w:t>27 e iniciar lo antes posible las consultas necesarias con los Estados Miembros.</w:t>
      </w:r>
    </w:p>
    <w:p w14:paraId="25CD3525" w14:textId="77777777" w:rsidR="001353C6" w:rsidRPr="00401E6A" w:rsidRDefault="001353C6" w:rsidP="001353C6">
      <w:pPr>
        <w:rPr>
          <w:lang w:val="es-ES"/>
        </w:rPr>
      </w:pPr>
      <w:r w:rsidRPr="00401E6A">
        <w:rPr>
          <w:lang w:val="es-ES"/>
        </w:rPr>
        <w:t>1.2</w:t>
      </w:r>
      <w:r w:rsidRPr="00401E6A">
        <w:rPr>
          <w:lang w:val="es-ES"/>
        </w:rPr>
        <w:tab/>
        <w:t>De conformidad con el número</w:t>
      </w:r>
      <w:r>
        <w:rPr>
          <w:lang w:val="es-ES"/>
        </w:rPr>
        <w:t> </w:t>
      </w:r>
      <w:r w:rsidRPr="00401E6A">
        <w:rPr>
          <w:lang w:val="es-ES"/>
        </w:rPr>
        <w:t>118 del Convenio, el Consejo tiene el mandato de establecer el orden del día definitivo de una Conferencia Mundial de Radiocomunicaciones, preferiblemente dos años antes de la Conferencia, con el acuerdo de la mayoría de los Estados Miembros de la Unión, a reserva de las disposiciones del número</w:t>
      </w:r>
      <w:r>
        <w:rPr>
          <w:lang w:val="es-ES"/>
        </w:rPr>
        <w:t> </w:t>
      </w:r>
      <w:r w:rsidRPr="00401E6A">
        <w:rPr>
          <w:lang w:val="es-ES"/>
        </w:rPr>
        <w:t>47 del Convenio. El Consejo, con aprobación de la mayoría de los Estados Miembros de la Unión, con arreglo a los números</w:t>
      </w:r>
      <w:r>
        <w:rPr>
          <w:lang w:val="es-ES"/>
        </w:rPr>
        <w:t> </w:t>
      </w:r>
      <w:r w:rsidRPr="00401E6A">
        <w:rPr>
          <w:lang w:val="es-ES"/>
        </w:rPr>
        <w:t xml:space="preserve">42 y 47 del Convenio, deberá determinar las fechas exactas y el lugar de celebración de </w:t>
      </w:r>
      <w:proofErr w:type="gramStart"/>
      <w:r w:rsidRPr="00401E6A">
        <w:rPr>
          <w:lang w:val="es-ES"/>
        </w:rPr>
        <w:t>la misma</w:t>
      </w:r>
      <w:proofErr w:type="gramEnd"/>
      <w:r w:rsidRPr="00401E6A">
        <w:rPr>
          <w:lang w:val="es-ES"/>
        </w:rPr>
        <w:t>.</w:t>
      </w:r>
    </w:p>
    <w:p w14:paraId="4C7C9532" w14:textId="77777777" w:rsidR="001353C6" w:rsidRPr="00401E6A" w:rsidRDefault="001353C6" w:rsidP="001353C6">
      <w:pPr>
        <w:pStyle w:val="Heading1"/>
        <w:rPr>
          <w:lang w:val="es-ES"/>
        </w:rPr>
      </w:pPr>
      <w:r w:rsidRPr="00401E6A">
        <w:rPr>
          <w:lang w:val="es-ES"/>
        </w:rPr>
        <w:t>2</w:t>
      </w:r>
      <w:r w:rsidRPr="00401E6A">
        <w:rPr>
          <w:lang w:val="es-ES"/>
        </w:rPr>
        <w:tab/>
        <w:t>Solicitud al Consejo relativa al orden del día de la CMR-27</w:t>
      </w:r>
    </w:p>
    <w:p w14:paraId="62748750" w14:textId="77777777" w:rsidR="001353C6" w:rsidRDefault="001353C6" w:rsidP="001353C6">
      <w:pPr>
        <w:rPr>
          <w:lang w:val="es-ES"/>
        </w:rPr>
      </w:pPr>
      <w:r w:rsidRPr="00401E6A">
        <w:rPr>
          <w:lang w:val="es-ES"/>
        </w:rPr>
        <w:t>Se invita al Consejo a finalizar el orden del día de la CMR</w:t>
      </w:r>
      <w:r>
        <w:rPr>
          <w:lang w:val="es-ES"/>
        </w:rPr>
        <w:noBreakHyphen/>
      </w:r>
      <w:r w:rsidRPr="00401E6A">
        <w:rPr>
          <w:lang w:val="es-ES"/>
        </w:rPr>
        <w:t>27 adoptando la Resolución que figura en el Anexo</w:t>
      </w:r>
      <w:r>
        <w:rPr>
          <w:lang w:val="es-ES"/>
        </w:rPr>
        <w:t> </w:t>
      </w:r>
      <w:r w:rsidRPr="00401E6A">
        <w:rPr>
          <w:lang w:val="es-ES"/>
        </w:rPr>
        <w:t>B.</w:t>
      </w:r>
    </w:p>
    <w:p w14:paraId="33E54CC7" w14:textId="77777777" w:rsidR="001353C6" w:rsidRDefault="001353C6" w:rsidP="001353C6">
      <w:pPr>
        <w:rPr>
          <w:szCs w:val="24"/>
          <w:lang w:val="es-ES"/>
        </w:rPr>
      </w:pPr>
      <w:r>
        <w:rPr>
          <w:b/>
          <w:bCs/>
          <w:sz w:val="28"/>
          <w:szCs w:val="28"/>
          <w:lang w:val="es-ES"/>
        </w:rPr>
        <w:t>3</w:t>
      </w:r>
      <w:r>
        <w:rPr>
          <w:b/>
          <w:bCs/>
          <w:sz w:val="28"/>
          <w:szCs w:val="28"/>
          <w:lang w:val="es-ES"/>
        </w:rPr>
        <w:tab/>
        <w:t>Expresión de interés por organizar la CMR-27</w:t>
      </w:r>
    </w:p>
    <w:p w14:paraId="08BB2EFF" w14:textId="23101898" w:rsidR="001353C6" w:rsidRDefault="001353C6" w:rsidP="001353C6">
      <w:pPr>
        <w:rPr>
          <w:lang w:val="es-ES"/>
        </w:rPr>
      </w:pPr>
      <w:r>
        <w:rPr>
          <w:szCs w:val="24"/>
          <w:lang w:val="es-ES"/>
        </w:rPr>
        <w:t>3.1</w:t>
      </w:r>
      <w:r>
        <w:rPr>
          <w:szCs w:val="24"/>
          <w:lang w:val="es-ES"/>
        </w:rPr>
        <w:tab/>
        <w:t xml:space="preserve">El 28 de septiembre de 2022 la UIT recibió una expresión de interés de la Administración de Rwanda por organizar </w:t>
      </w:r>
      <w:r>
        <w:rPr>
          <w:lang w:val="es-ES"/>
        </w:rPr>
        <w:t xml:space="preserve">la AR-27, la CMR-27 y la RPC31-1 en Rwanda (véase el </w:t>
      </w:r>
      <w:bookmarkStart w:id="1" w:name="AnnexB"/>
      <w:r w:rsidR="005C1429">
        <w:rPr>
          <w:lang w:val="es-ES"/>
        </w:rPr>
        <w:fldChar w:fldCharType="begin"/>
      </w:r>
      <w:r w:rsidR="005C1429">
        <w:rPr>
          <w:lang w:val="es-ES"/>
        </w:rPr>
        <w:instrText>HYPERLINK  \l "AnnexC"</w:instrText>
      </w:r>
      <w:r w:rsidR="005C1429">
        <w:rPr>
          <w:lang w:val="es-ES"/>
        </w:rPr>
      </w:r>
      <w:r w:rsidR="005C1429">
        <w:rPr>
          <w:lang w:val="es-ES"/>
        </w:rPr>
        <w:fldChar w:fldCharType="separate"/>
      </w:r>
      <w:r w:rsidRPr="005C1429">
        <w:rPr>
          <w:rStyle w:val="Hyperlink"/>
          <w:lang w:val="es-ES"/>
        </w:rPr>
        <w:t>Anexo C</w:t>
      </w:r>
      <w:bookmarkEnd w:id="1"/>
      <w:r w:rsidR="005C1429">
        <w:rPr>
          <w:lang w:val="es-ES"/>
        </w:rPr>
        <w:fldChar w:fldCharType="end"/>
      </w:r>
      <w:r>
        <w:rPr>
          <w:lang w:val="es-ES"/>
        </w:rPr>
        <w:t>).</w:t>
      </w:r>
    </w:p>
    <w:p w14:paraId="1006A237" w14:textId="401CBEDF" w:rsidR="001353C6" w:rsidRDefault="001353C6" w:rsidP="001353C6">
      <w:pPr>
        <w:rPr>
          <w:lang w:val="es-ES"/>
        </w:rPr>
      </w:pPr>
      <w:r>
        <w:rPr>
          <w:lang w:val="es-ES"/>
        </w:rPr>
        <w:t>3.2</w:t>
      </w:r>
      <w:r>
        <w:rPr>
          <w:lang w:val="es-ES"/>
        </w:rPr>
        <w:tab/>
        <w:t xml:space="preserve">El 30 de mayo de 2024, la UIT recibió una expresión de interés de la Administración de China por organizar la AR-27, la CMR-27 y la RPC31-1 en </w:t>
      </w:r>
      <w:proofErr w:type="spellStart"/>
      <w:r>
        <w:rPr>
          <w:lang w:val="es-ES"/>
        </w:rPr>
        <w:t>Shangái</w:t>
      </w:r>
      <w:proofErr w:type="spellEnd"/>
      <w:r>
        <w:rPr>
          <w:lang w:val="es-ES"/>
        </w:rPr>
        <w:t xml:space="preserve"> (véase el </w:t>
      </w:r>
      <w:hyperlink w:anchor="AnnexD" w:history="1">
        <w:r w:rsidRPr="005C1429">
          <w:rPr>
            <w:rStyle w:val="Hyperlink"/>
            <w:lang w:val="es-ES"/>
          </w:rPr>
          <w:t>Anexo D</w:t>
        </w:r>
      </w:hyperlink>
      <w:r>
        <w:rPr>
          <w:lang w:val="es-ES"/>
        </w:rPr>
        <w:t>).</w:t>
      </w:r>
    </w:p>
    <w:p w14:paraId="6989C695" w14:textId="77777777" w:rsidR="001353C6" w:rsidRPr="007864CC" w:rsidRDefault="001353C6" w:rsidP="001353C6">
      <w:pPr>
        <w:rPr>
          <w:szCs w:val="24"/>
          <w:lang w:val="es-ES"/>
        </w:rPr>
      </w:pPr>
      <w:r>
        <w:rPr>
          <w:lang w:val="es-ES"/>
        </w:rPr>
        <w:t>3.3</w:t>
      </w:r>
      <w:r>
        <w:rPr>
          <w:lang w:val="es-ES"/>
        </w:rPr>
        <w:tab/>
        <w:t>Habida cuenta de las expresiones de interés de las administraciones indicadas, se invita al Consejo a encargar a la BR que comunique a esas administraciones los requisitos de la UIT para la organización de esos tres eventos.</w:t>
      </w:r>
    </w:p>
    <w:p w14:paraId="65944194" w14:textId="77777777" w:rsidR="001353C6" w:rsidRPr="005C1429" w:rsidRDefault="001353C6" w:rsidP="001353C6">
      <w:pPr>
        <w:spacing w:before="1440"/>
        <w:rPr>
          <w:lang w:val="es-ES"/>
        </w:rPr>
      </w:pPr>
      <w:r w:rsidRPr="005C1429">
        <w:rPr>
          <w:b/>
          <w:bCs/>
          <w:lang w:val="es-ES"/>
        </w:rPr>
        <w:t>Anexos:</w:t>
      </w:r>
      <w:r w:rsidRPr="005C1429">
        <w:rPr>
          <w:lang w:val="es-ES"/>
        </w:rPr>
        <w:t xml:space="preserve"> 2</w:t>
      </w:r>
    </w:p>
    <w:p w14:paraId="03A4C9D9" w14:textId="77777777" w:rsidR="001353C6" w:rsidRDefault="001353C6" w:rsidP="001353C6">
      <w:pPr>
        <w:rPr>
          <w:lang w:val="es-ES"/>
        </w:rPr>
      </w:pPr>
      <w:r>
        <w:rPr>
          <w:lang w:val="es-ES"/>
        </w:rPr>
        <w:br w:type="page"/>
      </w:r>
    </w:p>
    <w:p w14:paraId="63E03FB4" w14:textId="77777777" w:rsidR="001353C6" w:rsidRPr="00401E6A" w:rsidRDefault="001353C6" w:rsidP="001353C6">
      <w:pPr>
        <w:pStyle w:val="AnnexNo"/>
        <w:rPr>
          <w:lang w:val="es-ES"/>
        </w:rPr>
      </w:pPr>
      <w:r w:rsidRPr="00401E6A">
        <w:rPr>
          <w:lang w:val="es-ES"/>
        </w:rPr>
        <w:lastRenderedPageBreak/>
        <w:t>ANEXO A</w:t>
      </w:r>
      <w:bookmarkStart w:id="2" w:name="AnnexA"/>
      <w:bookmarkEnd w:id="2"/>
    </w:p>
    <w:p w14:paraId="2CF8CD3C" w14:textId="77777777" w:rsidR="001353C6" w:rsidRPr="00401E6A" w:rsidRDefault="001353C6" w:rsidP="001353C6">
      <w:pPr>
        <w:pStyle w:val="ResNo"/>
        <w:rPr>
          <w:lang w:val="es-ES"/>
        </w:rPr>
      </w:pPr>
      <w:bookmarkStart w:id="3" w:name="_Toc161652894"/>
      <w:bookmarkStart w:id="4" w:name="_Toc162257992"/>
      <w:r w:rsidRPr="00401E6A">
        <w:rPr>
          <w:lang w:val="es-ES"/>
        </w:rPr>
        <w:t>RESOLUCIÓN 813 (CMR-23)</w:t>
      </w:r>
      <w:bookmarkEnd w:id="3"/>
      <w:bookmarkEnd w:id="4"/>
    </w:p>
    <w:p w14:paraId="5FE63F67" w14:textId="77777777" w:rsidR="001353C6" w:rsidRPr="00401E6A" w:rsidRDefault="001353C6" w:rsidP="001353C6">
      <w:pPr>
        <w:pStyle w:val="Restitle"/>
        <w:rPr>
          <w:lang w:val="es-ES"/>
        </w:rPr>
      </w:pPr>
      <w:bookmarkStart w:id="5" w:name="_Toc161652895"/>
      <w:bookmarkStart w:id="6" w:name="_Toc162257993"/>
      <w:r w:rsidRPr="00401E6A">
        <w:rPr>
          <w:lang w:val="es-ES"/>
        </w:rPr>
        <w:t>Orden del día de la Conferencia Mundial de Radiocomunicaciones de 2027</w:t>
      </w:r>
      <w:bookmarkEnd w:id="5"/>
      <w:bookmarkEnd w:id="6"/>
    </w:p>
    <w:p w14:paraId="1F1B2CA2" w14:textId="77777777" w:rsidR="001353C6" w:rsidRPr="00401E6A" w:rsidRDefault="001353C6" w:rsidP="001353C6">
      <w:pPr>
        <w:pStyle w:val="Normalaftertitle"/>
        <w:rPr>
          <w:lang w:val="es-ES"/>
        </w:rPr>
      </w:pPr>
      <w:r w:rsidRPr="00401E6A">
        <w:rPr>
          <w:lang w:val="es-ES"/>
        </w:rPr>
        <w:t>La Conferencia Mundial de Radiocomunicaciones (Dubái, 2023),</w:t>
      </w:r>
    </w:p>
    <w:p w14:paraId="708C1100" w14:textId="77777777" w:rsidR="001353C6" w:rsidRPr="00401E6A" w:rsidRDefault="001353C6" w:rsidP="001353C6">
      <w:pPr>
        <w:pStyle w:val="Call"/>
        <w:rPr>
          <w:lang w:val="es-ES"/>
        </w:rPr>
      </w:pPr>
      <w:r w:rsidRPr="00401E6A">
        <w:rPr>
          <w:lang w:val="es-ES"/>
        </w:rPr>
        <w:t>considerando</w:t>
      </w:r>
    </w:p>
    <w:p w14:paraId="48751826" w14:textId="77777777" w:rsidR="001353C6" w:rsidRPr="00401E6A" w:rsidRDefault="001353C6" w:rsidP="001353C6">
      <w:pPr>
        <w:rPr>
          <w:lang w:val="es-ES"/>
        </w:rPr>
      </w:pPr>
      <w:r w:rsidRPr="00401E6A">
        <w:rPr>
          <w:i/>
          <w:iCs/>
          <w:lang w:val="es-ES"/>
        </w:rPr>
        <w:t>a)</w:t>
      </w:r>
      <w:r w:rsidRPr="00401E6A">
        <w:rPr>
          <w:lang w:val="es-ES"/>
        </w:rPr>
        <w:tab/>
        <w:t>que, de conformidad con el número</w:t>
      </w:r>
      <w:r>
        <w:rPr>
          <w:lang w:val="es-ES"/>
        </w:rPr>
        <w:t> </w:t>
      </w:r>
      <w:r w:rsidRPr="00401E6A">
        <w:rPr>
          <w:lang w:val="es-ES"/>
        </w:rPr>
        <w:t>118 del Convenio de la UIT, el ámbito general del orden del día de una Conferencia Mundial de Radiocomunicaciones (CMR) debe establecerse con una antelación de cuatro a seis años y que el orden del día definitivo deberá establecerlo el Consejo dos años antes de la Conferencia;</w:t>
      </w:r>
    </w:p>
    <w:p w14:paraId="4F2C3A0D" w14:textId="77777777" w:rsidR="001353C6" w:rsidRPr="00401E6A" w:rsidRDefault="001353C6" w:rsidP="001353C6">
      <w:pPr>
        <w:rPr>
          <w:lang w:val="es-ES"/>
        </w:rPr>
      </w:pPr>
      <w:r w:rsidRPr="00401E6A">
        <w:rPr>
          <w:i/>
          <w:iCs/>
          <w:lang w:val="es-ES"/>
        </w:rPr>
        <w:t>b)</w:t>
      </w:r>
      <w:r w:rsidRPr="00401E6A">
        <w:rPr>
          <w:lang w:val="es-ES"/>
        </w:rPr>
        <w:tab/>
        <w:t>el Artículo</w:t>
      </w:r>
      <w:r>
        <w:rPr>
          <w:lang w:val="es-ES"/>
        </w:rPr>
        <w:t> </w:t>
      </w:r>
      <w:r w:rsidRPr="00401E6A">
        <w:rPr>
          <w:lang w:val="es-ES"/>
        </w:rPr>
        <w:t>13 de la Constitución de la UIT, sobre competencia y calendario de las</w:t>
      </w:r>
      <w:r>
        <w:rPr>
          <w:lang w:val="es-ES"/>
        </w:rPr>
        <w:t> </w:t>
      </w:r>
      <w:r w:rsidRPr="00401E6A">
        <w:rPr>
          <w:lang w:val="es-ES"/>
        </w:rPr>
        <w:t>CMR, y el Artículo</w:t>
      </w:r>
      <w:r>
        <w:rPr>
          <w:lang w:val="es-ES"/>
        </w:rPr>
        <w:t> </w:t>
      </w:r>
      <w:r w:rsidRPr="00401E6A">
        <w:rPr>
          <w:lang w:val="es-ES"/>
        </w:rPr>
        <w:t>7 del Convenio, relativo a sus órdenes del día;</w:t>
      </w:r>
    </w:p>
    <w:p w14:paraId="6EBBF32A" w14:textId="77777777" w:rsidR="001353C6" w:rsidRPr="00401E6A" w:rsidRDefault="001353C6" w:rsidP="001353C6">
      <w:pPr>
        <w:rPr>
          <w:lang w:val="es-ES"/>
        </w:rPr>
      </w:pPr>
      <w:r w:rsidRPr="00401E6A">
        <w:rPr>
          <w:i/>
          <w:iCs/>
          <w:lang w:val="es-ES"/>
        </w:rPr>
        <w:t>c)</w:t>
      </w:r>
      <w:r w:rsidRPr="00401E6A">
        <w:rPr>
          <w:lang w:val="es-ES"/>
        </w:rPr>
        <w:tab/>
        <w:t>las Resoluciones y Recomendaciones pertinentes de las anteriores Conferencias Administrativas Mundiales de Radiocomunicaciones (CAMR) y CMR,</w:t>
      </w:r>
    </w:p>
    <w:p w14:paraId="3B6C886C" w14:textId="77777777" w:rsidR="001353C6" w:rsidRPr="00401E6A" w:rsidRDefault="001353C6" w:rsidP="001353C6">
      <w:pPr>
        <w:pStyle w:val="Call"/>
        <w:rPr>
          <w:lang w:val="es-ES"/>
        </w:rPr>
      </w:pPr>
      <w:r w:rsidRPr="00401E6A">
        <w:rPr>
          <w:lang w:val="es-ES"/>
        </w:rPr>
        <w:t>reconociendo</w:t>
      </w:r>
    </w:p>
    <w:p w14:paraId="4DBA5BF1" w14:textId="77777777" w:rsidR="001353C6" w:rsidRPr="00401E6A" w:rsidRDefault="001353C6" w:rsidP="001353C6">
      <w:pPr>
        <w:rPr>
          <w:lang w:val="es-ES"/>
        </w:rPr>
      </w:pPr>
      <w:r w:rsidRPr="00401E6A">
        <w:rPr>
          <w:i/>
          <w:iCs/>
          <w:lang w:val="es-ES"/>
        </w:rPr>
        <w:t>a)</w:t>
      </w:r>
      <w:r w:rsidRPr="00401E6A">
        <w:rPr>
          <w:lang w:val="es-ES"/>
        </w:rPr>
        <w:tab/>
        <w:t>que esta Conferencia ha identificado varias cuestiones urgentes que requieren se prosiga su examen en la CMR-27;</w:t>
      </w:r>
    </w:p>
    <w:p w14:paraId="01661C0C" w14:textId="77777777" w:rsidR="001353C6" w:rsidRPr="00401E6A" w:rsidRDefault="001353C6" w:rsidP="001353C6">
      <w:pPr>
        <w:rPr>
          <w:lang w:val="es-ES"/>
        </w:rPr>
      </w:pPr>
      <w:r w:rsidRPr="00401E6A">
        <w:rPr>
          <w:i/>
          <w:iCs/>
          <w:lang w:val="es-ES"/>
        </w:rPr>
        <w:t>b)</w:t>
      </w:r>
      <w:r w:rsidRPr="00401E6A">
        <w:rPr>
          <w:lang w:val="es-ES"/>
        </w:rPr>
        <w:tab/>
        <w:t>que, al preparar el presente orden del día, algunos puntos propuestos por las administraciones no pudieron incluirse, debiendo posponerse para órdenes del día de futuras conferencias,</w:t>
      </w:r>
    </w:p>
    <w:p w14:paraId="454EB6A0" w14:textId="77777777" w:rsidR="001353C6" w:rsidRPr="00401E6A" w:rsidRDefault="001353C6" w:rsidP="001353C6">
      <w:pPr>
        <w:pStyle w:val="Call"/>
        <w:rPr>
          <w:lang w:val="es-ES"/>
        </w:rPr>
      </w:pPr>
      <w:r w:rsidRPr="00401E6A">
        <w:rPr>
          <w:lang w:val="es-ES"/>
        </w:rPr>
        <w:t>resuelve</w:t>
      </w:r>
    </w:p>
    <w:p w14:paraId="77C0EFCA" w14:textId="77777777" w:rsidR="001353C6" w:rsidRPr="00401E6A" w:rsidRDefault="001353C6" w:rsidP="001353C6">
      <w:pPr>
        <w:rPr>
          <w:lang w:val="es-ES"/>
        </w:rPr>
      </w:pPr>
      <w:r w:rsidRPr="00401E6A">
        <w:rPr>
          <w:lang w:val="es-ES"/>
        </w:rPr>
        <w:t>recomendar al Consejo la celebración de una CMR en 2027 con una duración de cuatro semanas, con el siguiente orden del día:</w:t>
      </w:r>
    </w:p>
    <w:p w14:paraId="3FBC119E" w14:textId="77777777" w:rsidR="001353C6" w:rsidRPr="00401E6A" w:rsidRDefault="001353C6" w:rsidP="001353C6">
      <w:pPr>
        <w:rPr>
          <w:lang w:val="es-ES"/>
        </w:rPr>
      </w:pPr>
      <w:r w:rsidRPr="00401E6A">
        <w:rPr>
          <w:lang w:val="es-ES"/>
        </w:rPr>
        <w:t>1</w:t>
      </w:r>
      <w:r w:rsidRPr="00401E6A">
        <w:rPr>
          <w:lang w:val="es-ES"/>
        </w:rPr>
        <w:tab/>
        <w:t>sobre la base de las propuestas de las administraciones, teniendo en cuenta los resultados de la CMR-23 y el Informe de la Reunión Preparatoria de la Conferencia, y teniendo debidamente en cuenta las necesidades de los servicios existentes y futuros en las bandas de frecuencias consideradas, considerar y tomar las medidas oportunas con respecto a los temas siguientes:</w:t>
      </w:r>
    </w:p>
    <w:p w14:paraId="2CFCB058" w14:textId="524A1E57" w:rsidR="001353C6" w:rsidRPr="00401E6A" w:rsidRDefault="001353C6" w:rsidP="001353C6">
      <w:pPr>
        <w:rPr>
          <w:lang w:val="es-ES"/>
        </w:rPr>
      </w:pPr>
      <w:r w:rsidRPr="00401E6A">
        <w:rPr>
          <w:lang w:val="es-ES"/>
        </w:rPr>
        <w:t>1.1</w:t>
      </w:r>
      <w:r w:rsidRPr="00401E6A">
        <w:rPr>
          <w:lang w:val="es-ES"/>
        </w:rPr>
        <w:tab/>
        <w:t>considerar las condiciones técnicas y operativas para la utilización de las bandas de frecuencias 47,2</w:t>
      </w:r>
      <w:r>
        <w:rPr>
          <w:lang w:val="es-ES"/>
        </w:rPr>
        <w:noBreakHyphen/>
      </w:r>
      <w:r w:rsidRPr="00401E6A">
        <w:rPr>
          <w:lang w:val="es-ES"/>
        </w:rPr>
        <w:t>50,2</w:t>
      </w:r>
      <w:r>
        <w:rPr>
          <w:lang w:val="es-ES"/>
        </w:rPr>
        <w:t> </w:t>
      </w:r>
      <w:r w:rsidRPr="00401E6A">
        <w:rPr>
          <w:lang w:val="es-ES"/>
        </w:rPr>
        <w:t>GHz y 50,4</w:t>
      </w:r>
      <w:r>
        <w:rPr>
          <w:lang w:val="es-ES"/>
        </w:rPr>
        <w:noBreakHyphen/>
      </w:r>
      <w:r w:rsidRPr="00401E6A">
        <w:rPr>
          <w:lang w:val="es-ES"/>
        </w:rPr>
        <w:t>51,4</w:t>
      </w:r>
      <w:r>
        <w:rPr>
          <w:lang w:val="es-ES"/>
        </w:rPr>
        <w:t> </w:t>
      </w:r>
      <w:r w:rsidRPr="00401E6A">
        <w:rPr>
          <w:lang w:val="es-ES"/>
        </w:rPr>
        <w:t>GHz (Tierra-espacio), o partes de las mismas, por estaciones terrenas en movimiento aeronáuticas y marítimas que se comunican con estaciones espaciales del servicio fijo por satélite y elaborar medidas reglamentarias, según proceda, para facilitar la utilización de las bandas de frecuencias 47,2</w:t>
      </w:r>
      <w:r>
        <w:rPr>
          <w:lang w:val="es-ES"/>
        </w:rPr>
        <w:noBreakHyphen/>
      </w:r>
      <w:r w:rsidRPr="00401E6A">
        <w:rPr>
          <w:lang w:val="es-ES"/>
        </w:rPr>
        <w:t>50,2</w:t>
      </w:r>
      <w:r>
        <w:rPr>
          <w:lang w:val="es-ES"/>
        </w:rPr>
        <w:t> </w:t>
      </w:r>
      <w:r w:rsidRPr="00401E6A">
        <w:rPr>
          <w:lang w:val="es-ES"/>
        </w:rPr>
        <w:t>GHz y 50,4</w:t>
      </w:r>
      <w:r>
        <w:rPr>
          <w:lang w:val="es-ES"/>
        </w:rPr>
        <w:noBreakHyphen/>
      </w:r>
      <w:r w:rsidRPr="00401E6A">
        <w:rPr>
          <w:lang w:val="es-ES"/>
        </w:rPr>
        <w:t>51,4</w:t>
      </w:r>
      <w:r>
        <w:rPr>
          <w:lang w:val="es-ES"/>
        </w:rPr>
        <w:t> </w:t>
      </w:r>
      <w:r w:rsidRPr="00401E6A">
        <w:rPr>
          <w:lang w:val="es-ES"/>
        </w:rPr>
        <w:t>GHz (Tierra-espacio), o partes de las mismas, por estaciones terrenas en movimiento aeronáuticas y marítimas que se comunican con estaciones espaciales geoestacionarias y estaciones espaciales no geoestacionarias del servicio fijo por satélite, de conformidad con la Resolución</w:t>
      </w:r>
      <w:r>
        <w:rPr>
          <w:lang w:val="es-ES"/>
        </w:rPr>
        <w:t> </w:t>
      </w:r>
      <w:r w:rsidRPr="00401E6A">
        <w:rPr>
          <w:b/>
          <w:bCs/>
          <w:lang w:val="es-ES"/>
        </w:rPr>
        <w:t>176 (Rev.CMR-23)</w:t>
      </w:r>
      <w:r w:rsidRPr="00401E6A">
        <w:rPr>
          <w:lang w:val="es-ES"/>
        </w:rPr>
        <w:t>;</w:t>
      </w:r>
    </w:p>
    <w:p w14:paraId="7505E08E" w14:textId="77777777" w:rsidR="001353C6" w:rsidRPr="00401E6A" w:rsidRDefault="001353C6" w:rsidP="001353C6">
      <w:pPr>
        <w:rPr>
          <w:lang w:val="es-ES"/>
        </w:rPr>
      </w:pPr>
      <w:r w:rsidRPr="00401E6A">
        <w:rPr>
          <w:lang w:val="es-ES"/>
        </w:rPr>
        <w:lastRenderedPageBreak/>
        <w:t>1.2</w:t>
      </w:r>
      <w:r w:rsidRPr="00401E6A">
        <w:rPr>
          <w:lang w:val="es-ES"/>
        </w:rPr>
        <w:tab/>
        <w:t>considerar la posible revisión de las condiciones de compartición en la banda de frecuencias 13,75</w:t>
      </w:r>
      <w:r>
        <w:rPr>
          <w:lang w:val="es-ES"/>
        </w:rPr>
        <w:noBreakHyphen/>
      </w:r>
      <w:r w:rsidRPr="00401E6A">
        <w:rPr>
          <w:lang w:val="es-ES"/>
        </w:rPr>
        <w:t>14</w:t>
      </w:r>
      <w:r>
        <w:rPr>
          <w:lang w:val="es-ES"/>
        </w:rPr>
        <w:t> </w:t>
      </w:r>
      <w:r w:rsidRPr="00401E6A">
        <w:rPr>
          <w:lang w:val="es-ES"/>
        </w:rPr>
        <w:t>GHz para permitir la utilización de estaciones terrenas de enlace ascendente del servicio fijo por satélite con antenas de menor tamaño, de conformidad con la Resolución</w:t>
      </w:r>
      <w:r>
        <w:rPr>
          <w:lang w:val="es-ES"/>
        </w:rPr>
        <w:t> </w:t>
      </w:r>
      <w:r w:rsidRPr="00401E6A">
        <w:rPr>
          <w:b/>
          <w:bCs/>
          <w:lang w:val="es-ES"/>
        </w:rPr>
        <w:t>129 (CMR-23)</w:t>
      </w:r>
      <w:r w:rsidRPr="00401E6A">
        <w:rPr>
          <w:lang w:val="es-ES"/>
        </w:rPr>
        <w:t>;</w:t>
      </w:r>
    </w:p>
    <w:p w14:paraId="7D849773" w14:textId="77777777" w:rsidR="001353C6" w:rsidRPr="00401E6A" w:rsidRDefault="001353C6" w:rsidP="001353C6">
      <w:pPr>
        <w:rPr>
          <w:lang w:val="es-ES"/>
        </w:rPr>
      </w:pPr>
      <w:r w:rsidRPr="00401E6A">
        <w:rPr>
          <w:lang w:val="es-ES"/>
        </w:rPr>
        <w:t>1.3</w:t>
      </w:r>
      <w:r w:rsidRPr="00401E6A">
        <w:rPr>
          <w:lang w:val="es-ES"/>
        </w:rPr>
        <w:tab/>
        <w:t>considerar estudios sobre la utilización de la banda de frecuencias 51,4</w:t>
      </w:r>
      <w:r>
        <w:rPr>
          <w:lang w:val="es-ES"/>
        </w:rPr>
        <w:noBreakHyphen/>
      </w:r>
      <w:r w:rsidRPr="00401E6A">
        <w:rPr>
          <w:lang w:val="es-ES"/>
        </w:rPr>
        <w:t>52,4</w:t>
      </w:r>
      <w:r>
        <w:rPr>
          <w:lang w:val="es-ES"/>
        </w:rPr>
        <w:t> </w:t>
      </w:r>
      <w:r w:rsidRPr="00401E6A">
        <w:rPr>
          <w:lang w:val="es-ES"/>
        </w:rPr>
        <w:t>GHz para permitir su utilización por las estaciones terrenas de pasarela que transmitan a sistemas en la órbita de los satélites no geoestacionarios del servicio fijo por satélite (Tierra</w:t>
      </w:r>
      <w:r>
        <w:rPr>
          <w:lang w:val="es-ES"/>
        </w:rPr>
        <w:noBreakHyphen/>
      </w:r>
      <w:r w:rsidRPr="00401E6A">
        <w:rPr>
          <w:lang w:val="es-ES"/>
        </w:rPr>
        <w:t>espacio), de conformidad con la Resolución</w:t>
      </w:r>
      <w:r>
        <w:rPr>
          <w:lang w:val="es-ES"/>
        </w:rPr>
        <w:t> </w:t>
      </w:r>
      <w:r w:rsidRPr="00401E6A">
        <w:rPr>
          <w:b/>
          <w:bCs/>
          <w:lang w:val="es-ES"/>
        </w:rPr>
        <w:t>130 (CMR-23)</w:t>
      </w:r>
      <w:r w:rsidRPr="00401E6A">
        <w:rPr>
          <w:lang w:val="es-ES"/>
        </w:rPr>
        <w:t>;</w:t>
      </w:r>
    </w:p>
    <w:p w14:paraId="62B31E52" w14:textId="77777777" w:rsidR="001353C6" w:rsidRPr="00401E6A" w:rsidRDefault="001353C6" w:rsidP="001353C6">
      <w:pPr>
        <w:rPr>
          <w:lang w:val="es-ES"/>
        </w:rPr>
      </w:pPr>
      <w:r w:rsidRPr="00401E6A">
        <w:rPr>
          <w:lang w:val="es-ES"/>
        </w:rPr>
        <w:t>1.4</w:t>
      </w:r>
      <w:r w:rsidRPr="00401E6A">
        <w:rPr>
          <w:lang w:val="es-ES"/>
        </w:rPr>
        <w:tab/>
        <w:t>considerar una posible nueva atribución a título primario al servicio fijo por satélite (espacio</w:t>
      </w:r>
      <w:r>
        <w:rPr>
          <w:lang w:val="es-ES"/>
        </w:rPr>
        <w:noBreakHyphen/>
      </w:r>
      <w:r w:rsidRPr="00401E6A">
        <w:rPr>
          <w:lang w:val="es-ES"/>
        </w:rPr>
        <w:t>Tierra) en la banda de frecuencias 17,3</w:t>
      </w:r>
      <w:r>
        <w:rPr>
          <w:lang w:val="es-ES"/>
        </w:rPr>
        <w:noBreakHyphen/>
      </w:r>
      <w:r w:rsidRPr="00401E6A">
        <w:rPr>
          <w:lang w:val="es-ES"/>
        </w:rPr>
        <w:t>17,7</w:t>
      </w:r>
      <w:r>
        <w:rPr>
          <w:lang w:val="es-ES"/>
        </w:rPr>
        <w:t> </w:t>
      </w:r>
      <w:r w:rsidRPr="00401E6A">
        <w:rPr>
          <w:lang w:val="es-ES"/>
        </w:rPr>
        <w:t>GHz y una posible nueva atribución a título primario al servicio de radiodifusión por satélite (espacio-Tierra) en la banda de frecuencias 17,3</w:t>
      </w:r>
      <w:r>
        <w:rPr>
          <w:lang w:val="es-ES"/>
        </w:rPr>
        <w:noBreakHyphen/>
      </w:r>
      <w:r w:rsidRPr="00401E6A">
        <w:rPr>
          <w:lang w:val="es-ES"/>
        </w:rPr>
        <w:t>17,8</w:t>
      </w:r>
      <w:r>
        <w:rPr>
          <w:lang w:val="es-ES"/>
        </w:rPr>
        <w:t> </w:t>
      </w:r>
      <w:r w:rsidRPr="00401E6A">
        <w:rPr>
          <w:lang w:val="es-ES"/>
        </w:rPr>
        <w:t>GHz en la Región</w:t>
      </w:r>
      <w:r>
        <w:rPr>
          <w:lang w:val="es-ES"/>
        </w:rPr>
        <w:t> </w:t>
      </w:r>
      <w:r w:rsidRPr="00401E6A">
        <w:rPr>
          <w:lang w:val="es-ES"/>
        </w:rPr>
        <w:t>3, garantizando a su vez la protección de las atribuciones existentes a título primario en la misma banda de frecuencias y en las bandas de frecuencias adyacentes, y considerar los límites de densidad de flujo de potencia equivalente que habrán de aplicarse en las Regiones</w:t>
      </w:r>
      <w:r>
        <w:rPr>
          <w:lang w:val="es-ES"/>
        </w:rPr>
        <w:t> </w:t>
      </w:r>
      <w:r w:rsidRPr="00401E6A">
        <w:rPr>
          <w:lang w:val="es-ES"/>
        </w:rPr>
        <w:t>1 y 3 a los sistemas de satélites no geoestacionarios del servicio fijo por satélite (espacio</w:t>
      </w:r>
      <w:r>
        <w:rPr>
          <w:lang w:val="es-ES"/>
        </w:rPr>
        <w:noBreakHyphen/>
      </w:r>
      <w:r w:rsidRPr="00401E6A">
        <w:rPr>
          <w:lang w:val="es-ES"/>
        </w:rPr>
        <w:t>Tierra) en la banda de frecuencias 17,3</w:t>
      </w:r>
      <w:r>
        <w:rPr>
          <w:lang w:val="es-ES"/>
        </w:rPr>
        <w:noBreakHyphen/>
      </w:r>
      <w:r w:rsidRPr="00401E6A">
        <w:rPr>
          <w:lang w:val="es-ES"/>
        </w:rPr>
        <w:t>17,7</w:t>
      </w:r>
      <w:r>
        <w:rPr>
          <w:lang w:val="es-ES"/>
        </w:rPr>
        <w:t> </w:t>
      </w:r>
      <w:r w:rsidRPr="00401E6A">
        <w:rPr>
          <w:lang w:val="es-ES"/>
        </w:rPr>
        <w:t>GHz, de conformidad con la Resolución</w:t>
      </w:r>
      <w:r>
        <w:rPr>
          <w:lang w:val="es-ES"/>
        </w:rPr>
        <w:t> </w:t>
      </w:r>
      <w:r w:rsidRPr="00401E6A">
        <w:rPr>
          <w:b/>
          <w:bCs/>
          <w:lang w:val="es-ES"/>
        </w:rPr>
        <w:t>726 (CMR</w:t>
      </w:r>
      <w:r>
        <w:rPr>
          <w:b/>
          <w:bCs/>
          <w:lang w:val="es-ES"/>
        </w:rPr>
        <w:noBreakHyphen/>
      </w:r>
      <w:r w:rsidRPr="00401E6A">
        <w:rPr>
          <w:b/>
          <w:bCs/>
          <w:lang w:val="es-ES"/>
        </w:rPr>
        <w:t>23)</w:t>
      </w:r>
      <w:r w:rsidRPr="00401E6A">
        <w:rPr>
          <w:lang w:val="es-ES"/>
        </w:rPr>
        <w:t>;</w:t>
      </w:r>
    </w:p>
    <w:p w14:paraId="0C9F2043" w14:textId="77777777" w:rsidR="001353C6" w:rsidRPr="00401E6A" w:rsidRDefault="001353C6" w:rsidP="001353C6">
      <w:pPr>
        <w:rPr>
          <w:lang w:val="es-ES"/>
        </w:rPr>
      </w:pPr>
      <w:r w:rsidRPr="00401E6A">
        <w:rPr>
          <w:lang w:val="es-ES"/>
        </w:rPr>
        <w:t>1.5</w:t>
      </w:r>
      <w:r w:rsidRPr="00401E6A">
        <w:rPr>
          <w:lang w:val="es-ES"/>
        </w:rPr>
        <w:tab/>
        <w:t xml:space="preserve">considerar medidas reglamentarias y su aplicabilidad para limitar el funcionamiento no autorizado de estaciones terrenas en órbitas de satélites no geoestacionarios del servicio fijo por satélite y el servicio móvil por satélite y temas conexos relacionados con la zona de servicio de sistemas de satélites en órbitas de satélites no geoestacionarios del servicio fijo por satélite y el servicio móvil por satélite, de conformidad con la Resolución </w:t>
      </w:r>
      <w:r w:rsidRPr="00401E6A">
        <w:rPr>
          <w:b/>
          <w:bCs/>
          <w:lang w:val="es-ES"/>
        </w:rPr>
        <w:t>14</w:t>
      </w:r>
      <w:r w:rsidRPr="00401E6A">
        <w:rPr>
          <w:lang w:val="es-ES"/>
        </w:rPr>
        <w:t xml:space="preserve"> </w:t>
      </w:r>
      <w:r w:rsidRPr="00401E6A">
        <w:rPr>
          <w:b/>
          <w:bCs/>
          <w:lang w:val="es-ES"/>
        </w:rPr>
        <w:t>(CMR-23)</w:t>
      </w:r>
      <w:r w:rsidRPr="00401E6A">
        <w:rPr>
          <w:lang w:val="es-ES"/>
        </w:rPr>
        <w:t>;</w:t>
      </w:r>
    </w:p>
    <w:p w14:paraId="4FA5501A" w14:textId="77777777" w:rsidR="001353C6" w:rsidRPr="00401E6A" w:rsidRDefault="001353C6" w:rsidP="001353C6">
      <w:pPr>
        <w:rPr>
          <w:lang w:val="es-ES"/>
        </w:rPr>
      </w:pPr>
      <w:r w:rsidRPr="00401E6A">
        <w:rPr>
          <w:lang w:val="es-ES"/>
        </w:rPr>
        <w:t>1.6</w:t>
      </w:r>
      <w:r w:rsidRPr="00401E6A">
        <w:rPr>
          <w:lang w:val="es-ES"/>
        </w:rPr>
        <w:tab/>
        <w:t>considerar las medidas técnicas y reglamentarias aplicables a las redes/sistemas de satélites del servicio fijo por satélite en las bandas de frecuencias 37,5</w:t>
      </w:r>
      <w:r>
        <w:rPr>
          <w:lang w:val="es-ES"/>
        </w:rPr>
        <w:noBreakHyphen/>
      </w:r>
      <w:r w:rsidRPr="00401E6A">
        <w:rPr>
          <w:lang w:val="es-ES"/>
        </w:rPr>
        <w:t>42,5</w:t>
      </w:r>
      <w:r>
        <w:rPr>
          <w:lang w:val="es-ES"/>
        </w:rPr>
        <w:t> </w:t>
      </w:r>
      <w:r w:rsidRPr="00401E6A">
        <w:rPr>
          <w:lang w:val="es-ES"/>
        </w:rPr>
        <w:t>GHz (espacio</w:t>
      </w:r>
      <w:r>
        <w:rPr>
          <w:lang w:val="es-ES"/>
        </w:rPr>
        <w:noBreakHyphen/>
      </w:r>
      <w:r w:rsidRPr="00401E6A">
        <w:rPr>
          <w:lang w:val="es-ES"/>
        </w:rPr>
        <w:t>Tierra), 42,5-43,5</w:t>
      </w:r>
      <w:r>
        <w:rPr>
          <w:lang w:val="es-ES"/>
        </w:rPr>
        <w:t> </w:t>
      </w:r>
      <w:r w:rsidRPr="00401E6A">
        <w:rPr>
          <w:lang w:val="es-ES"/>
        </w:rPr>
        <w:t>GHz (Tierra</w:t>
      </w:r>
      <w:r>
        <w:rPr>
          <w:lang w:val="es-ES"/>
        </w:rPr>
        <w:noBreakHyphen/>
      </w:r>
      <w:r w:rsidRPr="00401E6A">
        <w:rPr>
          <w:lang w:val="es-ES"/>
        </w:rPr>
        <w:t>espacio), 47,2-50,2</w:t>
      </w:r>
      <w:r>
        <w:rPr>
          <w:lang w:val="es-ES"/>
        </w:rPr>
        <w:t> </w:t>
      </w:r>
      <w:r w:rsidRPr="00401E6A">
        <w:rPr>
          <w:lang w:val="es-ES"/>
        </w:rPr>
        <w:t>GHz (Tierra</w:t>
      </w:r>
      <w:r>
        <w:rPr>
          <w:lang w:val="es-ES"/>
        </w:rPr>
        <w:noBreakHyphen/>
      </w:r>
      <w:r w:rsidRPr="00401E6A">
        <w:rPr>
          <w:lang w:val="es-ES"/>
        </w:rPr>
        <w:t>espacio) y 50,4</w:t>
      </w:r>
      <w:r>
        <w:rPr>
          <w:lang w:val="es-ES"/>
        </w:rPr>
        <w:noBreakHyphen/>
      </w:r>
      <w:r w:rsidRPr="00401E6A">
        <w:rPr>
          <w:lang w:val="es-ES"/>
        </w:rPr>
        <w:t>51,4</w:t>
      </w:r>
      <w:r>
        <w:rPr>
          <w:lang w:val="es-ES"/>
        </w:rPr>
        <w:t> </w:t>
      </w:r>
      <w:r w:rsidRPr="00401E6A">
        <w:rPr>
          <w:lang w:val="es-ES"/>
        </w:rPr>
        <w:t>GHz (Tierra</w:t>
      </w:r>
      <w:r>
        <w:rPr>
          <w:lang w:val="es-ES"/>
        </w:rPr>
        <w:noBreakHyphen/>
      </w:r>
      <w:r w:rsidRPr="00401E6A">
        <w:rPr>
          <w:lang w:val="es-ES"/>
        </w:rPr>
        <w:t>espacio) para lograr el acceso equitativo a estas bandas de frecuencias, de conformidad con la Resolución</w:t>
      </w:r>
      <w:r>
        <w:rPr>
          <w:lang w:val="es-ES"/>
        </w:rPr>
        <w:t> </w:t>
      </w:r>
      <w:r w:rsidRPr="00401E6A">
        <w:rPr>
          <w:b/>
          <w:bCs/>
          <w:lang w:val="es-ES"/>
        </w:rPr>
        <w:t>131 (CMR-23)</w:t>
      </w:r>
      <w:r w:rsidRPr="00401E6A">
        <w:rPr>
          <w:lang w:val="es-ES"/>
        </w:rPr>
        <w:t>;</w:t>
      </w:r>
    </w:p>
    <w:p w14:paraId="13FEE444" w14:textId="77777777" w:rsidR="001353C6" w:rsidRPr="00401E6A" w:rsidRDefault="001353C6" w:rsidP="001353C6">
      <w:pPr>
        <w:rPr>
          <w:lang w:val="es-ES"/>
        </w:rPr>
      </w:pPr>
      <w:r w:rsidRPr="00401E6A">
        <w:rPr>
          <w:lang w:val="es-ES"/>
        </w:rPr>
        <w:t>1.7</w:t>
      </w:r>
      <w:r w:rsidRPr="00401E6A">
        <w:rPr>
          <w:lang w:val="es-ES"/>
        </w:rPr>
        <w:tab/>
        <w:t>considerar estudios de compartición y compatibilidad y determinar las condiciones técnicas necesarias para la utilización de las Telecomunicaciones Móviles Internacionales (IMT) en las bandas de frecuencias 4</w:t>
      </w:r>
      <w:r>
        <w:rPr>
          <w:lang w:val="es-ES"/>
        </w:rPr>
        <w:t> </w:t>
      </w:r>
      <w:r w:rsidRPr="00401E6A">
        <w:rPr>
          <w:lang w:val="es-ES"/>
        </w:rPr>
        <w:t>400</w:t>
      </w:r>
      <w:r>
        <w:rPr>
          <w:lang w:val="es-ES"/>
        </w:rPr>
        <w:noBreakHyphen/>
      </w:r>
      <w:r w:rsidRPr="00401E6A">
        <w:rPr>
          <w:lang w:val="es-ES"/>
        </w:rPr>
        <w:t>4</w:t>
      </w:r>
      <w:r>
        <w:rPr>
          <w:lang w:val="es-ES"/>
        </w:rPr>
        <w:t> </w:t>
      </w:r>
      <w:r w:rsidRPr="00401E6A">
        <w:rPr>
          <w:lang w:val="es-ES"/>
        </w:rPr>
        <w:t>800</w:t>
      </w:r>
      <w:r>
        <w:rPr>
          <w:lang w:val="es-ES"/>
        </w:rPr>
        <w:t> </w:t>
      </w:r>
      <w:r w:rsidRPr="00401E6A">
        <w:rPr>
          <w:lang w:val="es-ES"/>
        </w:rPr>
        <w:t>MHz, 7</w:t>
      </w:r>
      <w:r>
        <w:rPr>
          <w:lang w:val="es-ES"/>
        </w:rPr>
        <w:t> </w:t>
      </w:r>
      <w:r w:rsidRPr="00401E6A">
        <w:rPr>
          <w:lang w:val="es-ES"/>
        </w:rPr>
        <w:t>125</w:t>
      </w:r>
      <w:r>
        <w:rPr>
          <w:lang w:val="es-ES"/>
        </w:rPr>
        <w:noBreakHyphen/>
      </w:r>
      <w:r w:rsidRPr="00401E6A">
        <w:rPr>
          <w:lang w:val="es-ES"/>
        </w:rPr>
        <w:t>8</w:t>
      </w:r>
      <w:r>
        <w:rPr>
          <w:lang w:val="es-ES"/>
        </w:rPr>
        <w:t> </w:t>
      </w:r>
      <w:r w:rsidRPr="00401E6A">
        <w:rPr>
          <w:lang w:val="es-ES"/>
        </w:rPr>
        <w:t>400</w:t>
      </w:r>
      <w:r>
        <w:rPr>
          <w:lang w:val="es-ES"/>
        </w:rPr>
        <w:t> </w:t>
      </w:r>
      <w:r w:rsidRPr="00401E6A">
        <w:rPr>
          <w:lang w:val="es-ES"/>
        </w:rPr>
        <w:t xml:space="preserve">MHz (o partes de </w:t>
      </w:r>
      <w:proofErr w:type="gramStart"/>
      <w:r w:rsidRPr="00401E6A">
        <w:rPr>
          <w:lang w:val="es-ES"/>
        </w:rPr>
        <w:t>la misma</w:t>
      </w:r>
      <w:proofErr w:type="gramEnd"/>
      <w:r w:rsidRPr="00401E6A">
        <w:rPr>
          <w:lang w:val="es-ES"/>
        </w:rPr>
        <w:t>) y 14,8</w:t>
      </w:r>
      <w:r>
        <w:rPr>
          <w:lang w:val="es-ES"/>
        </w:rPr>
        <w:noBreakHyphen/>
      </w:r>
      <w:r w:rsidRPr="00401E6A">
        <w:rPr>
          <w:lang w:val="es-ES"/>
        </w:rPr>
        <w:t>15,35</w:t>
      </w:r>
      <w:r>
        <w:rPr>
          <w:lang w:val="es-ES"/>
        </w:rPr>
        <w:t> </w:t>
      </w:r>
      <w:r w:rsidRPr="00401E6A">
        <w:rPr>
          <w:lang w:val="es-ES"/>
        </w:rPr>
        <w:t>GHz, teniendo en cuenta los servicios primarios existentes en dichas bandas de frecuencias, así como en bandas adyacentes, de conformidad con la Resolución</w:t>
      </w:r>
      <w:r w:rsidRPr="00401E6A">
        <w:t> </w:t>
      </w:r>
      <w:r w:rsidRPr="00401E6A">
        <w:rPr>
          <w:b/>
          <w:bCs/>
          <w:lang w:val="es-ES"/>
        </w:rPr>
        <w:t>256 (CMR</w:t>
      </w:r>
      <w:r>
        <w:rPr>
          <w:b/>
          <w:bCs/>
          <w:lang w:val="es-ES"/>
        </w:rPr>
        <w:noBreakHyphen/>
      </w:r>
      <w:r w:rsidRPr="00401E6A">
        <w:rPr>
          <w:b/>
          <w:bCs/>
          <w:lang w:val="es-ES"/>
        </w:rPr>
        <w:t>23)</w:t>
      </w:r>
      <w:r w:rsidRPr="00401E6A">
        <w:rPr>
          <w:lang w:val="es-ES"/>
        </w:rPr>
        <w:t>;</w:t>
      </w:r>
    </w:p>
    <w:p w14:paraId="3487D0FB" w14:textId="007ADD01" w:rsidR="001353C6" w:rsidRPr="00401E6A" w:rsidRDefault="001353C6" w:rsidP="001353C6">
      <w:pPr>
        <w:rPr>
          <w:lang w:val="es-ES"/>
        </w:rPr>
      </w:pPr>
      <w:r w:rsidRPr="00401E6A">
        <w:rPr>
          <w:lang w:val="es-ES"/>
        </w:rPr>
        <w:t>1.8</w:t>
      </w:r>
      <w:r w:rsidRPr="00401E6A">
        <w:rPr>
          <w:lang w:val="es-ES"/>
        </w:rPr>
        <w:tab/>
        <w:t xml:space="preserve">considerar posibles atribuciones adicionales de espectro al servicio de radiolocalización a título </w:t>
      </w:r>
      <w:proofErr w:type="spellStart"/>
      <w:r w:rsidRPr="00401E6A">
        <w:rPr>
          <w:lang w:val="es-ES"/>
        </w:rPr>
        <w:t>coprimario</w:t>
      </w:r>
      <w:proofErr w:type="spellEnd"/>
      <w:r w:rsidRPr="00401E6A">
        <w:rPr>
          <w:lang w:val="es-ES"/>
        </w:rPr>
        <w:t xml:space="preserve"> en la banda de frecuencias 231,5-275</w:t>
      </w:r>
      <w:r>
        <w:rPr>
          <w:lang w:val="es-ES"/>
        </w:rPr>
        <w:t> </w:t>
      </w:r>
      <w:r w:rsidRPr="00401E6A">
        <w:rPr>
          <w:lang w:val="es-ES"/>
        </w:rPr>
        <w:t>GHz y posibles nuevas identificaciones para aplicaciones de radiolocalización en bandas de frecuencias dentro de la gama de frecuencias 275</w:t>
      </w:r>
      <w:r>
        <w:rPr>
          <w:lang w:val="es-ES"/>
        </w:rPr>
        <w:noBreakHyphen/>
      </w:r>
      <w:r w:rsidRPr="00401E6A">
        <w:rPr>
          <w:lang w:val="es-ES"/>
        </w:rPr>
        <w:t>700</w:t>
      </w:r>
      <w:r>
        <w:rPr>
          <w:lang w:val="es-ES"/>
        </w:rPr>
        <w:t> </w:t>
      </w:r>
      <w:r w:rsidRPr="00401E6A">
        <w:rPr>
          <w:lang w:val="es-ES"/>
        </w:rPr>
        <w:t>GHz para sistemas de imágenes en ondas milimétricas y submilimétricas, de conformidad con la Resolución</w:t>
      </w:r>
      <w:r>
        <w:rPr>
          <w:lang w:val="es-ES"/>
        </w:rPr>
        <w:t> </w:t>
      </w:r>
      <w:r w:rsidRPr="00401E6A">
        <w:rPr>
          <w:b/>
          <w:bCs/>
          <w:lang w:val="es-ES"/>
        </w:rPr>
        <w:t>663 (Rev.CMR</w:t>
      </w:r>
      <w:r>
        <w:rPr>
          <w:b/>
          <w:bCs/>
          <w:lang w:val="es-ES"/>
        </w:rPr>
        <w:noBreakHyphen/>
      </w:r>
      <w:r w:rsidRPr="00401E6A">
        <w:rPr>
          <w:b/>
          <w:bCs/>
          <w:lang w:val="es-ES"/>
        </w:rPr>
        <w:t>23)</w:t>
      </w:r>
      <w:r w:rsidRPr="00401E6A">
        <w:rPr>
          <w:lang w:val="es-ES"/>
        </w:rPr>
        <w:t>;</w:t>
      </w:r>
    </w:p>
    <w:p w14:paraId="59690393" w14:textId="77777777" w:rsidR="001353C6" w:rsidRPr="00401E6A" w:rsidRDefault="001353C6" w:rsidP="001353C6">
      <w:pPr>
        <w:rPr>
          <w:lang w:val="es-ES"/>
        </w:rPr>
      </w:pPr>
      <w:r w:rsidRPr="00401E6A">
        <w:rPr>
          <w:lang w:val="es-ES"/>
        </w:rPr>
        <w:t>1.9</w:t>
      </w:r>
      <w:r w:rsidRPr="00401E6A">
        <w:rPr>
          <w:lang w:val="es-ES"/>
        </w:rPr>
        <w:tab/>
        <w:t>considerar las acciones reglamentarias pertinentes para actualizar el Apéndice</w:t>
      </w:r>
      <w:r>
        <w:rPr>
          <w:lang w:val="es-ES"/>
        </w:rPr>
        <w:t> </w:t>
      </w:r>
      <w:r w:rsidRPr="00401E6A">
        <w:rPr>
          <w:b/>
          <w:bCs/>
          <w:lang w:val="es-ES"/>
        </w:rPr>
        <w:t>26</w:t>
      </w:r>
      <w:r w:rsidRPr="00401E6A">
        <w:rPr>
          <w:lang w:val="es-ES"/>
        </w:rPr>
        <w:t xml:space="preserve"> del Reglamento de Radiocomunicaciones en pro de la modernización del servicio móvil aeronáutico (OR) en ondas </w:t>
      </w:r>
      <w:proofErr w:type="spellStart"/>
      <w:r w:rsidRPr="00401E6A">
        <w:rPr>
          <w:lang w:val="es-ES"/>
        </w:rPr>
        <w:t>decamétricas</w:t>
      </w:r>
      <w:proofErr w:type="spellEnd"/>
      <w:r w:rsidRPr="00401E6A">
        <w:rPr>
          <w:lang w:val="es-ES"/>
        </w:rPr>
        <w:t>, de conformidad con la Resolución</w:t>
      </w:r>
      <w:r>
        <w:rPr>
          <w:lang w:val="es-ES"/>
        </w:rPr>
        <w:t> </w:t>
      </w:r>
      <w:r w:rsidRPr="00401E6A">
        <w:rPr>
          <w:b/>
          <w:bCs/>
          <w:lang w:val="es-ES"/>
        </w:rPr>
        <w:t>411 (CMR</w:t>
      </w:r>
      <w:r>
        <w:rPr>
          <w:b/>
          <w:bCs/>
          <w:lang w:val="es-ES"/>
        </w:rPr>
        <w:noBreakHyphen/>
      </w:r>
      <w:r w:rsidRPr="00401E6A">
        <w:rPr>
          <w:b/>
          <w:bCs/>
          <w:lang w:val="es-ES"/>
        </w:rPr>
        <w:t>23)</w:t>
      </w:r>
      <w:r w:rsidRPr="00401E6A">
        <w:rPr>
          <w:lang w:val="es-ES"/>
        </w:rPr>
        <w:t>;</w:t>
      </w:r>
    </w:p>
    <w:p w14:paraId="2CBB08CD" w14:textId="047D2A56" w:rsidR="001353C6" w:rsidRPr="00401E6A" w:rsidRDefault="001353C6" w:rsidP="001353C6">
      <w:pPr>
        <w:keepNext/>
        <w:keepLines/>
        <w:rPr>
          <w:lang w:val="es-ES"/>
        </w:rPr>
      </w:pPr>
      <w:r w:rsidRPr="00401E6A">
        <w:rPr>
          <w:lang w:val="es-ES"/>
        </w:rPr>
        <w:lastRenderedPageBreak/>
        <w:t>1.10</w:t>
      </w:r>
      <w:r w:rsidRPr="00401E6A">
        <w:rPr>
          <w:lang w:val="es-ES"/>
        </w:rPr>
        <w:tab/>
        <w:t>considerar la posibilidad de establecer límites de densidad de flujo de potencia y de potencia isótropa radiada equivalente para su inclusión en el Artículo</w:t>
      </w:r>
      <w:r>
        <w:rPr>
          <w:lang w:val="es-ES"/>
        </w:rPr>
        <w:t> </w:t>
      </w:r>
      <w:r w:rsidRPr="00401E6A">
        <w:rPr>
          <w:b/>
          <w:bCs/>
          <w:lang w:val="es-ES"/>
        </w:rPr>
        <w:t>21</w:t>
      </w:r>
      <w:r w:rsidRPr="00401E6A">
        <w:rPr>
          <w:lang w:val="es-ES"/>
        </w:rPr>
        <w:t xml:space="preserve"> del Reglamento de Radiocomunicaciones para los servicios fijo por satélite, móvil por satélite y de radiodifusión por satélite a fin de proteger los servicios fijo y móvil en las bandas de frecuencias 71</w:t>
      </w:r>
      <w:r>
        <w:rPr>
          <w:lang w:val="es-ES"/>
        </w:rPr>
        <w:noBreakHyphen/>
      </w:r>
      <w:r w:rsidRPr="00401E6A">
        <w:rPr>
          <w:lang w:val="es-ES"/>
        </w:rPr>
        <w:t>76</w:t>
      </w:r>
      <w:r>
        <w:rPr>
          <w:lang w:val="es-ES"/>
        </w:rPr>
        <w:t> </w:t>
      </w:r>
      <w:r w:rsidRPr="00401E6A">
        <w:rPr>
          <w:lang w:val="es-ES"/>
        </w:rPr>
        <w:t>GHz y 81-86</w:t>
      </w:r>
      <w:r>
        <w:rPr>
          <w:lang w:val="es-ES"/>
        </w:rPr>
        <w:t> </w:t>
      </w:r>
      <w:r w:rsidRPr="00401E6A">
        <w:rPr>
          <w:lang w:val="es-ES"/>
        </w:rPr>
        <w:t>GHz, de conformidad con la Resolución</w:t>
      </w:r>
      <w:r>
        <w:rPr>
          <w:lang w:val="es-ES"/>
        </w:rPr>
        <w:t> </w:t>
      </w:r>
      <w:r w:rsidRPr="00401E6A">
        <w:rPr>
          <w:b/>
          <w:bCs/>
          <w:lang w:val="es-ES"/>
        </w:rPr>
        <w:t>775 (Rev.CMR-23)</w:t>
      </w:r>
      <w:r w:rsidRPr="00401E6A">
        <w:rPr>
          <w:lang w:val="es-ES"/>
        </w:rPr>
        <w:t>;</w:t>
      </w:r>
    </w:p>
    <w:p w14:paraId="1E4D779E" w14:textId="50CDD6D8" w:rsidR="001353C6" w:rsidRPr="00401E6A" w:rsidRDefault="001353C6" w:rsidP="001353C6">
      <w:pPr>
        <w:rPr>
          <w:lang w:val="es-ES"/>
        </w:rPr>
      </w:pPr>
      <w:r w:rsidRPr="00401E6A">
        <w:rPr>
          <w:lang w:val="es-ES"/>
        </w:rPr>
        <w:t>1.11</w:t>
      </w:r>
      <w:r w:rsidRPr="00401E6A">
        <w:rPr>
          <w:lang w:val="es-ES"/>
        </w:rPr>
        <w:tab/>
        <w:t>considerar las cuestiones técnicas y operativas y las disposiciones reglamentarias para los enlaces espacio-espacio entre satélites no geoestacionarios y geoestacionarios en las bandas de frecuencias 1</w:t>
      </w:r>
      <w:r>
        <w:rPr>
          <w:lang w:val="es-ES"/>
        </w:rPr>
        <w:t> </w:t>
      </w:r>
      <w:r w:rsidRPr="00401E6A">
        <w:rPr>
          <w:lang w:val="es-ES"/>
        </w:rPr>
        <w:t>518</w:t>
      </w:r>
      <w:r>
        <w:rPr>
          <w:lang w:val="es-ES"/>
        </w:rPr>
        <w:noBreakHyphen/>
      </w:r>
      <w:r w:rsidRPr="00401E6A">
        <w:rPr>
          <w:lang w:val="es-ES"/>
        </w:rPr>
        <w:t>1</w:t>
      </w:r>
      <w:r>
        <w:rPr>
          <w:lang w:val="es-ES"/>
        </w:rPr>
        <w:t> </w:t>
      </w:r>
      <w:r w:rsidRPr="00401E6A">
        <w:rPr>
          <w:lang w:val="es-ES"/>
        </w:rPr>
        <w:t>544</w:t>
      </w:r>
      <w:r>
        <w:rPr>
          <w:lang w:val="es-ES"/>
        </w:rPr>
        <w:t> </w:t>
      </w:r>
      <w:r w:rsidRPr="00401E6A">
        <w:rPr>
          <w:lang w:val="es-ES"/>
        </w:rPr>
        <w:t>MHz, 1</w:t>
      </w:r>
      <w:r>
        <w:rPr>
          <w:lang w:val="es-ES"/>
        </w:rPr>
        <w:t> </w:t>
      </w:r>
      <w:r w:rsidRPr="00401E6A">
        <w:rPr>
          <w:lang w:val="es-ES"/>
        </w:rPr>
        <w:t>545</w:t>
      </w:r>
      <w:r>
        <w:rPr>
          <w:lang w:val="es-ES"/>
        </w:rPr>
        <w:noBreakHyphen/>
      </w:r>
      <w:r w:rsidRPr="00401E6A">
        <w:rPr>
          <w:lang w:val="es-ES"/>
        </w:rPr>
        <w:t>1</w:t>
      </w:r>
      <w:r>
        <w:rPr>
          <w:lang w:val="es-ES"/>
        </w:rPr>
        <w:t> </w:t>
      </w:r>
      <w:r w:rsidRPr="00401E6A">
        <w:rPr>
          <w:lang w:val="es-ES"/>
        </w:rPr>
        <w:t>559</w:t>
      </w:r>
      <w:r>
        <w:rPr>
          <w:lang w:val="es-ES"/>
        </w:rPr>
        <w:t> </w:t>
      </w:r>
      <w:r w:rsidRPr="00401E6A">
        <w:rPr>
          <w:lang w:val="es-ES"/>
        </w:rPr>
        <w:t>MHz, 1</w:t>
      </w:r>
      <w:r>
        <w:rPr>
          <w:lang w:val="es-ES"/>
        </w:rPr>
        <w:t> </w:t>
      </w:r>
      <w:r w:rsidRPr="00401E6A">
        <w:rPr>
          <w:lang w:val="es-ES"/>
        </w:rPr>
        <w:t>610</w:t>
      </w:r>
      <w:r>
        <w:rPr>
          <w:lang w:val="es-ES"/>
        </w:rPr>
        <w:noBreakHyphen/>
      </w:r>
      <w:r w:rsidRPr="00401E6A">
        <w:rPr>
          <w:lang w:val="es-ES"/>
        </w:rPr>
        <w:t>1</w:t>
      </w:r>
      <w:r w:rsidR="00100462">
        <w:rPr>
          <w:lang w:val="es-ES"/>
        </w:rPr>
        <w:t> </w:t>
      </w:r>
      <w:r w:rsidRPr="00401E6A">
        <w:rPr>
          <w:lang w:val="es-ES"/>
        </w:rPr>
        <w:t>645,5</w:t>
      </w:r>
      <w:r>
        <w:rPr>
          <w:lang w:val="es-ES"/>
        </w:rPr>
        <w:t> </w:t>
      </w:r>
      <w:r w:rsidRPr="00401E6A">
        <w:rPr>
          <w:lang w:val="es-ES"/>
        </w:rPr>
        <w:t>MHz, 1</w:t>
      </w:r>
      <w:r>
        <w:rPr>
          <w:lang w:val="es-ES"/>
        </w:rPr>
        <w:t> </w:t>
      </w:r>
      <w:r w:rsidRPr="00401E6A">
        <w:rPr>
          <w:lang w:val="es-ES"/>
        </w:rPr>
        <w:t>646,5</w:t>
      </w:r>
      <w:r>
        <w:rPr>
          <w:lang w:val="es-ES"/>
        </w:rPr>
        <w:noBreakHyphen/>
      </w:r>
      <w:r w:rsidRPr="00401E6A">
        <w:rPr>
          <w:lang w:val="es-ES"/>
        </w:rPr>
        <w:t>1</w:t>
      </w:r>
      <w:r>
        <w:rPr>
          <w:lang w:val="es-ES"/>
        </w:rPr>
        <w:t> </w:t>
      </w:r>
      <w:r w:rsidRPr="00401E6A">
        <w:rPr>
          <w:lang w:val="es-ES"/>
        </w:rPr>
        <w:t>660</w:t>
      </w:r>
      <w:r>
        <w:rPr>
          <w:lang w:val="es-ES"/>
        </w:rPr>
        <w:t> </w:t>
      </w:r>
      <w:r w:rsidRPr="00401E6A">
        <w:rPr>
          <w:lang w:val="es-ES"/>
        </w:rPr>
        <w:t>MHz, 1</w:t>
      </w:r>
      <w:r>
        <w:rPr>
          <w:lang w:val="es-ES"/>
        </w:rPr>
        <w:t> </w:t>
      </w:r>
      <w:r w:rsidRPr="00401E6A">
        <w:rPr>
          <w:lang w:val="es-ES"/>
        </w:rPr>
        <w:t>670</w:t>
      </w:r>
      <w:r>
        <w:rPr>
          <w:lang w:val="es-ES"/>
        </w:rPr>
        <w:noBreakHyphen/>
      </w:r>
      <w:r w:rsidRPr="00401E6A">
        <w:rPr>
          <w:lang w:val="es-ES"/>
        </w:rPr>
        <w:t>1</w:t>
      </w:r>
      <w:r>
        <w:rPr>
          <w:lang w:val="es-ES"/>
        </w:rPr>
        <w:t> </w:t>
      </w:r>
      <w:r w:rsidRPr="00401E6A">
        <w:rPr>
          <w:lang w:val="es-ES"/>
        </w:rPr>
        <w:t>675</w:t>
      </w:r>
      <w:r>
        <w:rPr>
          <w:lang w:val="es-ES"/>
        </w:rPr>
        <w:t> </w:t>
      </w:r>
      <w:r w:rsidRPr="00401E6A">
        <w:rPr>
          <w:lang w:val="es-ES"/>
        </w:rPr>
        <w:t>MHz y 2</w:t>
      </w:r>
      <w:r>
        <w:rPr>
          <w:lang w:val="es-ES"/>
        </w:rPr>
        <w:t> </w:t>
      </w:r>
      <w:r w:rsidRPr="00401E6A">
        <w:rPr>
          <w:lang w:val="es-ES"/>
        </w:rPr>
        <w:t>483,5</w:t>
      </w:r>
      <w:r>
        <w:rPr>
          <w:lang w:val="es-ES"/>
        </w:rPr>
        <w:noBreakHyphen/>
      </w:r>
      <w:r w:rsidRPr="00401E6A">
        <w:rPr>
          <w:lang w:val="es-ES"/>
        </w:rPr>
        <w:t>2</w:t>
      </w:r>
      <w:r>
        <w:rPr>
          <w:lang w:val="es-ES"/>
        </w:rPr>
        <w:t> </w:t>
      </w:r>
      <w:r w:rsidRPr="00401E6A">
        <w:rPr>
          <w:lang w:val="es-ES"/>
        </w:rPr>
        <w:t>500</w:t>
      </w:r>
      <w:r>
        <w:rPr>
          <w:lang w:val="es-ES"/>
        </w:rPr>
        <w:t> </w:t>
      </w:r>
      <w:r w:rsidRPr="00401E6A">
        <w:rPr>
          <w:lang w:val="es-ES"/>
        </w:rPr>
        <w:t>MHz atribuidas al servicio móvil por satélite, de conformidad con la Resolución</w:t>
      </w:r>
      <w:r>
        <w:rPr>
          <w:lang w:val="es-ES"/>
        </w:rPr>
        <w:t> </w:t>
      </w:r>
      <w:r w:rsidRPr="00401E6A">
        <w:rPr>
          <w:b/>
          <w:bCs/>
          <w:lang w:val="es-ES"/>
        </w:rPr>
        <w:t>249 (Rev.CMR-23)</w:t>
      </w:r>
      <w:r w:rsidRPr="00401E6A">
        <w:rPr>
          <w:lang w:val="es-ES"/>
        </w:rPr>
        <w:t>;</w:t>
      </w:r>
    </w:p>
    <w:p w14:paraId="1CF2A564" w14:textId="77777777" w:rsidR="001353C6" w:rsidRPr="00401E6A" w:rsidRDefault="001353C6" w:rsidP="001353C6">
      <w:pPr>
        <w:rPr>
          <w:lang w:val="es-ES"/>
        </w:rPr>
      </w:pPr>
      <w:r w:rsidRPr="00401E6A">
        <w:rPr>
          <w:lang w:val="es-ES"/>
        </w:rPr>
        <w:t>1.12</w:t>
      </w:r>
      <w:r w:rsidRPr="00401E6A">
        <w:rPr>
          <w:lang w:val="es-ES"/>
        </w:rPr>
        <w:tab/>
        <w:t>a considerar, basándose en los resultados de los estudios, las posibles nuevas atribuciones al servicio móvil por satélite y las posibles medidas reglamentarias en las bandas de frecuencias 1</w:t>
      </w:r>
      <w:r>
        <w:rPr>
          <w:lang w:val="es-ES"/>
        </w:rPr>
        <w:t> </w:t>
      </w:r>
      <w:r w:rsidRPr="00401E6A">
        <w:rPr>
          <w:lang w:val="es-ES"/>
        </w:rPr>
        <w:t>427</w:t>
      </w:r>
      <w:r>
        <w:rPr>
          <w:lang w:val="es-ES"/>
        </w:rPr>
        <w:noBreakHyphen/>
      </w:r>
      <w:r w:rsidRPr="00401E6A">
        <w:rPr>
          <w:lang w:val="es-ES"/>
        </w:rPr>
        <w:t>1</w:t>
      </w:r>
      <w:r>
        <w:rPr>
          <w:lang w:val="es-ES"/>
        </w:rPr>
        <w:t> </w:t>
      </w:r>
      <w:r w:rsidRPr="00401E6A">
        <w:rPr>
          <w:lang w:val="es-ES"/>
        </w:rPr>
        <w:t>432</w:t>
      </w:r>
      <w:r>
        <w:rPr>
          <w:lang w:val="es-ES"/>
        </w:rPr>
        <w:t> </w:t>
      </w:r>
      <w:r w:rsidRPr="00401E6A">
        <w:rPr>
          <w:lang w:val="es-ES"/>
        </w:rPr>
        <w:t>MHz (espacio-Tierra), 1</w:t>
      </w:r>
      <w:r>
        <w:rPr>
          <w:lang w:val="es-ES"/>
        </w:rPr>
        <w:t> </w:t>
      </w:r>
      <w:r w:rsidRPr="00401E6A">
        <w:rPr>
          <w:lang w:val="es-ES"/>
        </w:rPr>
        <w:t>645,5</w:t>
      </w:r>
      <w:r>
        <w:rPr>
          <w:lang w:val="es-ES"/>
        </w:rPr>
        <w:noBreakHyphen/>
      </w:r>
      <w:r w:rsidRPr="00401E6A">
        <w:rPr>
          <w:lang w:val="es-ES"/>
        </w:rPr>
        <w:t>1</w:t>
      </w:r>
      <w:r>
        <w:rPr>
          <w:lang w:val="es-ES"/>
        </w:rPr>
        <w:t> </w:t>
      </w:r>
      <w:r w:rsidRPr="00401E6A">
        <w:rPr>
          <w:lang w:val="es-ES"/>
        </w:rPr>
        <w:t>646,5</w:t>
      </w:r>
      <w:r>
        <w:rPr>
          <w:lang w:val="es-ES"/>
        </w:rPr>
        <w:t> </w:t>
      </w:r>
      <w:r w:rsidRPr="00401E6A">
        <w:rPr>
          <w:lang w:val="es-ES"/>
        </w:rPr>
        <w:t>MHz (espacio</w:t>
      </w:r>
      <w:r>
        <w:rPr>
          <w:lang w:val="es-ES"/>
        </w:rPr>
        <w:noBreakHyphen/>
      </w:r>
      <w:r w:rsidRPr="00401E6A">
        <w:rPr>
          <w:lang w:val="es-ES"/>
        </w:rPr>
        <w:t>Tierra) (Tierra</w:t>
      </w:r>
      <w:r>
        <w:rPr>
          <w:lang w:val="es-ES"/>
        </w:rPr>
        <w:noBreakHyphen/>
      </w:r>
      <w:r w:rsidRPr="00401E6A">
        <w:rPr>
          <w:lang w:val="es-ES"/>
        </w:rPr>
        <w:t>espacio), 1</w:t>
      </w:r>
      <w:r>
        <w:rPr>
          <w:lang w:val="es-ES"/>
        </w:rPr>
        <w:t> </w:t>
      </w:r>
      <w:r w:rsidRPr="00401E6A">
        <w:rPr>
          <w:lang w:val="es-ES"/>
        </w:rPr>
        <w:t>880</w:t>
      </w:r>
      <w:r>
        <w:rPr>
          <w:lang w:val="es-ES"/>
        </w:rPr>
        <w:noBreakHyphen/>
      </w:r>
      <w:r w:rsidRPr="00401E6A">
        <w:rPr>
          <w:lang w:val="es-ES"/>
        </w:rPr>
        <w:t>1</w:t>
      </w:r>
      <w:r>
        <w:rPr>
          <w:lang w:val="es-ES"/>
        </w:rPr>
        <w:t> </w:t>
      </w:r>
      <w:r w:rsidRPr="00401E6A">
        <w:rPr>
          <w:lang w:val="es-ES"/>
        </w:rPr>
        <w:t>920</w:t>
      </w:r>
      <w:r>
        <w:rPr>
          <w:lang w:val="es-ES"/>
        </w:rPr>
        <w:t> </w:t>
      </w:r>
      <w:r w:rsidRPr="00401E6A">
        <w:rPr>
          <w:lang w:val="es-ES"/>
        </w:rPr>
        <w:t>MHz (espacio-Tierra) (Tierra-espacio) y 2</w:t>
      </w:r>
      <w:r>
        <w:rPr>
          <w:lang w:val="es-ES"/>
        </w:rPr>
        <w:t> </w:t>
      </w:r>
      <w:r w:rsidRPr="00401E6A">
        <w:rPr>
          <w:lang w:val="es-ES"/>
        </w:rPr>
        <w:t>010</w:t>
      </w:r>
      <w:r>
        <w:rPr>
          <w:lang w:val="es-ES"/>
        </w:rPr>
        <w:noBreakHyphen/>
      </w:r>
      <w:r w:rsidRPr="00401E6A">
        <w:rPr>
          <w:lang w:val="es-ES"/>
        </w:rPr>
        <w:t>2</w:t>
      </w:r>
      <w:r>
        <w:rPr>
          <w:lang w:val="es-ES"/>
        </w:rPr>
        <w:t> </w:t>
      </w:r>
      <w:r w:rsidRPr="00401E6A">
        <w:rPr>
          <w:lang w:val="es-ES"/>
        </w:rPr>
        <w:t>025</w:t>
      </w:r>
      <w:r>
        <w:rPr>
          <w:lang w:val="es-ES"/>
        </w:rPr>
        <w:t> </w:t>
      </w:r>
      <w:r w:rsidRPr="00401E6A">
        <w:rPr>
          <w:lang w:val="es-ES"/>
        </w:rPr>
        <w:t>MHz (espacio</w:t>
      </w:r>
      <w:r>
        <w:rPr>
          <w:lang w:val="es-ES"/>
        </w:rPr>
        <w:noBreakHyphen/>
      </w:r>
      <w:r w:rsidRPr="00401E6A">
        <w:rPr>
          <w:lang w:val="es-ES"/>
        </w:rPr>
        <w:t>Tierra) (Tierra</w:t>
      </w:r>
      <w:r>
        <w:rPr>
          <w:lang w:val="es-ES"/>
        </w:rPr>
        <w:noBreakHyphen/>
      </w:r>
      <w:r w:rsidRPr="00401E6A">
        <w:rPr>
          <w:lang w:val="es-ES"/>
        </w:rPr>
        <w:t>espacio) necesarias para el futuro desarrollo de los sistemas de satélites móviles no geoestacionarios de baja velocidad de datos, de conformidad con la Resolución</w:t>
      </w:r>
      <w:r>
        <w:rPr>
          <w:lang w:val="es-ES"/>
        </w:rPr>
        <w:t> </w:t>
      </w:r>
      <w:r w:rsidRPr="00401E6A">
        <w:rPr>
          <w:b/>
          <w:bCs/>
          <w:lang w:val="es-ES"/>
        </w:rPr>
        <w:t>252 (CMR</w:t>
      </w:r>
      <w:r>
        <w:rPr>
          <w:b/>
          <w:bCs/>
          <w:lang w:val="es-ES"/>
        </w:rPr>
        <w:noBreakHyphen/>
      </w:r>
      <w:r w:rsidRPr="00401E6A">
        <w:rPr>
          <w:b/>
          <w:bCs/>
          <w:lang w:val="es-ES"/>
        </w:rPr>
        <w:t>23)</w:t>
      </w:r>
      <w:r w:rsidRPr="00401E6A">
        <w:rPr>
          <w:lang w:val="es-ES"/>
        </w:rPr>
        <w:t>;</w:t>
      </w:r>
    </w:p>
    <w:p w14:paraId="23BFC1A0" w14:textId="77777777" w:rsidR="001353C6" w:rsidRPr="00401E6A" w:rsidRDefault="001353C6" w:rsidP="001353C6">
      <w:pPr>
        <w:rPr>
          <w:lang w:val="es-ES"/>
        </w:rPr>
      </w:pPr>
      <w:r w:rsidRPr="00401E6A">
        <w:rPr>
          <w:lang w:val="es-ES"/>
        </w:rPr>
        <w:t>1.13</w:t>
      </w:r>
      <w:r w:rsidRPr="00401E6A">
        <w:rPr>
          <w:lang w:val="es-ES"/>
        </w:rPr>
        <w:tab/>
        <w:t>considerar estudios sobre posibles nuevas atribuciones al servicio móvil por satélite para la conectividad directa entre estaciones espaciales y equipos de usuario de las Telecomunicaciones Móviles Internacionales (IMT) a fin de complementar la cobertura de la red IMT terrenal, de conformidad con la Resolución</w:t>
      </w:r>
      <w:r>
        <w:rPr>
          <w:lang w:val="es-ES"/>
        </w:rPr>
        <w:t> </w:t>
      </w:r>
      <w:r w:rsidRPr="00401E6A">
        <w:rPr>
          <w:b/>
          <w:bCs/>
          <w:lang w:val="es-ES"/>
        </w:rPr>
        <w:t>253 (CMR</w:t>
      </w:r>
      <w:r>
        <w:rPr>
          <w:b/>
          <w:bCs/>
          <w:lang w:val="es-ES"/>
        </w:rPr>
        <w:noBreakHyphen/>
      </w:r>
      <w:r w:rsidRPr="00401E6A">
        <w:rPr>
          <w:b/>
          <w:bCs/>
          <w:lang w:val="es-ES"/>
        </w:rPr>
        <w:t>23)</w:t>
      </w:r>
      <w:r w:rsidRPr="00401E6A">
        <w:rPr>
          <w:lang w:val="es-ES"/>
        </w:rPr>
        <w:t>;</w:t>
      </w:r>
    </w:p>
    <w:p w14:paraId="0E73D7DE" w14:textId="77777777" w:rsidR="001353C6" w:rsidRPr="00401E6A" w:rsidRDefault="001353C6" w:rsidP="001353C6">
      <w:pPr>
        <w:rPr>
          <w:lang w:val="es-ES"/>
        </w:rPr>
      </w:pPr>
      <w:r w:rsidRPr="00401E6A">
        <w:rPr>
          <w:lang w:val="es-ES"/>
        </w:rPr>
        <w:t>1.14</w:t>
      </w:r>
      <w:r w:rsidRPr="00401E6A">
        <w:rPr>
          <w:lang w:val="es-ES"/>
        </w:rPr>
        <w:tab/>
        <w:t>considerar la posibilidad de otorgar atribuciones adicionales al servicio móvil por satélite, de conformidad con la Resolución</w:t>
      </w:r>
      <w:r>
        <w:rPr>
          <w:lang w:val="es-ES"/>
        </w:rPr>
        <w:t> </w:t>
      </w:r>
      <w:r w:rsidRPr="00401E6A">
        <w:rPr>
          <w:b/>
          <w:bCs/>
          <w:lang w:val="es-ES"/>
        </w:rPr>
        <w:t>254 (CMR</w:t>
      </w:r>
      <w:r>
        <w:rPr>
          <w:b/>
          <w:bCs/>
          <w:lang w:val="es-ES"/>
        </w:rPr>
        <w:noBreakHyphen/>
      </w:r>
      <w:r w:rsidRPr="00401E6A">
        <w:rPr>
          <w:b/>
          <w:bCs/>
          <w:lang w:val="es-ES"/>
        </w:rPr>
        <w:t>23)</w:t>
      </w:r>
      <w:r w:rsidRPr="00401E6A">
        <w:rPr>
          <w:lang w:val="es-ES"/>
        </w:rPr>
        <w:t>;</w:t>
      </w:r>
    </w:p>
    <w:p w14:paraId="0D2D10BB" w14:textId="77777777" w:rsidR="001353C6" w:rsidRPr="00401E6A" w:rsidRDefault="001353C6" w:rsidP="001353C6">
      <w:pPr>
        <w:rPr>
          <w:lang w:val="es-ES"/>
        </w:rPr>
      </w:pPr>
      <w:r w:rsidRPr="00401E6A">
        <w:rPr>
          <w:lang w:val="es-ES"/>
        </w:rPr>
        <w:t>1.15</w:t>
      </w:r>
      <w:r w:rsidRPr="00401E6A">
        <w:rPr>
          <w:lang w:val="es-ES"/>
        </w:rPr>
        <w:tab/>
        <w:t>considerar estudios sobre asuntos relacionados con las frecuencias, incluidas posibles atribuciones nuevas o modificadas al servicio de investigación espacial (espacio</w:t>
      </w:r>
      <w:r>
        <w:rPr>
          <w:lang w:val="es-ES"/>
        </w:rPr>
        <w:noBreakHyphen/>
      </w:r>
      <w:r w:rsidRPr="00401E6A">
        <w:rPr>
          <w:lang w:val="es-ES"/>
        </w:rPr>
        <w:t xml:space="preserve">espacio), para el futuro desarrollo de las comunicaciones en la superficie lunar y entre la </w:t>
      </w:r>
      <w:proofErr w:type="gramStart"/>
      <w:r w:rsidRPr="00401E6A">
        <w:rPr>
          <w:lang w:val="es-ES"/>
        </w:rPr>
        <w:t>órbita lunar y la superficie lunar</w:t>
      </w:r>
      <w:proofErr w:type="gramEnd"/>
      <w:r w:rsidRPr="00401E6A">
        <w:rPr>
          <w:lang w:val="es-ES"/>
        </w:rPr>
        <w:t>, de conformidad con la Resolución</w:t>
      </w:r>
      <w:r>
        <w:rPr>
          <w:lang w:val="es-ES"/>
        </w:rPr>
        <w:t> </w:t>
      </w:r>
      <w:r w:rsidRPr="00401E6A">
        <w:rPr>
          <w:b/>
          <w:bCs/>
          <w:lang w:val="es-ES"/>
        </w:rPr>
        <w:t>680 (CMR</w:t>
      </w:r>
      <w:r>
        <w:rPr>
          <w:b/>
          <w:bCs/>
          <w:lang w:val="es-ES"/>
        </w:rPr>
        <w:noBreakHyphen/>
      </w:r>
      <w:r w:rsidRPr="00401E6A">
        <w:rPr>
          <w:b/>
          <w:bCs/>
          <w:lang w:val="es-ES"/>
        </w:rPr>
        <w:t>23)</w:t>
      </w:r>
      <w:r w:rsidRPr="00401E6A">
        <w:rPr>
          <w:lang w:val="es-ES"/>
        </w:rPr>
        <w:t>;</w:t>
      </w:r>
    </w:p>
    <w:p w14:paraId="14E78870" w14:textId="77777777" w:rsidR="001353C6" w:rsidRPr="00401E6A" w:rsidRDefault="001353C6" w:rsidP="001353C6">
      <w:pPr>
        <w:rPr>
          <w:lang w:val="es-ES"/>
        </w:rPr>
      </w:pPr>
      <w:r w:rsidRPr="00401E6A">
        <w:rPr>
          <w:lang w:val="es-ES"/>
        </w:rPr>
        <w:t>1.16</w:t>
      </w:r>
      <w:r w:rsidRPr="00401E6A">
        <w:rPr>
          <w:lang w:val="es-ES"/>
        </w:rPr>
        <w:tab/>
        <w:t>considerar los estudios sobre las disposiciones técnicas y reglamentarias necesarias para proteger la radioastronomía que funciona en zonas radioeléctricamente tranquilas específicas y en bandas de frecuencias atribuidas al servicio de radioastronomía a título primario en todo el mundo, contra la interferencia combinada de frecuencias radioeléctricas causada por sistemas de la órbita de satélites no geoestacionarios, de conformidad con la Resolución</w:t>
      </w:r>
      <w:r>
        <w:rPr>
          <w:lang w:val="es-ES"/>
        </w:rPr>
        <w:t> </w:t>
      </w:r>
      <w:r w:rsidRPr="00401E6A">
        <w:rPr>
          <w:b/>
          <w:bCs/>
          <w:lang w:val="es-ES"/>
        </w:rPr>
        <w:t>681 (CMR</w:t>
      </w:r>
      <w:r>
        <w:rPr>
          <w:b/>
          <w:bCs/>
          <w:lang w:val="es-ES"/>
        </w:rPr>
        <w:noBreakHyphen/>
      </w:r>
      <w:r w:rsidRPr="00401E6A">
        <w:rPr>
          <w:b/>
          <w:bCs/>
          <w:lang w:val="es-ES"/>
        </w:rPr>
        <w:t>23)</w:t>
      </w:r>
      <w:r w:rsidRPr="00401E6A">
        <w:rPr>
          <w:lang w:val="es-ES"/>
        </w:rPr>
        <w:t>;</w:t>
      </w:r>
    </w:p>
    <w:p w14:paraId="1169F480" w14:textId="77777777" w:rsidR="001353C6" w:rsidRPr="00401E6A" w:rsidRDefault="001353C6" w:rsidP="001353C6">
      <w:pPr>
        <w:rPr>
          <w:lang w:val="es-ES"/>
        </w:rPr>
      </w:pPr>
      <w:r w:rsidRPr="00401E6A">
        <w:rPr>
          <w:lang w:val="es-ES"/>
        </w:rPr>
        <w:t>1.17</w:t>
      </w:r>
      <w:r w:rsidRPr="00401E6A">
        <w:rPr>
          <w:lang w:val="es-ES"/>
        </w:rPr>
        <w:tab/>
        <w:t>considerar las disposiciones reglamentarias para los sensores de meteorología espacial de sólo recepción y su protección en el Reglamento de Radiocomunicaciones, teniendo en cuenta los resultados de los estudios del Sector de Radiocomunicaciones de la</w:t>
      </w:r>
      <w:r>
        <w:rPr>
          <w:lang w:val="es-ES"/>
        </w:rPr>
        <w:t> </w:t>
      </w:r>
      <w:r w:rsidRPr="00401E6A">
        <w:rPr>
          <w:lang w:val="es-ES"/>
        </w:rPr>
        <w:t>UIT de conformidad con la Resolución</w:t>
      </w:r>
      <w:r>
        <w:rPr>
          <w:lang w:val="es-ES"/>
        </w:rPr>
        <w:t> </w:t>
      </w:r>
      <w:r w:rsidRPr="00401E6A">
        <w:rPr>
          <w:b/>
          <w:bCs/>
          <w:lang w:val="es-ES"/>
        </w:rPr>
        <w:t>682 (CMR</w:t>
      </w:r>
      <w:r>
        <w:rPr>
          <w:b/>
          <w:bCs/>
          <w:lang w:val="es-ES"/>
        </w:rPr>
        <w:noBreakHyphen/>
      </w:r>
      <w:r w:rsidRPr="00401E6A">
        <w:rPr>
          <w:b/>
          <w:bCs/>
          <w:lang w:val="es-ES"/>
        </w:rPr>
        <w:t>23)</w:t>
      </w:r>
      <w:r w:rsidRPr="00401E6A">
        <w:rPr>
          <w:lang w:val="es-ES"/>
        </w:rPr>
        <w:t>;</w:t>
      </w:r>
    </w:p>
    <w:p w14:paraId="28D594BD" w14:textId="77777777" w:rsidR="001353C6" w:rsidRPr="00401E6A" w:rsidRDefault="001353C6" w:rsidP="001353C6">
      <w:pPr>
        <w:rPr>
          <w:lang w:val="es-ES"/>
        </w:rPr>
      </w:pPr>
      <w:r w:rsidRPr="00401E6A">
        <w:rPr>
          <w:lang w:val="es-ES"/>
        </w:rPr>
        <w:t>1.18</w:t>
      </w:r>
      <w:r w:rsidRPr="00401E6A">
        <w:rPr>
          <w:lang w:val="es-ES"/>
        </w:rPr>
        <w:tab/>
        <w:t>considerar, basándose en los resultados de los estudios del Sector de Radiocomunicaciones de la UIT, posibles medidas reglamentarias relativas a la protección del servicio de exploración de la Tierra por satélite (pasivo) y del servicio de radioastronomía en determinadas bandas de frecuencias por encima de 76</w:t>
      </w:r>
      <w:r>
        <w:rPr>
          <w:lang w:val="es-ES"/>
        </w:rPr>
        <w:t> </w:t>
      </w:r>
      <w:r w:rsidRPr="00401E6A">
        <w:rPr>
          <w:lang w:val="es-ES"/>
        </w:rPr>
        <w:t>GHz contra las emisiones no deseadas de los servicios activos, de conformidad con la Resolución</w:t>
      </w:r>
      <w:r>
        <w:rPr>
          <w:lang w:val="es-ES"/>
        </w:rPr>
        <w:t> </w:t>
      </w:r>
      <w:r w:rsidRPr="00401E6A">
        <w:rPr>
          <w:b/>
          <w:bCs/>
          <w:lang w:val="es-ES"/>
        </w:rPr>
        <w:t>712 (CMR</w:t>
      </w:r>
      <w:r>
        <w:rPr>
          <w:b/>
          <w:bCs/>
          <w:lang w:val="es-ES"/>
        </w:rPr>
        <w:noBreakHyphen/>
      </w:r>
      <w:r w:rsidRPr="00401E6A">
        <w:rPr>
          <w:b/>
          <w:bCs/>
          <w:lang w:val="es-ES"/>
        </w:rPr>
        <w:t>23)</w:t>
      </w:r>
      <w:r w:rsidRPr="00401E6A">
        <w:rPr>
          <w:lang w:val="es-ES"/>
        </w:rPr>
        <w:t>;</w:t>
      </w:r>
    </w:p>
    <w:p w14:paraId="24B7E004" w14:textId="77777777" w:rsidR="001353C6" w:rsidRPr="00401E6A" w:rsidRDefault="001353C6" w:rsidP="001353C6">
      <w:pPr>
        <w:rPr>
          <w:b/>
          <w:bCs/>
          <w:lang w:val="es-ES"/>
        </w:rPr>
      </w:pPr>
      <w:r w:rsidRPr="00401E6A">
        <w:rPr>
          <w:lang w:val="es-ES"/>
        </w:rPr>
        <w:lastRenderedPageBreak/>
        <w:t>1.19</w:t>
      </w:r>
      <w:r w:rsidRPr="00401E6A">
        <w:rPr>
          <w:lang w:val="es-ES"/>
        </w:rPr>
        <w:tab/>
        <w:t>considerar posibles atribuciones a título primario en todas las Regiones al servicio de exploración de la Tierra por satélite (pasivo) en las bandas de frecuencias 4</w:t>
      </w:r>
      <w:r>
        <w:rPr>
          <w:lang w:val="es-ES"/>
        </w:rPr>
        <w:t> </w:t>
      </w:r>
      <w:r w:rsidRPr="00401E6A">
        <w:rPr>
          <w:lang w:val="es-ES"/>
        </w:rPr>
        <w:t>200</w:t>
      </w:r>
      <w:r>
        <w:rPr>
          <w:lang w:val="es-ES"/>
        </w:rPr>
        <w:noBreakHyphen/>
      </w:r>
      <w:r w:rsidRPr="00401E6A">
        <w:rPr>
          <w:lang w:val="es-ES"/>
        </w:rPr>
        <w:t>4</w:t>
      </w:r>
      <w:r>
        <w:rPr>
          <w:lang w:val="es-ES"/>
        </w:rPr>
        <w:t> </w:t>
      </w:r>
      <w:r w:rsidRPr="00401E6A">
        <w:rPr>
          <w:lang w:val="es-ES"/>
        </w:rPr>
        <w:t>400</w:t>
      </w:r>
      <w:r>
        <w:rPr>
          <w:lang w:val="es-ES"/>
        </w:rPr>
        <w:t> </w:t>
      </w:r>
      <w:r w:rsidRPr="00401E6A">
        <w:rPr>
          <w:lang w:val="es-ES"/>
        </w:rPr>
        <w:t>MHz y 8</w:t>
      </w:r>
      <w:r>
        <w:rPr>
          <w:lang w:val="es-ES"/>
        </w:rPr>
        <w:t> </w:t>
      </w:r>
      <w:r w:rsidRPr="00401E6A">
        <w:rPr>
          <w:lang w:val="es-ES"/>
        </w:rPr>
        <w:t>400</w:t>
      </w:r>
      <w:r>
        <w:rPr>
          <w:lang w:val="es-ES"/>
        </w:rPr>
        <w:noBreakHyphen/>
      </w:r>
      <w:r w:rsidRPr="00401E6A">
        <w:rPr>
          <w:lang w:val="es-ES"/>
        </w:rPr>
        <w:t>8</w:t>
      </w:r>
      <w:r>
        <w:rPr>
          <w:lang w:val="es-ES"/>
        </w:rPr>
        <w:t> </w:t>
      </w:r>
      <w:r w:rsidRPr="00401E6A">
        <w:rPr>
          <w:lang w:val="es-ES"/>
        </w:rPr>
        <w:t>500</w:t>
      </w:r>
      <w:r>
        <w:rPr>
          <w:lang w:val="es-ES"/>
        </w:rPr>
        <w:t> </w:t>
      </w:r>
      <w:r w:rsidRPr="00401E6A">
        <w:rPr>
          <w:lang w:val="es-ES"/>
        </w:rPr>
        <w:t>MHz, de conformidad con la Resolución</w:t>
      </w:r>
      <w:r>
        <w:rPr>
          <w:lang w:val="es-ES"/>
        </w:rPr>
        <w:t> </w:t>
      </w:r>
      <w:r w:rsidRPr="00401E6A">
        <w:rPr>
          <w:b/>
          <w:bCs/>
          <w:lang w:val="es-ES"/>
        </w:rPr>
        <w:t>674 (CMR-23)</w:t>
      </w:r>
      <w:r>
        <w:rPr>
          <w:lang w:val="es-ES"/>
        </w:rPr>
        <w:t>;</w:t>
      </w:r>
    </w:p>
    <w:p w14:paraId="3D19CCA0" w14:textId="03B80B40" w:rsidR="001353C6" w:rsidRPr="00401E6A" w:rsidRDefault="001353C6" w:rsidP="001353C6">
      <w:pPr>
        <w:rPr>
          <w:lang w:val="es-ES"/>
        </w:rPr>
      </w:pPr>
      <w:r w:rsidRPr="00401E6A">
        <w:rPr>
          <w:lang w:val="es-ES"/>
        </w:rPr>
        <w:t>2</w:t>
      </w:r>
      <w:r w:rsidRPr="00401E6A">
        <w:rPr>
          <w:lang w:val="es-ES"/>
        </w:rPr>
        <w:tab/>
        <w:t>examinar las Recomendaciones revisadas del Sector de Radiocomunicaciones de la</w:t>
      </w:r>
      <w:r>
        <w:rPr>
          <w:lang w:val="es-ES"/>
        </w:rPr>
        <w:t> </w:t>
      </w:r>
      <w:r w:rsidRPr="00401E6A">
        <w:rPr>
          <w:lang w:val="es-ES"/>
        </w:rPr>
        <w:t xml:space="preserve">UIT incorporadas por referencia al Reglamento de Radiocomunicaciones comunicadas por la Asamblea de Radiocomunicaciones de conformidad con el </w:t>
      </w:r>
      <w:r w:rsidRPr="00401E6A">
        <w:rPr>
          <w:i/>
          <w:iCs/>
          <w:lang w:val="es-ES"/>
        </w:rPr>
        <w:t>resuelve además</w:t>
      </w:r>
      <w:r w:rsidRPr="00401E6A">
        <w:rPr>
          <w:lang w:val="es-ES"/>
        </w:rPr>
        <w:t xml:space="preserve"> de la Resolución</w:t>
      </w:r>
      <w:r>
        <w:rPr>
          <w:lang w:val="es-ES"/>
        </w:rPr>
        <w:t> </w:t>
      </w:r>
      <w:r w:rsidRPr="00401E6A">
        <w:rPr>
          <w:b/>
          <w:bCs/>
          <w:lang w:val="es-ES"/>
        </w:rPr>
        <w:t>27 (Rev.CMR-19)</w:t>
      </w:r>
      <w:r w:rsidRPr="00401E6A">
        <w:rPr>
          <w:lang w:val="es-ES"/>
        </w:rPr>
        <w:t xml:space="preserve">, y decidir si se actualizan o no las referencias correspondientes en el Reglamento de Radiocomunicaciones, de conformidad con los principios contenidos en el </w:t>
      </w:r>
      <w:r w:rsidRPr="00401E6A">
        <w:rPr>
          <w:i/>
          <w:iCs/>
          <w:lang w:val="es-ES"/>
        </w:rPr>
        <w:t>resuelve</w:t>
      </w:r>
      <w:r w:rsidRPr="00401E6A">
        <w:rPr>
          <w:lang w:val="es-ES"/>
        </w:rPr>
        <w:t xml:space="preserve"> de dicha Resolución;</w:t>
      </w:r>
    </w:p>
    <w:p w14:paraId="21CBE16E" w14:textId="77777777" w:rsidR="001353C6" w:rsidRPr="00401E6A" w:rsidRDefault="001353C6" w:rsidP="001353C6">
      <w:pPr>
        <w:rPr>
          <w:lang w:val="es-ES"/>
        </w:rPr>
      </w:pPr>
      <w:r w:rsidRPr="00401E6A">
        <w:rPr>
          <w:lang w:val="es-ES"/>
        </w:rPr>
        <w:t>3</w:t>
      </w:r>
      <w:r w:rsidRPr="00401E6A">
        <w:rPr>
          <w:lang w:val="es-ES"/>
        </w:rPr>
        <w:tab/>
        <w:t>que considere los cambios y enmiendas consiguientes al Reglamento de Radiocomunicaciones que exijan las decisiones de la Conferencia;</w:t>
      </w:r>
    </w:p>
    <w:p w14:paraId="2594017E" w14:textId="77777777" w:rsidR="001353C6" w:rsidRPr="00401E6A" w:rsidRDefault="001353C6" w:rsidP="001353C6">
      <w:pPr>
        <w:rPr>
          <w:lang w:val="es-ES"/>
        </w:rPr>
      </w:pPr>
      <w:r w:rsidRPr="00401E6A">
        <w:rPr>
          <w:lang w:val="es-ES"/>
        </w:rPr>
        <w:t>4</w:t>
      </w:r>
      <w:r w:rsidRPr="00401E6A">
        <w:rPr>
          <w:lang w:val="es-ES"/>
        </w:rPr>
        <w:tab/>
        <w:t>considerar, de conformidad con la Resolución</w:t>
      </w:r>
      <w:r>
        <w:rPr>
          <w:lang w:val="es-ES"/>
        </w:rPr>
        <w:t> </w:t>
      </w:r>
      <w:r w:rsidRPr="00401E6A">
        <w:rPr>
          <w:b/>
          <w:bCs/>
          <w:lang w:val="es-ES"/>
        </w:rPr>
        <w:t>95 (Rev.CMR-19)</w:t>
      </w:r>
      <w:r w:rsidRPr="00401E6A">
        <w:rPr>
          <w:lang w:val="es-ES"/>
        </w:rPr>
        <w:t>, las Resoluciones y Recomendaciones de las Conferencias anteriores para su posible revisión, sustitución o supresión;</w:t>
      </w:r>
    </w:p>
    <w:p w14:paraId="3A0A1205" w14:textId="77777777" w:rsidR="001353C6" w:rsidRPr="00401E6A" w:rsidRDefault="001353C6" w:rsidP="001353C6">
      <w:pPr>
        <w:rPr>
          <w:lang w:val="es-ES"/>
        </w:rPr>
      </w:pPr>
      <w:r w:rsidRPr="00401E6A">
        <w:rPr>
          <w:lang w:val="es-ES"/>
        </w:rPr>
        <w:t>5</w:t>
      </w:r>
      <w:r w:rsidRPr="00401E6A">
        <w:rPr>
          <w:lang w:val="es-ES"/>
        </w:rPr>
        <w:tab/>
        <w:t>que examine el Informe de la Asamblea de Radiocomunicaciones presentado de acuerdo con los números</w:t>
      </w:r>
      <w:r>
        <w:rPr>
          <w:lang w:val="es-ES"/>
        </w:rPr>
        <w:t> </w:t>
      </w:r>
      <w:r w:rsidRPr="00401E6A">
        <w:rPr>
          <w:lang w:val="es-ES"/>
        </w:rPr>
        <w:t>135 y 136 del Convenio de la UIT y tome las medidas adecuadas al respecto;</w:t>
      </w:r>
    </w:p>
    <w:p w14:paraId="2F621C17" w14:textId="77777777" w:rsidR="001353C6" w:rsidRPr="00401E6A" w:rsidRDefault="001353C6" w:rsidP="001353C6">
      <w:pPr>
        <w:rPr>
          <w:lang w:val="es-ES"/>
        </w:rPr>
      </w:pPr>
      <w:r w:rsidRPr="00401E6A">
        <w:rPr>
          <w:lang w:val="es-ES"/>
        </w:rPr>
        <w:t>6</w:t>
      </w:r>
      <w:r w:rsidRPr="00401E6A">
        <w:rPr>
          <w:lang w:val="es-ES"/>
        </w:rPr>
        <w:tab/>
        <w:t>identificar los temas que exigen la intervención inmediata de las Comisiones de Estudio de Radiocomunicaciones para la preparación de la próxima Conferencia Mundial de Radiocomunicaciones;</w:t>
      </w:r>
    </w:p>
    <w:p w14:paraId="61DC62C3" w14:textId="46944442" w:rsidR="001353C6" w:rsidRPr="00401E6A" w:rsidRDefault="001353C6" w:rsidP="001353C6">
      <w:pPr>
        <w:rPr>
          <w:lang w:val="es-ES"/>
        </w:rPr>
      </w:pPr>
      <w:r w:rsidRPr="00401E6A">
        <w:rPr>
          <w:lang w:val="es-ES"/>
        </w:rPr>
        <w:t>7</w:t>
      </w:r>
      <w:r w:rsidRPr="00401E6A">
        <w:rPr>
          <w:lang w:val="es-ES"/>
        </w:rPr>
        <w:tab/>
        <w:t>considerar posibles cambios en respuesta a la Resolución</w:t>
      </w:r>
      <w:r>
        <w:rPr>
          <w:lang w:val="es-ES"/>
        </w:rPr>
        <w:t> </w:t>
      </w:r>
      <w:r w:rsidRPr="00401E6A">
        <w:rPr>
          <w:lang w:val="es-ES"/>
        </w:rPr>
        <w:t>86 (Rev.</w:t>
      </w:r>
      <w:r>
        <w:rPr>
          <w:lang w:val="es-ES"/>
        </w:rPr>
        <w:t> </w:t>
      </w:r>
      <w:r w:rsidRPr="00401E6A">
        <w:rPr>
          <w:lang w:val="es-ES"/>
        </w:rPr>
        <w:t>Marrakech,</w:t>
      </w:r>
      <w:r>
        <w:rPr>
          <w:lang w:val="es-ES"/>
        </w:rPr>
        <w:t> </w:t>
      </w:r>
      <w:r w:rsidRPr="00401E6A">
        <w:rPr>
          <w:lang w:val="es-ES"/>
        </w:rPr>
        <w:t>2002) de la Conferencia de Plenipotenciarios sobre procedimientos de publicación anticipada, de coordinación, de notificación y de inscripción de asignaciones de frecuencias de redes de satélite, de conformidad con la Resolución</w:t>
      </w:r>
      <w:r>
        <w:rPr>
          <w:lang w:val="es-ES"/>
        </w:rPr>
        <w:t> </w:t>
      </w:r>
      <w:r w:rsidRPr="00401E6A">
        <w:rPr>
          <w:b/>
          <w:bCs/>
          <w:lang w:val="es-ES"/>
        </w:rPr>
        <w:t>86 (Rev.CMR-07)</w:t>
      </w:r>
      <w:r w:rsidRPr="00401E6A">
        <w:rPr>
          <w:lang w:val="es-ES"/>
        </w:rPr>
        <w:t>, a fin de facilitar la utilización racional, eficiente y económica de las frecuencias radioeléctricas y cualquier órbita asociada, incluida la órbita de los satélites geoestacionarios;</w:t>
      </w:r>
    </w:p>
    <w:p w14:paraId="5EC5CCD2" w14:textId="410B5FAF" w:rsidR="001353C6" w:rsidRPr="00401E6A" w:rsidRDefault="001353C6" w:rsidP="001353C6">
      <w:pPr>
        <w:rPr>
          <w:lang w:val="es-ES"/>
        </w:rPr>
      </w:pPr>
      <w:r w:rsidRPr="00401E6A">
        <w:rPr>
          <w:lang w:val="es-ES"/>
        </w:rPr>
        <w:t>8</w:t>
      </w:r>
      <w:r w:rsidRPr="00401E6A">
        <w:rPr>
          <w:lang w:val="es-ES"/>
        </w:rPr>
        <w:tab/>
        <w:t>examinar las peticiones de las administraciones de suprimir las notas de sus países o de que se suprima el nombre de sus países de las notas, si ya no es necesario, teniendo en cuenta la Resolución</w:t>
      </w:r>
      <w:r>
        <w:rPr>
          <w:lang w:val="es-ES"/>
        </w:rPr>
        <w:t> </w:t>
      </w:r>
      <w:r w:rsidRPr="00401E6A">
        <w:rPr>
          <w:b/>
          <w:bCs/>
          <w:lang w:val="es-ES"/>
        </w:rPr>
        <w:t>26 (Rev.CMR-23)</w:t>
      </w:r>
      <w:r w:rsidRPr="00401E6A">
        <w:rPr>
          <w:lang w:val="es-ES"/>
        </w:rPr>
        <w:t>, y adoptar las medidas oportunas al respecto;</w:t>
      </w:r>
    </w:p>
    <w:p w14:paraId="654F8966" w14:textId="77777777" w:rsidR="001353C6" w:rsidRPr="00401E6A" w:rsidRDefault="001353C6" w:rsidP="001353C6">
      <w:pPr>
        <w:rPr>
          <w:lang w:val="es-ES"/>
        </w:rPr>
      </w:pPr>
      <w:r w:rsidRPr="00401E6A">
        <w:rPr>
          <w:lang w:val="es-ES"/>
        </w:rPr>
        <w:t>9</w:t>
      </w:r>
      <w:r w:rsidRPr="00401E6A">
        <w:rPr>
          <w:lang w:val="es-ES"/>
        </w:rPr>
        <w:tab/>
        <w:t>examinar y aprobar el Informe del Director de la Oficina de Radiocomunicaciones, de conformidad con el Artículo</w:t>
      </w:r>
      <w:r>
        <w:rPr>
          <w:lang w:val="es-ES"/>
        </w:rPr>
        <w:t> </w:t>
      </w:r>
      <w:r w:rsidRPr="00401E6A">
        <w:rPr>
          <w:lang w:val="es-ES"/>
        </w:rPr>
        <w:t>7 del Convenio de la UIT:</w:t>
      </w:r>
    </w:p>
    <w:p w14:paraId="37570A96" w14:textId="77777777" w:rsidR="001353C6" w:rsidRPr="00401E6A" w:rsidRDefault="001353C6" w:rsidP="001353C6">
      <w:pPr>
        <w:rPr>
          <w:lang w:val="es-ES"/>
        </w:rPr>
      </w:pPr>
      <w:r w:rsidRPr="00401E6A">
        <w:rPr>
          <w:lang w:val="es-ES"/>
        </w:rPr>
        <w:t>9.1</w:t>
      </w:r>
      <w:r w:rsidRPr="00401E6A">
        <w:rPr>
          <w:lang w:val="es-ES"/>
        </w:rPr>
        <w:tab/>
        <w:t>sobre las actividades del Sector de Radiocomunicaciones desde la CMR</w:t>
      </w:r>
      <w:r>
        <w:rPr>
          <w:lang w:val="es-ES"/>
        </w:rPr>
        <w:noBreakHyphen/>
      </w:r>
      <w:r w:rsidRPr="00401E6A">
        <w:rPr>
          <w:lang w:val="es-ES"/>
        </w:rPr>
        <w:t>23</w:t>
      </w:r>
      <w:r>
        <w:rPr>
          <w:rStyle w:val="FootnoteReference"/>
          <w:lang w:val="es-ES"/>
        </w:rPr>
        <w:footnoteReference w:customMarkFollows="1" w:id="1"/>
        <w:t>1</w:t>
      </w:r>
      <w:r>
        <w:rPr>
          <w:lang w:val="es-ES"/>
        </w:rPr>
        <w:t>;</w:t>
      </w:r>
    </w:p>
    <w:p w14:paraId="213DF1FD" w14:textId="77777777" w:rsidR="001353C6" w:rsidRPr="00401E6A" w:rsidRDefault="001353C6" w:rsidP="001353C6">
      <w:pPr>
        <w:rPr>
          <w:lang w:val="es-ES"/>
        </w:rPr>
      </w:pPr>
      <w:r w:rsidRPr="00401E6A">
        <w:rPr>
          <w:lang w:val="es-ES"/>
        </w:rPr>
        <w:lastRenderedPageBreak/>
        <w:t>9.2</w:t>
      </w:r>
      <w:r w:rsidRPr="00401E6A">
        <w:rPr>
          <w:lang w:val="es-ES"/>
        </w:rPr>
        <w:tab/>
        <w:t>sobre las dificultades o incoherencias observadas en la aplicación del Reglamento de Radiocomunicaciones</w:t>
      </w:r>
      <w:r>
        <w:rPr>
          <w:rStyle w:val="FootnoteReference"/>
          <w:lang w:val="es-ES"/>
        </w:rPr>
        <w:footnoteReference w:customMarkFollows="1" w:id="2"/>
        <w:t>2</w:t>
      </w:r>
      <w:r>
        <w:rPr>
          <w:lang w:val="es-ES"/>
        </w:rPr>
        <w:t xml:space="preserve">; </w:t>
      </w:r>
      <w:r w:rsidRPr="00401E6A">
        <w:rPr>
          <w:lang w:val="es-ES"/>
        </w:rPr>
        <w:t>y</w:t>
      </w:r>
    </w:p>
    <w:p w14:paraId="6079340D" w14:textId="35EDF6B5" w:rsidR="001353C6" w:rsidRPr="00401E6A" w:rsidRDefault="001353C6" w:rsidP="001353C6">
      <w:pPr>
        <w:rPr>
          <w:lang w:val="es-ES"/>
        </w:rPr>
      </w:pPr>
      <w:r w:rsidRPr="00401E6A">
        <w:rPr>
          <w:lang w:val="es-ES"/>
        </w:rPr>
        <w:t>9.3</w:t>
      </w:r>
      <w:r w:rsidRPr="00401E6A">
        <w:rPr>
          <w:lang w:val="es-ES"/>
        </w:rPr>
        <w:tab/>
        <w:t>sobre las medidas adoptadas en respuesta a la Resolución</w:t>
      </w:r>
      <w:r>
        <w:rPr>
          <w:lang w:val="es-ES"/>
        </w:rPr>
        <w:t> </w:t>
      </w:r>
      <w:r w:rsidRPr="00401E6A">
        <w:rPr>
          <w:b/>
          <w:bCs/>
          <w:lang w:val="es-ES"/>
        </w:rPr>
        <w:t>80 (Rev.</w:t>
      </w:r>
      <w:r w:rsidR="007841BA">
        <w:rPr>
          <w:b/>
          <w:bCs/>
          <w:lang w:val="es-ES"/>
        </w:rPr>
        <w:t xml:space="preserve"> </w:t>
      </w:r>
      <w:r w:rsidRPr="00401E6A">
        <w:rPr>
          <w:b/>
          <w:bCs/>
          <w:lang w:val="es-ES"/>
        </w:rPr>
        <w:t>CMR-07)</w:t>
      </w:r>
      <w:r w:rsidRPr="00401E6A">
        <w:rPr>
          <w:lang w:val="es-ES"/>
        </w:rPr>
        <w:t>;</w:t>
      </w:r>
    </w:p>
    <w:p w14:paraId="24CEB8F5" w14:textId="28AAE135" w:rsidR="001353C6" w:rsidRPr="00401E6A" w:rsidRDefault="001353C6" w:rsidP="001353C6">
      <w:pPr>
        <w:rPr>
          <w:iCs/>
          <w:lang w:val="es-ES"/>
        </w:rPr>
      </w:pPr>
      <w:r w:rsidRPr="00401E6A">
        <w:rPr>
          <w:lang w:val="es-ES"/>
        </w:rPr>
        <w:t>10</w:t>
      </w:r>
      <w:r w:rsidRPr="00401E6A">
        <w:rPr>
          <w:lang w:val="es-ES"/>
        </w:rPr>
        <w:tab/>
        <w:t>recomendar al Consejo los puntos que han de incluirse en el orden del día de la próxima CMR, así como los puntos del orden del día preliminar de futuras Conferencias, teniendo en cuenta el Artículo</w:t>
      </w:r>
      <w:r>
        <w:rPr>
          <w:lang w:val="es-ES"/>
        </w:rPr>
        <w:t> </w:t>
      </w:r>
      <w:r w:rsidRPr="00401E6A">
        <w:rPr>
          <w:lang w:val="es-ES"/>
        </w:rPr>
        <w:t>7 del Convenio de la UIT y la Resolución</w:t>
      </w:r>
      <w:r>
        <w:rPr>
          <w:lang w:val="es-ES"/>
        </w:rPr>
        <w:t> </w:t>
      </w:r>
      <w:r w:rsidRPr="00401E6A">
        <w:rPr>
          <w:b/>
          <w:bCs/>
          <w:lang w:val="es-ES"/>
        </w:rPr>
        <w:t>804 (Rev.</w:t>
      </w:r>
      <w:r w:rsidR="00720119">
        <w:rPr>
          <w:b/>
          <w:bCs/>
          <w:lang w:val="es-ES"/>
        </w:rPr>
        <w:t xml:space="preserve"> </w:t>
      </w:r>
      <w:r w:rsidRPr="00401E6A">
        <w:rPr>
          <w:b/>
          <w:bCs/>
          <w:lang w:val="es-ES"/>
        </w:rPr>
        <w:t>CMR-23)</w:t>
      </w:r>
      <w:r w:rsidRPr="00401E6A">
        <w:rPr>
          <w:lang w:val="es-ES"/>
        </w:rPr>
        <w:t>,</w:t>
      </w:r>
    </w:p>
    <w:p w14:paraId="299A4780" w14:textId="77777777" w:rsidR="001353C6" w:rsidRPr="00401E6A" w:rsidRDefault="001353C6" w:rsidP="001353C6">
      <w:pPr>
        <w:pStyle w:val="Call"/>
        <w:rPr>
          <w:lang w:val="es-ES"/>
        </w:rPr>
      </w:pPr>
      <w:proofErr w:type="gramStart"/>
      <w:r w:rsidRPr="00401E6A">
        <w:rPr>
          <w:lang w:val="es-ES"/>
        </w:rPr>
        <w:t>resuelve</w:t>
      </w:r>
      <w:proofErr w:type="gramEnd"/>
      <w:r w:rsidRPr="00401E6A">
        <w:rPr>
          <w:lang w:val="es-ES"/>
        </w:rPr>
        <w:t xml:space="preserve"> además</w:t>
      </w:r>
    </w:p>
    <w:p w14:paraId="1EB5D1B1" w14:textId="77777777" w:rsidR="001353C6" w:rsidRPr="00401E6A" w:rsidRDefault="001353C6" w:rsidP="001353C6">
      <w:pPr>
        <w:rPr>
          <w:lang w:val="es-ES"/>
        </w:rPr>
      </w:pPr>
      <w:r w:rsidRPr="00401E6A">
        <w:rPr>
          <w:lang w:val="es-ES"/>
        </w:rPr>
        <w:t>convocar la Reunión Preparatoria de la Conferencia (RPC),</w:t>
      </w:r>
    </w:p>
    <w:p w14:paraId="403A451F" w14:textId="77777777" w:rsidR="001353C6" w:rsidRPr="00401E6A" w:rsidRDefault="001353C6" w:rsidP="001353C6">
      <w:pPr>
        <w:pStyle w:val="Call"/>
        <w:rPr>
          <w:lang w:val="es-ES"/>
        </w:rPr>
      </w:pPr>
      <w:r w:rsidRPr="00401E6A">
        <w:rPr>
          <w:lang w:val="es-ES"/>
        </w:rPr>
        <w:t>invita al Consejo de la UIT</w:t>
      </w:r>
    </w:p>
    <w:p w14:paraId="167A9D97" w14:textId="77777777" w:rsidR="001353C6" w:rsidRPr="00401E6A" w:rsidRDefault="001353C6" w:rsidP="001353C6">
      <w:pPr>
        <w:rPr>
          <w:lang w:val="es-ES"/>
        </w:rPr>
      </w:pPr>
      <w:r w:rsidRPr="00401E6A">
        <w:rPr>
          <w:lang w:val="es-ES"/>
        </w:rPr>
        <w:t>a que ultime el orden del día y tome las disposiciones necesarias para convocar la CMR-27, y a que inicie a la mayor brevedad posible las consultas necesarias con los Estados Miembros,</w:t>
      </w:r>
    </w:p>
    <w:p w14:paraId="78FC6FD6" w14:textId="77777777" w:rsidR="001353C6" w:rsidRPr="00401E6A" w:rsidRDefault="001353C6" w:rsidP="001353C6">
      <w:pPr>
        <w:pStyle w:val="Call"/>
        <w:rPr>
          <w:lang w:val="es-ES"/>
        </w:rPr>
      </w:pPr>
      <w:r w:rsidRPr="00401E6A">
        <w:rPr>
          <w:lang w:val="es-ES"/>
        </w:rPr>
        <w:t>encarga al Director de la Oficina de Radiocomunicaciones</w:t>
      </w:r>
    </w:p>
    <w:p w14:paraId="075B579C" w14:textId="77777777" w:rsidR="001353C6" w:rsidRPr="00401E6A" w:rsidRDefault="001353C6" w:rsidP="001353C6">
      <w:pPr>
        <w:rPr>
          <w:lang w:val="es-ES"/>
        </w:rPr>
      </w:pPr>
      <w:r w:rsidRPr="00401E6A">
        <w:rPr>
          <w:lang w:val="es-ES"/>
        </w:rPr>
        <w:t>1</w:t>
      </w:r>
      <w:r w:rsidRPr="00401E6A">
        <w:rPr>
          <w:lang w:val="es-ES"/>
        </w:rPr>
        <w:tab/>
        <w:t>que tome las medidas necesarias para convocar las sesiones de la RPC y elabore un informe a la CMR</w:t>
      </w:r>
      <w:r>
        <w:rPr>
          <w:lang w:val="es-ES"/>
        </w:rPr>
        <w:noBreakHyphen/>
      </w:r>
      <w:r w:rsidRPr="00401E6A">
        <w:rPr>
          <w:lang w:val="es-ES"/>
        </w:rPr>
        <w:t>27;</w:t>
      </w:r>
    </w:p>
    <w:p w14:paraId="563CC0AE" w14:textId="77777777" w:rsidR="001353C6" w:rsidRPr="00401E6A" w:rsidRDefault="001353C6" w:rsidP="001353C6">
      <w:pPr>
        <w:rPr>
          <w:lang w:val="es-ES"/>
        </w:rPr>
      </w:pPr>
      <w:r w:rsidRPr="00401E6A">
        <w:rPr>
          <w:lang w:val="es-ES"/>
        </w:rPr>
        <w:t>2</w:t>
      </w:r>
      <w:r w:rsidRPr="00401E6A">
        <w:rPr>
          <w:lang w:val="es-ES"/>
        </w:rPr>
        <w:tab/>
        <w:t>que presente a la segunda sesión de la RPC un proyecto de Informe sobre dificultades o incoherencias observadas en la aplicación del Reglamento de Radiocomunicaciones relativas al punto</w:t>
      </w:r>
      <w:r>
        <w:rPr>
          <w:lang w:val="es-ES"/>
        </w:rPr>
        <w:t> </w:t>
      </w:r>
      <w:r w:rsidRPr="00401E6A">
        <w:rPr>
          <w:lang w:val="es-ES"/>
        </w:rPr>
        <w:t>9.2 del orden del día y que presente el Informe final al menos cinco meses antes de la próxima CMR,</w:t>
      </w:r>
    </w:p>
    <w:p w14:paraId="73B8B836" w14:textId="77777777" w:rsidR="001353C6" w:rsidRPr="00401E6A" w:rsidRDefault="001353C6" w:rsidP="001353C6">
      <w:pPr>
        <w:pStyle w:val="Call"/>
        <w:rPr>
          <w:lang w:val="es-ES"/>
        </w:rPr>
      </w:pPr>
      <w:r w:rsidRPr="00401E6A">
        <w:rPr>
          <w:lang w:val="es-ES"/>
        </w:rPr>
        <w:t>encarga a la Secretaria General</w:t>
      </w:r>
    </w:p>
    <w:p w14:paraId="107FEA21" w14:textId="77777777" w:rsidR="001353C6" w:rsidRPr="00401E6A" w:rsidRDefault="001353C6" w:rsidP="001353C6">
      <w:pPr>
        <w:rPr>
          <w:lang w:val="es-ES"/>
        </w:rPr>
      </w:pPr>
      <w:r w:rsidRPr="00401E6A">
        <w:rPr>
          <w:lang w:val="es-ES"/>
        </w:rPr>
        <w:t>que comunique la presente Resolución a las organizaciones internaciones y regionales interesadas.</w:t>
      </w:r>
    </w:p>
    <w:p w14:paraId="1645A6DE" w14:textId="77777777" w:rsidR="001353C6" w:rsidRPr="00401E6A" w:rsidRDefault="001353C6" w:rsidP="001353C6">
      <w:pPr>
        <w:rPr>
          <w:lang w:val="es-ES"/>
        </w:rPr>
      </w:pPr>
      <w:r w:rsidRPr="00401E6A">
        <w:rPr>
          <w:lang w:val="es-ES"/>
        </w:rPr>
        <w:br w:type="page"/>
      </w:r>
    </w:p>
    <w:p w14:paraId="091F52F1" w14:textId="77777777" w:rsidR="001353C6" w:rsidRPr="00401E6A" w:rsidRDefault="001353C6" w:rsidP="001353C6">
      <w:pPr>
        <w:pStyle w:val="AnnexNo"/>
        <w:rPr>
          <w:lang w:val="es-ES"/>
        </w:rPr>
      </w:pPr>
      <w:r w:rsidRPr="00401E6A">
        <w:rPr>
          <w:lang w:val="es-ES"/>
        </w:rPr>
        <w:lastRenderedPageBreak/>
        <w:t>Anexo B</w:t>
      </w:r>
    </w:p>
    <w:p w14:paraId="11BD952F" w14:textId="77777777" w:rsidR="001353C6" w:rsidRPr="00401E6A" w:rsidRDefault="001353C6" w:rsidP="001353C6">
      <w:pPr>
        <w:pStyle w:val="ResNo"/>
        <w:rPr>
          <w:lang w:val="es-ES"/>
        </w:rPr>
      </w:pPr>
      <w:r w:rsidRPr="00401E6A">
        <w:rPr>
          <w:lang w:val="es-ES"/>
        </w:rPr>
        <w:t>PROYECTO DE NUEVA RESOLUCIÓN […]</w:t>
      </w:r>
    </w:p>
    <w:p w14:paraId="3110F74E" w14:textId="77777777" w:rsidR="001353C6" w:rsidRPr="00401E6A" w:rsidRDefault="001353C6" w:rsidP="001353C6">
      <w:pPr>
        <w:pStyle w:val="Restitle"/>
        <w:rPr>
          <w:lang w:val="es-ES"/>
        </w:rPr>
      </w:pPr>
      <w:r w:rsidRPr="00401E6A">
        <w:rPr>
          <w:lang w:val="es-ES"/>
        </w:rPr>
        <w:t>Orden del día de la Conferencia Mundial de Radiocomunicaciones de 2027</w:t>
      </w:r>
      <w:r>
        <w:rPr>
          <w:lang w:val="es-ES"/>
        </w:rPr>
        <w:br/>
      </w:r>
      <w:r w:rsidRPr="00401E6A">
        <w:rPr>
          <w:lang w:val="es-ES"/>
        </w:rPr>
        <w:t>(CMR-27)</w:t>
      </w:r>
    </w:p>
    <w:p w14:paraId="72EC2CE5" w14:textId="77777777" w:rsidR="001353C6" w:rsidRPr="00401E6A" w:rsidRDefault="001353C6" w:rsidP="001353C6">
      <w:pPr>
        <w:pStyle w:val="Normalaftertitle"/>
        <w:rPr>
          <w:lang w:val="es-ES"/>
        </w:rPr>
      </w:pPr>
      <w:r w:rsidRPr="00401E6A">
        <w:rPr>
          <w:lang w:val="es-ES"/>
        </w:rPr>
        <w:t>El Consejo de la UIT,</w:t>
      </w:r>
    </w:p>
    <w:p w14:paraId="69834AEB" w14:textId="77777777" w:rsidR="001353C6" w:rsidRPr="00401E6A" w:rsidRDefault="001353C6" w:rsidP="001353C6">
      <w:pPr>
        <w:pStyle w:val="Call"/>
        <w:rPr>
          <w:lang w:val="es-ES"/>
        </w:rPr>
      </w:pPr>
      <w:r w:rsidRPr="00401E6A">
        <w:rPr>
          <w:lang w:val="es-ES"/>
        </w:rPr>
        <w:t>observando</w:t>
      </w:r>
    </w:p>
    <w:p w14:paraId="6CDE11C7" w14:textId="77777777" w:rsidR="001353C6" w:rsidRPr="00401E6A" w:rsidRDefault="001353C6" w:rsidP="001353C6">
      <w:pPr>
        <w:rPr>
          <w:lang w:val="es-ES"/>
        </w:rPr>
      </w:pPr>
      <w:r w:rsidRPr="00401E6A">
        <w:rPr>
          <w:lang w:val="es-ES"/>
        </w:rPr>
        <w:t>que en la Resolución</w:t>
      </w:r>
      <w:r>
        <w:rPr>
          <w:lang w:val="es-ES"/>
        </w:rPr>
        <w:t> </w:t>
      </w:r>
      <w:r w:rsidRPr="00401E6A">
        <w:rPr>
          <w:lang w:val="es-ES"/>
        </w:rPr>
        <w:t>813 de la Conferencia Mundial de Radiocomunicaciones (Dubái, 2023):</w:t>
      </w:r>
    </w:p>
    <w:p w14:paraId="1E5CFB87" w14:textId="77777777" w:rsidR="001353C6" w:rsidRPr="00401E6A" w:rsidRDefault="001353C6" w:rsidP="001353C6">
      <w:pPr>
        <w:rPr>
          <w:lang w:val="es-ES"/>
        </w:rPr>
      </w:pPr>
      <w:r w:rsidRPr="00401E6A">
        <w:rPr>
          <w:i/>
          <w:iCs/>
          <w:lang w:val="es-ES"/>
        </w:rPr>
        <w:t>a)</w:t>
      </w:r>
      <w:r w:rsidRPr="00401E6A">
        <w:rPr>
          <w:lang w:val="es-ES"/>
        </w:rPr>
        <w:tab/>
        <w:t>se resuelve recomendar al Consejo la celebración de una Conferencia Mundial de Radiocomunicaciones en 2027 con una duración máxima de cuatro semanas;</w:t>
      </w:r>
    </w:p>
    <w:p w14:paraId="702A23CF" w14:textId="77777777" w:rsidR="001353C6" w:rsidRPr="00401E6A" w:rsidRDefault="001353C6" w:rsidP="001353C6">
      <w:pPr>
        <w:rPr>
          <w:lang w:val="es-ES"/>
        </w:rPr>
      </w:pPr>
      <w:r w:rsidRPr="00401E6A">
        <w:rPr>
          <w:i/>
          <w:iCs/>
          <w:lang w:val="es-ES"/>
        </w:rPr>
        <w:t>b)</w:t>
      </w:r>
      <w:r w:rsidRPr="00401E6A">
        <w:rPr>
          <w:lang w:val="es-ES"/>
        </w:rPr>
        <w:tab/>
        <w:t>recomienda su orden del día e invita al Consejo a ultimarlo y a tomar las disposiciones necesarias para convocar la CMR</w:t>
      </w:r>
      <w:r>
        <w:rPr>
          <w:lang w:val="es-ES"/>
        </w:rPr>
        <w:noBreakHyphen/>
      </w:r>
      <w:r w:rsidRPr="00401E6A">
        <w:rPr>
          <w:lang w:val="es-ES"/>
        </w:rPr>
        <w:t>27 y a iniciar lo antes posible las consultas necesarias con los Estados Miembros,</w:t>
      </w:r>
    </w:p>
    <w:p w14:paraId="1BACBE21" w14:textId="77777777" w:rsidR="001353C6" w:rsidRPr="00401E6A" w:rsidRDefault="001353C6" w:rsidP="001353C6">
      <w:pPr>
        <w:pStyle w:val="Call"/>
        <w:rPr>
          <w:lang w:val="es-ES"/>
        </w:rPr>
      </w:pPr>
      <w:r w:rsidRPr="00401E6A">
        <w:rPr>
          <w:lang w:val="es-ES"/>
        </w:rPr>
        <w:t>resuelve</w:t>
      </w:r>
    </w:p>
    <w:p w14:paraId="4D06AA44" w14:textId="77777777" w:rsidR="001353C6" w:rsidRPr="00401E6A" w:rsidRDefault="001353C6" w:rsidP="001353C6">
      <w:pPr>
        <w:rPr>
          <w:lang w:val="es-ES"/>
        </w:rPr>
      </w:pPr>
      <w:r w:rsidRPr="00401E6A">
        <w:rPr>
          <w:lang w:val="es-ES"/>
        </w:rPr>
        <w:t>convocar una Conferencia Mundial de Radiocomunicaciones (CMR</w:t>
      </w:r>
      <w:r>
        <w:rPr>
          <w:lang w:val="es-ES"/>
        </w:rPr>
        <w:noBreakHyphen/>
      </w:r>
      <w:r w:rsidRPr="00401E6A">
        <w:rPr>
          <w:lang w:val="es-ES"/>
        </w:rPr>
        <w:t>27) en 2027, precedida por la Asamblea de Radiocomunicaciones, con el siguiente orden del día:</w:t>
      </w:r>
    </w:p>
    <w:p w14:paraId="13BEC7F9" w14:textId="77777777" w:rsidR="001353C6" w:rsidRPr="00401E6A" w:rsidRDefault="001353C6" w:rsidP="001353C6">
      <w:pPr>
        <w:rPr>
          <w:lang w:val="es-ES"/>
        </w:rPr>
      </w:pPr>
      <w:r w:rsidRPr="00401E6A">
        <w:rPr>
          <w:lang w:val="es-ES"/>
        </w:rPr>
        <w:t>1</w:t>
      </w:r>
      <w:r w:rsidRPr="00401E6A">
        <w:rPr>
          <w:lang w:val="es-ES"/>
        </w:rPr>
        <w:tab/>
        <w:t>sobre la base de las propuestas de las administraciones, teniendo en cuenta los resultados de la CMR</w:t>
      </w:r>
      <w:r>
        <w:rPr>
          <w:lang w:val="es-ES"/>
        </w:rPr>
        <w:noBreakHyphen/>
      </w:r>
      <w:r w:rsidRPr="00401E6A">
        <w:rPr>
          <w:lang w:val="es-ES"/>
        </w:rPr>
        <w:t>23 y el Informe de la Reunión Preparatoria de la Conferencia, y teniendo debidamente en cuenta las necesidades de los servicios existentes y futuros en las bandas de frecuencias consideradas, considerar y tomar las medidas oportunas con respecto a los temas siguientes:</w:t>
      </w:r>
    </w:p>
    <w:p w14:paraId="190A6A0F" w14:textId="6C628FE4" w:rsidR="001353C6" w:rsidRPr="00401E6A" w:rsidRDefault="001353C6" w:rsidP="001353C6">
      <w:pPr>
        <w:rPr>
          <w:lang w:val="es-ES"/>
        </w:rPr>
      </w:pPr>
      <w:r w:rsidRPr="00401E6A">
        <w:rPr>
          <w:lang w:val="es-ES"/>
        </w:rPr>
        <w:t>1.1</w:t>
      </w:r>
      <w:r w:rsidRPr="00401E6A">
        <w:rPr>
          <w:lang w:val="es-ES"/>
        </w:rPr>
        <w:tab/>
        <w:t>considerar las condiciones técnicas y operativas para la utilización de las bandas de frecuencias 47,2</w:t>
      </w:r>
      <w:r>
        <w:rPr>
          <w:lang w:val="es-ES"/>
        </w:rPr>
        <w:noBreakHyphen/>
      </w:r>
      <w:r w:rsidRPr="00401E6A">
        <w:rPr>
          <w:lang w:val="es-ES"/>
        </w:rPr>
        <w:t>50,2</w:t>
      </w:r>
      <w:r>
        <w:rPr>
          <w:lang w:val="es-ES"/>
        </w:rPr>
        <w:t> </w:t>
      </w:r>
      <w:r w:rsidRPr="00401E6A">
        <w:rPr>
          <w:lang w:val="es-ES"/>
        </w:rPr>
        <w:t>GHz y 50,4</w:t>
      </w:r>
      <w:r>
        <w:rPr>
          <w:lang w:val="es-ES"/>
        </w:rPr>
        <w:noBreakHyphen/>
      </w:r>
      <w:r w:rsidRPr="00401E6A">
        <w:rPr>
          <w:lang w:val="es-ES"/>
        </w:rPr>
        <w:t>51,4</w:t>
      </w:r>
      <w:r>
        <w:rPr>
          <w:lang w:val="es-ES"/>
        </w:rPr>
        <w:t> </w:t>
      </w:r>
      <w:r w:rsidRPr="00401E6A">
        <w:rPr>
          <w:lang w:val="es-ES"/>
        </w:rPr>
        <w:t>GHz (Tierra</w:t>
      </w:r>
      <w:r>
        <w:rPr>
          <w:lang w:val="es-ES"/>
        </w:rPr>
        <w:noBreakHyphen/>
      </w:r>
      <w:r w:rsidRPr="00401E6A">
        <w:rPr>
          <w:lang w:val="es-ES"/>
        </w:rPr>
        <w:t>espacio), o partes de las mismas, por estaciones terrenas en movimiento aeronáuticas y marítimas que se comunican con estaciones espaciales del servicio fijo por satélite y elaborar medidas reglamentarias, según proceda, para facilitar la utilización de las bandas de frecuencias 47,2</w:t>
      </w:r>
      <w:r>
        <w:rPr>
          <w:lang w:val="es-ES"/>
        </w:rPr>
        <w:noBreakHyphen/>
      </w:r>
      <w:r w:rsidRPr="00401E6A">
        <w:rPr>
          <w:lang w:val="es-ES"/>
        </w:rPr>
        <w:t>50,2</w:t>
      </w:r>
      <w:r>
        <w:rPr>
          <w:lang w:val="es-ES"/>
        </w:rPr>
        <w:t> </w:t>
      </w:r>
      <w:r w:rsidRPr="00401E6A">
        <w:rPr>
          <w:lang w:val="es-ES"/>
        </w:rPr>
        <w:t>GHz y 50,4</w:t>
      </w:r>
      <w:r>
        <w:rPr>
          <w:lang w:val="es-ES"/>
        </w:rPr>
        <w:noBreakHyphen/>
      </w:r>
      <w:r w:rsidRPr="00401E6A">
        <w:rPr>
          <w:lang w:val="es-ES"/>
        </w:rPr>
        <w:t>51,4</w:t>
      </w:r>
      <w:r>
        <w:rPr>
          <w:lang w:val="es-ES"/>
        </w:rPr>
        <w:t> </w:t>
      </w:r>
      <w:r w:rsidRPr="00401E6A">
        <w:rPr>
          <w:lang w:val="es-ES"/>
        </w:rPr>
        <w:t>GHz (Tierra-espacio), o partes de las mismas, por estaciones terrenas en movimiento aeronáuticas y marítimas que se comunican con estaciones espaciales geoestacionarias y estaciones espaciales no geoestacionarias del servicio fijo por satélite, de conformidad con la Resolución</w:t>
      </w:r>
      <w:r>
        <w:rPr>
          <w:lang w:val="es-ES"/>
        </w:rPr>
        <w:t> </w:t>
      </w:r>
      <w:r w:rsidRPr="00401E6A">
        <w:rPr>
          <w:b/>
          <w:bCs/>
          <w:lang w:val="es-ES"/>
        </w:rPr>
        <w:t>176 (Rev.CMR-23)</w:t>
      </w:r>
      <w:r w:rsidRPr="00401E6A">
        <w:rPr>
          <w:lang w:val="es-ES"/>
        </w:rPr>
        <w:t>;</w:t>
      </w:r>
    </w:p>
    <w:p w14:paraId="3F9389AE" w14:textId="77777777" w:rsidR="001353C6" w:rsidRPr="00401E6A" w:rsidRDefault="001353C6" w:rsidP="001353C6">
      <w:pPr>
        <w:rPr>
          <w:lang w:val="es-ES"/>
        </w:rPr>
      </w:pPr>
      <w:r w:rsidRPr="00401E6A">
        <w:rPr>
          <w:lang w:val="es-ES"/>
        </w:rPr>
        <w:t>1.2</w:t>
      </w:r>
      <w:r w:rsidRPr="00401E6A">
        <w:rPr>
          <w:lang w:val="es-ES"/>
        </w:rPr>
        <w:tab/>
        <w:t>considerar la posible revisión de las condiciones de compartición en la banda de frecuencias 13,75</w:t>
      </w:r>
      <w:r>
        <w:rPr>
          <w:lang w:val="es-ES"/>
        </w:rPr>
        <w:noBreakHyphen/>
      </w:r>
      <w:r w:rsidRPr="00401E6A">
        <w:rPr>
          <w:lang w:val="es-ES"/>
        </w:rPr>
        <w:t>14</w:t>
      </w:r>
      <w:r>
        <w:rPr>
          <w:lang w:val="es-ES"/>
        </w:rPr>
        <w:t> </w:t>
      </w:r>
      <w:r w:rsidRPr="00401E6A">
        <w:rPr>
          <w:lang w:val="es-ES"/>
        </w:rPr>
        <w:t>GHz para permitir la utilización de estaciones terrenas de enlace ascendente del servicio fijo por satélite con antenas de menor tamaño, de conformidad con la Resolución</w:t>
      </w:r>
      <w:r>
        <w:rPr>
          <w:lang w:val="es-ES"/>
        </w:rPr>
        <w:t> </w:t>
      </w:r>
      <w:r w:rsidRPr="00401E6A">
        <w:rPr>
          <w:b/>
          <w:bCs/>
          <w:lang w:val="es-ES"/>
        </w:rPr>
        <w:t>129 (CMR-23)</w:t>
      </w:r>
      <w:r w:rsidRPr="00401E6A">
        <w:rPr>
          <w:lang w:val="es-ES"/>
        </w:rPr>
        <w:t>;</w:t>
      </w:r>
    </w:p>
    <w:p w14:paraId="1A15B5F3" w14:textId="77777777" w:rsidR="001353C6" w:rsidRPr="00401E6A" w:rsidRDefault="001353C6" w:rsidP="001353C6">
      <w:pPr>
        <w:rPr>
          <w:lang w:val="es-ES"/>
        </w:rPr>
      </w:pPr>
      <w:r w:rsidRPr="00401E6A">
        <w:rPr>
          <w:lang w:val="es-ES"/>
        </w:rPr>
        <w:t>1.3</w:t>
      </w:r>
      <w:r w:rsidRPr="00401E6A">
        <w:rPr>
          <w:lang w:val="es-ES"/>
        </w:rPr>
        <w:tab/>
        <w:t>considerar estudios sobre la utilización de la banda de frecuencias 51,4</w:t>
      </w:r>
      <w:r>
        <w:rPr>
          <w:lang w:val="es-ES"/>
        </w:rPr>
        <w:noBreakHyphen/>
      </w:r>
      <w:r w:rsidRPr="00401E6A">
        <w:rPr>
          <w:lang w:val="es-ES"/>
        </w:rPr>
        <w:t>52,4</w:t>
      </w:r>
      <w:r>
        <w:rPr>
          <w:lang w:val="es-ES"/>
        </w:rPr>
        <w:t> </w:t>
      </w:r>
      <w:r w:rsidRPr="00401E6A">
        <w:rPr>
          <w:lang w:val="es-ES"/>
        </w:rPr>
        <w:t>GHz para permitir su utilización por las estaciones terrenas de pasarela que transmitan a sistemas en la órbita de los satélites no geoestacionarios del servicio fijo por satélite (Tierra</w:t>
      </w:r>
      <w:r>
        <w:rPr>
          <w:lang w:val="es-ES"/>
        </w:rPr>
        <w:noBreakHyphen/>
      </w:r>
      <w:r w:rsidRPr="00401E6A">
        <w:rPr>
          <w:lang w:val="es-ES"/>
        </w:rPr>
        <w:t>espacio), de conformidad con la Resolución</w:t>
      </w:r>
      <w:r>
        <w:rPr>
          <w:lang w:val="es-ES"/>
        </w:rPr>
        <w:t> </w:t>
      </w:r>
      <w:r w:rsidRPr="00401E6A">
        <w:rPr>
          <w:b/>
          <w:bCs/>
          <w:lang w:val="es-ES"/>
        </w:rPr>
        <w:t>130 (CMR-23)</w:t>
      </w:r>
      <w:r w:rsidRPr="00401E6A">
        <w:rPr>
          <w:lang w:val="es-ES"/>
        </w:rPr>
        <w:t>;</w:t>
      </w:r>
    </w:p>
    <w:p w14:paraId="4DF1E7AB" w14:textId="77777777" w:rsidR="001353C6" w:rsidRPr="00401E6A" w:rsidRDefault="001353C6" w:rsidP="001353C6">
      <w:pPr>
        <w:rPr>
          <w:lang w:val="es-ES"/>
        </w:rPr>
      </w:pPr>
      <w:r w:rsidRPr="00401E6A">
        <w:rPr>
          <w:lang w:val="es-ES"/>
        </w:rPr>
        <w:lastRenderedPageBreak/>
        <w:t>1.4</w:t>
      </w:r>
      <w:r w:rsidRPr="00401E6A">
        <w:rPr>
          <w:lang w:val="es-ES"/>
        </w:rPr>
        <w:tab/>
        <w:t>considerar una posible nueva atribución a título primario al servicio fijo por satélite (espacio-Tierra) en la banda de frecuencias 17,3</w:t>
      </w:r>
      <w:r>
        <w:rPr>
          <w:lang w:val="es-ES"/>
        </w:rPr>
        <w:noBreakHyphen/>
      </w:r>
      <w:r w:rsidRPr="00401E6A">
        <w:rPr>
          <w:lang w:val="es-ES"/>
        </w:rPr>
        <w:t>17,7</w:t>
      </w:r>
      <w:r>
        <w:rPr>
          <w:lang w:val="es-ES"/>
        </w:rPr>
        <w:t> </w:t>
      </w:r>
      <w:r w:rsidRPr="00401E6A">
        <w:rPr>
          <w:lang w:val="es-ES"/>
        </w:rPr>
        <w:t>GHz y una posible nueva atribución a título primario al servicio de radiodifusión por satélite (espacio-Tierra) en la banda de frecuencias 17,3</w:t>
      </w:r>
      <w:r>
        <w:rPr>
          <w:lang w:val="es-ES"/>
        </w:rPr>
        <w:noBreakHyphen/>
      </w:r>
      <w:r w:rsidRPr="00401E6A">
        <w:rPr>
          <w:lang w:val="es-ES"/>
        </w:rPr>
        <w:t>17,8</w:t>
      </w:r>
      <w:r>
        <w:rPr>
          <w:lang w:val="es-ES"/>
        </w:rPr>
        <w:t> </w:t>
      </w:r>
      <w:r w:rsidRPr="00401E6A">
        <w:rPr>
          <w:lang w:val="es-ES"/>
        </w:rPr>
        <w:t>GHz en la Región</w:t>
      </w:r>
      <w:r>
        <w:rPr>
          <w:lang w:val="es-ES"/>
        </w:rPr>
        <w:t> </w:t>
      </w:r>
      <w:r w:rsidRPr="00401E6A">
        <w:rPr>
          <w:lang w:val="es-ES"/>
        </w:rPr>
        <w:t>3, garantizando a su vez la protección de las atribuciones existentes a título primario en la misma banda de frecuencias y en las bandas de frecuencias adyacentes, y considerar los límites de densidad de flujo de potencia equivalente que habrán de aplicarse en las Regiones</w:t>
      </w:r>
      <w:r>
        <w:rPr>
          <w:lang w:val="es-ES"/>
        </w:rPr>
        <w:t> </w:t>
      </w:r>
      <w:r w:rsidRPr="00401E6A">
        <w:rPr>
          <w:lang w:val="es-ES"/>
        </w:rPr>
        <w:t>1 y 3 a los sistemas de satélites no geoestacionarios del servicio fijo por satélite (espacio-Tierra) en la banda de frecuencias 17,3</w:t>
      </w:r>
      <w:r>
        <w:rPr>
          <w:lang w:val="es-ES"/>
        </w:rPr>
        <w:noBreakHyphen/>
      </w:r>
      <w:r w:rsidRPr="00401E6A">
        <w:rPr>
          <w:lang w:val="es-ES"/>
        </w:rPr>
        <w:t>17,7</w:t>
      </w:r>
      <w:r>
        <w:rPr>
          <w:lang w:val="es-ES"/>
        </w:rPr>
        <w:t> </w:t>
      </w:r>
      <w:r w:rsidRPr="00401E6A">
        <w:rPr>
          <w:lang w:val="es-ES"/>
        </w:rPr>
        <w:t>GHz, de conformidad con la Resolución</w:t>
      </w:r>
      <w:r>
        <w:rPr>
          <w:lang w:val="es-ES"/>
        </w:rPr>
        <w:t> </w:t>
      </w:r>
      <w:r w:rsidRPr="00401E6A">
        <w:rPr>
          <w:b/>
          <w:bCs/>
          <w:lang w:val="es-ES"/>
        </w:rPr>
        <w:t>726 (CMR</w:t>
      </w:r>
      <w:r>
        <w:rPr>
          <w:b/>
          <w:bCs/>
          <w:lang w:val="es-ES"/>
        </w:rPr>
        <w:noBreakHyphen/>
      </w:r>
      <w:r w:rsidRPr="00401E6A">
        <w:rPr>
          <w:b/>
          <w:bCs/>
          <w:lang w:val="es-ES"/>
        </w:rPr>
        <w:t>23)</w:t>
      </w:r>
      <w:r w:rsidRPr="00401E6A">
        <w:rPr>
          <w:lang w:val="es-ES"/>
        </w:rPr>
        <w:t>;</w:t>
      </w:r>
    </w:p>
    <w:p w14:paraId="54517465" w14:textId="77777777" w:rsidR="001353C6" w:rsidRPr="00401E6A" w:rsidRDefault="001353C6" w:rsidP="001353C6">
      <w:pPr>
        <w:rPr>
          <w:lang w:val="es-ES"/>
        </w:rPr>
      </w:pPr>
      <w:r w:rsidRPr="00A97D2E">
        <w:rPr>
          <w:lang w:val="es-ES"/>
        </w:rPr>
        <w:t>1.5</w:t>
      </w:r>
      <w:r w:rsidRPr="00401E6A">
        <w:rPr>
          <w:lang w:val="es-ES"/>
        </w:rPr>
        <w:tab/>
        <w:t>considerar medidas reglamentarias y su aplicabilidad para limitar el funcionamiento no autorizado de estaciones terrenas en órbitas de satélites no geoestacionarios del servicio fijo por satélite y el servicio móvil por satélite y temas conexos relacionados con la zona de servicio de sistemas de satélites en órbitas de satélites no geoestacionarios del servicio fijo por satélite y el servicio móvil por satélite, de conformidad con la Resolución</w:t>
      </w:r>
      <w:r>
        <w:rPr>
          <w:lang w:val="es-ES"/>
        </w:rPr>
        <w:t> </w:t>
      </w:r>
      <w:r w:rsidRPr="00401E6A">
        <w:rPr>
          <w:b/>
          <w:bCs/>
          <w:lang w:val="es-ES"/>
        </w:rPr>
        <w:t>14 (CMR</w:t>
      </w:r>
      <w:r>
        <w:rPr>
          <w:b/>
          <w:bCs/>
          <w:lang w:val="es-ES"/>
        </w:rPr>
        <w:noBreakHyphen/>
      </w:r>
      <w:r w:rsidRPr="00401E6A">
        <w:rPr>
          <w:b/>
          <w:bCs/>
          <w:lang w:val="es-ES"/>
        </w:rPr>
        <w:t>23)</w:t>
      </w:r>
      <w:r w:rsidRPr="00401E6A">
        <w:rPr>
          <w:lang w:val="es-ES"/>
        </w:rPr>
        <w:t>;</w:t>
      </w:r>
    </w:p>
    <w:p w14:paraId="53EB2866" w14:textId="77777777" w:rsidR="001353C6" w:rsidRPr="00401E6A" w:rsidRDefault="001353C6" w:rsidP="001353C6">
      <w:pPr>
        <w:rPr>
          <w:lang w:val="es-ES"/>
        </w:rPr>
      </w:pPr>
      <w:r w:rsidRPr="00401E6A">
        <w:rPr>
          <w:lang w:val="es-ES"/>
        </w:rPr>
        <w:t>1.6</w:t>
      </w:r>
      <w:r w:rsidRPr="00401E6A">
        <w:rPr>
          <w:lang w:val="es-ES"/>
        </w:rPr>
        <w:tab/>
        <w:t>considerar las medidas técnicas y reglamentarias aplicables a las redes/sistemas de satélites del servicio fijo por satélite en las bandas de frecuencias 37,5</w:t>
      </w:r>
      <w:r>
        <w:rPr>
          <w:lang w:val="es-ES"/>
        </w:rPr>
        <w:noBreakHyphen/>
      </w:r>
      <w:r w:rsidRPr="00401E6A">
        <w:rPr>
          <w:lang w:val="es-ES"/>
        </w:rPr>
        <w:t>42,5</w:t>
      </w:r>
      <w:r>
        <w:rPr>
          <w:lang w:val="es-ES"/>
        </w:rPr>
        <w:t> </w:t>
      </w:r>
      <w:r w:rsidRPr="00401E6A">
        <w:rPr>
          <w:lang w:val="es-ES"/>
        </w:rPr>
        <w:t>GHz (espacio</w:t>
      </w:r>
      <w:r>
        <w:rPr>
          <w:lang w:val="es-ES"/>
        </w:rPr>
        <w:noBreakHyphen/>
      </w:r>
      <w:r w:rsidRPr="00401E6A">
        <w:rPr>
          <w:lang w:val="es-ES"/>
        </w:rPr>
        <w:t>Tierra), 42,5</w:t>
      </w:r>
      <w:r>
        <w:rPr>
          <w:lang w:val="es-ES"/>
        </w:rPr>
        <w:noBreakHyphen/>
      </w:r>
      <w:r w:rsidRPr="00401E6A">
        <w:rPr>
          <w:lang w:val="es-ES"/>
        </w:rPr>
        <w:t>43,5</w:t>
      </w:r>
      <w:r>
        <w:rPr>
          <w:lang w:val="es-ES"/>
        </w:rPr>
        <w:t> </w:t>
      </w:r>
      <w:r w:rsidRPr="00401E6A">
        <w:rPr>
          <w:lang w:val="es-ES"/>
        </w:rPr>
        <w:t>GHz (Tierra-espacio), 47,2</w:t>
      </w:r>
      <w:r>
        <w:rPr>
          <w:lang w:val="es-ES"/>
        </w:rPr>
        <w:noBreakHyphen/>
      </w:r>
      <w:r w:rsidRPr="00401E6A">
        <w:rPr>
          <w:lang w:val="es-ES"/>
        </w:rPr>
        <w:t>50,2</w:t>
      </w:r>
      <w:r>
        <w:rPr>
          <w:lang w:val="es-ES"/>
        </w:rPr>
        <w:t> </w:t>
      </w:r>
      <w:r w:rsidRPr="00401E6A">
        <w:rPr>
          <w:lang w:val="es-ES"/>
        </w:rPr>
        <w:t>GHz (Tierra-espacio) y 50,4</w:t>
      </w:r>
      <w:r>
        <w:rPr>
          <w:lang w:val="es-ES"/>
        </w:rPr>
        <w:noBreakHyphen/>
      </w:r>
      <w:r w:rsidRPr="00401E6A">
        <w:rPr>
          <w:lang w:val="es-ES"/>
        </w:rPr>
        <w:t>51,4</w:t>
      </w:r>
      <w:r>
        <w:rPr>
          <w:lang w:val="es-ES"/>
        </w:rPr>
        <w:t> </w:t>
      </w:r>
      <w:r w:rsidRPr="00401E6A">
        <w:rPr>
          <w:lang w:val="es-ES"/>
        </w:rPr>
        <w:t>GHz (Tierra</w:t>
      </w:r>
      <w:r>
        <w:rPr>
          <w:lang w:val="es-ES"/>
        </w:rPr>
        <w:noBreakHyphen/>
      </w:r>
      <w:r w:rsidRPr="00401E6A">
        <w:rPr>
          <w:lang w:val="es-ES"/>
        </w:rPr>
        <w:t>espacio) para lograr el acceso equitativo a estas bandas de frecuencias, de conformidad con la Resolución</w:t>
      </w:r>
      <w:r>
        <w:rPr>
          <w:lang w:val="es-ES"/>
        </w:rPr>
        <w:t> </w:t>
      </w:r>
      <w:r w:rsidRPr="00401E6A">
        <w:rPr>
          <w:b/>
          <w:bCs/>
          <w:lang w:val="es-ES"/>
        </w:rPr>
        <w:t>131 (CMR</w:t>
      </w:r>
      <w:r>
        <w:rPr>
          <w:b/>
          <w:bCs/>
          <w:lang w:val="es-ES"/>
        </w:rPr>
        <w:noBreakHyphen/>
      </w:r>
      <w:r w:rsidRPr="00401E6A">
        <w:rPr>
          <w:b/>
          <w:bCs/>
          <w:lang w:val="es-ES"/>
        </w:rPr>
        <w:t>23)</w:t>
      </w:r>
      <w:r w:rsidRPr="00401E6A">
        <w:rPr>
          <w:lang w:val="es-ES"/>
        </w:rPr>
        <w:t>;</w:t>
      </w:r>
    </w:p>
    <w:p w14:paraId="7F79A57F" w14:textId="77777777" w:rsidR="001353C6" w:rsidRPr="00401E6A" w:rsidRDefault="001353C6" w:rsidP="001353C6">
      <w:pPr>
        <w:rPr>
          <w:lang w:val="es-ES"/>
        </w:rPr>
      </w:pPr>
      <w:r w:rsidRPr="00401E6A">
        <w:rPr>
          <w:lang w:val="es-ES"/>
        </w:rPr>
        <w:t>1.7</w:t>
      </w:r>
      <w:r w:rsidRPr="00401E6A">
        <w:rPr>
          <w:lang w:val="es-ES"/>
        </w:rPr>
        <w:tab/>
        <w:t>considerar estudios de compartición y compatibilidad y determinar las condiciones técnicas necesarias para la utilización de las Telecomunicaciones Móviles Internacionales (IMT) en las bandas de frecuencias 4</w:t>
      </w:r>
      <w:r>
        <w:rPr>
          <w:lang w:val="es-ES"/>
        </w:rPr>
        <w:t> </w:t>
      </w:r>
      <w:r w:rsidRPr="00401E6A">
        <w:rPr>
          <w:lang w:val="es-ES"/>
        </w:rPr>
        <w:t>400</w:t>
      </w:r>
      <w:r>
        <w:rPr>
          <w:lang w:val="es-ES"/>
        </w:rPr>
        <w:noBreakHyphen/>
      </w:r>
      <w:r w:rsidRPr="00401E6A">
        <w:rPr>
          <w:lang w:val="es-ES"/>
        </w:rPr>
        <w:t>4</w:t>
      </w:r>
      <w:r>
        <w:rPr>
          <w:lang w:val="es-ES"/>
        </w:rPr>
        <w:t> </w:t>
      </w:r>
      <w:r w:rsidRPr="00401E6A">
        <w:rPr>
          <w:lang w:val="es-ES"/>
        </w:rPr>
        <w:t>800</w:t>
      </w:r>
      <w:r>
        <w:rPr>
          <w:lang w:val="es-ES"/>
        </w:rPr>
        <w:t> </w:t>
      </w:r>
      <w:r w:rsidRPr="00401E6A">
        <w:rPr>
          <w:lang w:val="es-ES"/>
        </w:rPr>
        <w:t>MHz, 7</w:t>
      </w:r>
      <w:r>
        <w:rPr>
          <w:lang w:val="es-ES"/>
        </w:rPr>
        <w:t> </w:t>
      </w:r>
      <w:r w:rsidRPr="00401E6A">
        <w:rPr>
          <w:lang w:val="es-ES"/>
        </w:rPr>
        <w:t>125</w:t>
      </w:r>
      <w:r>
        <w:rPr>
          <w:lang w:val="es-ES"/>
        </w:rPr>
        <w:noBreakHyphen/>
      </w:r>
      <w:r w:rsidRPr="00401E6A">
        <w:rPr>
          <w:lang w:val="es-ES"/>
        </w:rPr>
        <w:t>8</w:t>
      </w:r>
      <w:r>
        <w:rPr>
          <w:lang w:val="es-ES"/>
        </w:rPr>
        <w:t> </w:t>
      </w:r>
      <w:r w:rsidRPr="00401E6A">
        <w:rPr>
          <w:lang w:val="es-ES"/>
        </w:rPr>
        <w:t>400</w:t>
      </w:r>
      <w:r>
        <w:rPr>
          <w:lang w:val="es-ES"/>
        </w:rPr>
        <w:t> </w:t>
      </w:r>
      <w:r w:rsidRPr="00401E6A">
        <w:rPr>
          <w:lang w:val="es-ES"/>
        </w:rPr>
        <w:t xml:space="preserve">MHz (o partes de </w:t>
      </w:r>
      <w:proofErr w:type="gramStart"/>
      <w:r w:rsidRPr="00401E6A">
        <w:rPr>
          <w:lang w:val="es-ES"/>
        </w:rPr>
        <w:t>la misma</w:t>
      </w:r>
      <w:proofErr w:type="gramEnd"/>
      <w:r w:rsidRPr="00401E6A">
        <w:rPr>
          <w:lang w:val="es-ES"/>
        </w:rPr>
        <w:t>) y 14,8</w:t>
      </w:r>
      <w:r>
        <w:rPr>
          <w:lang w:val="es-ES"/>
        </w:rPr>
        <w:noBreakHyphen/>
      </w:r>
      <w:r w:rsidRPr="00401E6A">
        <w:rPr>
          <w:lang w:val="es-ES"/>
        </w:rPr>
        <w:t>15,35</w:t>
      </w:r>
      <w:r>
        <w:rPr>
          <w:lang w:val="es-ES"/>
        </w:rPr>
        <w:t> </w:t>
      </w:r>
      <w:r w:rsidRPr="00401E6A">
        <w:rPr>
          <w:lang w:val="es-ES"/>
        </w:rPr>
        <w:t>GHz, teniendo en cuenta los servicios primarios existentes en dichas bandas de frecuencias, así como en bandas adyacentes, de conformidad con la Resolución</w:t>
      </w:r>
      <w:r>
        <w:rPr>
          <w:lang w:val="es-ES"/>
        </w:rPr>
        <w:t> </w:t>
      </w:r>
      <w:r w:rsidRPr="00401E6A">
        <w:rPr>
          <w:b/>
          <w:bCs/>
          <w:lang w:val="es-ES"/>
        </w:rPr>
        <w:t>256 (CMR</w:t>
      </w:r>
      <w:r>
        <w:rPr>
          <w:b/>
          <w:bCs/>
          <w:lang w:val="es-ES"/>
        </w:rPr>
        <w:noBreakHyphen/>
      </w:r>
      <w:r w:rsidRPr="00401E6A">
        <w:rPr>
          <w:b/>
          <w:bCs/>
          <w:lang w:val="es-ES"/>
        </w:rPr>
        <w:t>23)</w:t>
      </w:r>
      <w:r w:rsidRPr="00401E6A">
        <w:rPr>
          <w:lang w:val="es-ES"/>
        </w:rPr>
        <w:t>;</w:t>
      </w:r>
    </w:p>
    <w:p w14:paraId="78CEEE2C" w14:textId="1C371D6F" w:rsidR="001353C6" w:rsidRPr="00401E6A" w:rsidRDefault="001353C6" w:rsidP="001353C6">
      <w:pPr>
        <w:rPr>
          <w:lang w:val="es-ES"/>
        </w:rPr>
      </w:pPr>
      <w:r w:rsidRPr="00401E6A">
        <w:rPr>
          <w:lang w:val="es-ES"/>
        </w:rPr>
        <w:t>1.8</w:t>
      </w:r>
      <w:r w:rsidRPr="00401E6A">
        <w:rPr>
          <w:lang w:val="es-ES"/>
        </w:rPr>
        <w:tab/>
        <w:t xml:space="preserve">considerar posibles atribuciones adicionales de espectro al servicio de radiolocalización a título </w:t>
      </w:r>
      <w:proofErr w:type="spellStart"/>
      <w:r w:rsidRPr="00401E6A">
        <w:rPr>
          <w:lang w:val="es-ES"/>
        </w:rPr>
        <w:t>coprimario</w:t>
      </w:r>
      <w:proofErr w:type="spellEnd"/>
      <w:r w:rsidRPr="00401E6A">
        <w:rPr>
          <w:lang w:val="es-ES"/>
        </w:rPr>
        <w:t xml:space="preserve"> en la banda de frecuencias 231,5</w:t>
      </w:r>
      <w:r>
        <w:rPr>
          <w:lang w:val="es-ES"/>
        </w:rPr>
        <w:noBreakHyphen/>
      </w:r>
      <w:r w:rsidRPr="00401E6A">
        <w:rPr>
          <w:lang w:val="es-ES"/>
        </w:rPr>
        <w:t>275</w:t>
      </w:r>
      <w:r>
        <w:rPr>
          <w:lang w:val="es-ES"/>
        </w:rPr>
        <w:t> </w:t>
      </w:r>
      <w:r w:rsidRPr="00401E6A">
        <w:rPr>
          <w:lang w:val="es-ES"/>
        </w:rPr>
        <w:t>GHz y posibles nuevas identificaciones para aplicaciones de radiolocalización en bandas de frecuencias dentro de la gama de frecuencias 275</w:t>
      </w:r>
      <w:r>
        <w:rPr>
          <w:lang w:val="es-ES"/>
        </w:rPr>
        <w:noBreakHyphen/>
      </w:r>
      <w:r w:rsidRPr="00401E6A">
        <w:rPr>
          <w:lang w:val="es-ES"/>
        </w:rPr>
        <w:t>700</w:t>
      </w:r>
      <w:r>
        <w:rPr>
          <w:lang w:val="es-ES"/>
        </w:rPr>
        <w:t> </w:t>
      </w:r>
      <w:r w:rsidRPr="00401E6A">
        <w:rPr>
          <w:lang w:val="es-ES"/>
        </w:rPr>
        <w:t>GHz para sistemas de imágenes en ondas milimétricas y submilimétricas, de conformidad con la Resolución</w:t>
      </w:r>
      <w:r>
        <w:rPr>
          <w:lang w:val="es-ES"/>
        </w:rPr>
        <w:t> </w:t>
      </w:r>
      <w:r w:rsidRPr="00401E6A">
        <w:rPr>
          <w:b/>
          <w:bCs/>
          <w:lang w:val="es-ES"/>
        </w:rPr>
        <w:t>663 (Rev.CMR</w:t>
      </w:r>
      <w:r>
        <w:rPr>
          <w:b/>
          <w:bCs/>
          <w:lang w:val="es-ES"/>
        </w:rPr>
        <w:noBreakHyphen/>
      </w:r>
      <w:r w:rsidRPr="00401E6A">
        <w:rPr>
          <w:b/>
          <w:bCs/>
          <w:lang w:val="es-ES"/>
        </w:rPr>
        <w:t>23)</w:t>
      </w:r>
      <w:r w:rsidRPr="00401E6A">
        <w:rPr>
          <w:lang w:val="es-ES"/>
        </w:rPr>
        <w:t>;</w:t>
      </w:r>
    </w:p>
    <w:p w14:paraId="359403B3" w14:textId="77777777" w:rsidR="001353C6" w:rsidRPr="00401E6A" w:rsidRDefault="001353C6" w:rsidP="001353C6">
      <w:pPr>
        <w:rPr>
          <w:lang w:val="es-ES"/>
        </w:rPr>
      </w:pPr>
      <w:r w:rsidRPr="00401E6A">
        <w:rPr>
          <w:lang w:val="es-ES"/>
        </w:rPr>
        <w:t>1.9</w:t>
      </w:r>
      <w:r w:rsidRPr="00401E6A">
        <w:rPr>
          <w:lang w:val="es-ES"/>
        </w:rPr>
        <w:tab/>
        <w:t>considerar las acciones reglamentarias pertinentes para actualizar el Apéndice</w:t>
      </w:r>
      <w:r>
        <w:rPr>
          <w:lang w:val="es-ES"/>
        </w:rPr>
        <w:t> </w:t>
      </w:r>
      <w:r w:rsidRPr="00401E6A">
        <w:rPr>
          <w:b/>
          <w:bCs/>
          <w:lang w:val="es-ES"/>
        </w:rPr>
        <w:t>26</w:t>
      </w:r>
      <w:r w:rsidRPr="00401E6A">
        <w:rPr>
          <w:lang w:val="es-ES"/>
        </w:rPr>
        <w:t xml:space="preserve"> del Reglamento de Radiocomunicaciones en pro de la modernización del servicio móvil aeronáutico (OR) en ondas </w:t>
      </w:r>
      <w:proofErr w:type="spellStart"/>
      <w:r w:rsidRPr="00401E6A">
        <w:rPr>
          <w:lang w:val="es-ES"/>
        </w:rPr>
        <w:t>decamétricas</w:t>
      </w:r>
      <w:proofErr w:type="spellEnd"/>
      <w:r w:rsidRPr="00401E6A">
        <w:rPr>
          <w:lang w:val="es-ES"/>
        </w:rPr>
        <w:t>, de conformidad con la Resolución</w:t>
      </w:r>
      <w:r>
        <w:rPr>
          <w:lang w:val="es-ES"/>
        </w:rPr>
        <w:t> </w:t>
      </w:r>
      <w:r w:rsidRPr="00401E6A">
        <w:rPr>
          <w:b/>
          <w:bCs/>
          <w:lang w:val="es-ES"/>
        </w:rPr>
        <w:t>411 (CMR</w:t>
      </w:r>
      <w:r>
        <w:rPr>
          <w:b/>
          <w:bCs/>
          <w:lang w:val="es-ES"/>
        </w:rPr>
        <w:noBreakHyphen/>
      </w:r>
      <w:r w:rsidRPr="00401E6A">
        <w:rPr>
          <w:b/>
          <w:bCs/>
          <w:lang w:val="es-ES"/>
        </w:rPr>
        <w:t>23)</w:t>
      </w:r>
      <w:r w:rsidRPr="00401E6A">
        <w:rPr>
          <w:lang w:val="es-ES"/>
        </w:rPr>
        <w:t>;</w:t>
      </w:r>
    </w:p>
    <w:p w14:paraId="0A5EAB4B" w14:textId="0970EBB1" w:rsidR="001353C6" w:rsidRPr="00401E6A" w:rsidRDefault="001353C6" w:rsidP="001353C6">
      <w:pPr>
        <w:rPr>
          <w:lang w:val="es-ES"/>
        </w:rPr>
      </w:pPr>
      <w:r w:rsidRPr="00401E6A">
        <w:rPr>
          <w:lang w:val="es-ES"/>
        </w:rPr>
        <w:t>1.10</w:t>
      </w:r>
      <w:r w:rsidRPr="00401E6A">
        <w:rPr>
          <w:lang w:val="es-ES"/>
        </w:rPr>
        <w:tab/>
        <w:t>considerar la posibilidad de establecer límites de densidad de flujo de potencia y de potencia isótropa radiada equivalente para su inclusión en el Artículo</w:t>
      </w:r>
      <w:r>
        <w:rPr>
          <w:lang w:val="es-ES"/>
        </w:rPr>
        <w:t> </w:t>
      </w:r>
      <w:r w:rsidRPr="00401E6A">
        <w:rPr>
          <w:b/>
          <w:bCs/>
          <w:lang w:val="es-ES"/>
        </w:rPr>
        <w:t>21</w:t>
      </w:r>
      <w:r w:rsidRPr="00401E6A">
        <w:rPr>
          <w:lang w:val="es-ES"/>
        </w:rPr>
        <w:t xml:space="preserve"> del Reglamento de Radiocomunicaciones para los servicios fijo por satélite, móvil por satélite y de radiodifusión por satélite a fin de proteger los servicios fijo y móvil en las bandas de frecuencias 71</w:t>
      </w:r>
      <w:r>
        <w:rPr>
          <w:lang w:val="es-ES"/>
        </w:rPr>
        <w:noBreakHyphen/>
      </w:r>
      <w:r w:rsidRPr="00401E6A">
        <w:rPr>
          <w:lang w:val="es-ES"/>
        </w:rPr>
        <w:t>76</w:t>
      </w:r>
      <w:r>
        <w:rPr>
          <w:lang w:val="es-ES"/>
        </w:rPr>
        <w:t> </w:t>
      </w:r>
      <w:r w:rsidRPr="00401E6A">
        <w:rPr>
          <w:lang w:val="es-ES"/>
        </w:rPr>
        <w:t>GHz y 81</w:t>
      </w:r>
      <w:r>
        <w:rPr>
          <w:lang w:val="es-ES"/>
        </w:rPr>
        <w:noBreakHyphen/>
      </w:r>
      <w:r w:rsidRPr="00401E6A">
        <w:rPr>
          <w:lang w:val="es-ES"/>
        </w:rPr>
        <w:t>86</w:t>
      </w:r>
      <w:r>
        <w:rPr>
          <w:lang w:val="es-ES"/>
        </w:rPr>
        <w:t> </w:t>
      </w:r>
      <w:r w:rsidRPr="00401E6A">
        <w:rPr>
          <w:lang w:val="es-ES"/>
        </w:rPr>
        <w:t>GHz, de conformidad con la Resolución</w:t>
      </w:r>
      <w:r>
        <w:rPr>
          <w:lang w:val="es-ES"/>
        </w:rPr>
        <w:t> </w:t>
      </w:r>
      <w:r w:rsidRPr="00401E6A">
        <w:rPr>
          <w:b/>
          <w:bCs/>
          <w:lang w:val="es-ES"/>
        </w:rPr>
        <w:t>775 (Rev.CMR</w:t>
      </w:r>
      <w:r>
        <w:rPr>
          <w:b/>
          <w:bCs/>
          <w:lang w:val="es-ES"/>
        </w:rPr>
        <w:noBreakHyphen/>
      </w:r>
      <w:r w:rsidRPr="00401E6A">
        <w:rPr>
          <w:b/>
          <w:bCs/>
          <w:lang w:val="es-ES"/>
        </w:rPr>
        <w:t>23)</w:t>
      </w:r>
      <w:r w:rsidRPr="00401E6A">
        <w:rPr>
          <w:lang w:val="es-ES"/>
        </w:rPr>
        <w:t>;</w:t>
      </w:r>
    </w:p>
    <w:p w14:paraId="6CDE17BD" w14:textId="4C0E99E6" w:rsidR="001353C6" w:rsidRPr="00401E6A" w:rsidRDefault="001353C6" w:rsidP="001353C6">
      <w:pPr>
        <w:rPr>
          <w:lang w:val="es-ES"/>
        </w:rPr>
      </w:pPr>
      <w:r w:rsidRPr="00401E6A">
        <w:rPr>
          <w:lang w:val="es-ES"/>
        </w:rPr>
        <w:t>1.11</w:t>
      </w:r>
      <w:r w:rsidRPr="00401E6A">
        <w:rPr>
          <w:lang w:val="es-ES"/>
        </w:rPr>
        <w:tab/>
        <w:t>considerar las cuestiones técnicas y operativas y las disposiciones reglamentarias para los enlaces espacio-espacio entre satélites no geoestacionarios y geoestacionarios en las bandas de frecuencias 1</w:t>
      </w:r>
      <w:r>
        <w:rPr>
          <w:lang w:val="es-ES"/>
        </w:rPr>
        <w:t> </w:t>
      </w:r>
      <w:r w:rsidRPr="00401E6A">
        <w:rPr>
          <w:lang w:val="es-ES"/>
        </w:rPr>
        <w:t>518</w:t>
      </w:r>
      <w:r>
        <w:rPr>
          <w:lang w:val="es-ES"/>
        </w:rPr>
        <w:noBreakHyphen/>
      </w:r>
      <w:r w:rsidRPr="00401E6A">
        <w:rPr>
          <w:lang w:val="es-ES"/>
        </w:rPr>
        <w:t>1</w:t>
      </w:r>
      <w:r>
        <w:rPr>
          <w:lang w:val="es-ES"/>
        </w:rPr>
        <w:t> </w:t>
      </w:r>
      <w:r w:rsidRPr="00401E6A">
        <w:rPr>
          <w:lang w:val="es-ES"/>
        </w:rPr>
        <w:t>544</w:t>
      </w:r>
      <w:r>
        <w:rPr>
          <w:lang w:val="es-ES"/>
        </w:rPr>
        <w:t> </w:t>
      </w:r>
      <w:r w:rsidRPr="00401E6A">
        <w:rPr>
          <w:lang w:val="es-ES"/>
        </w:rPr>
        <w:t>MHz, 1</w:t>
      </w:r>
      <w:r>
        <w:rPr>
          <w:lang w:val="es-ES"/>
        </w:rPr>
        <w:t> </w:t>
      </w:r>
      <w:r w:rsidRPr="00401E6A">
        <w:rPr>
          <w:lang w:val="es-ES"/>
        </w:rPr>
        <w:t>545</w:t>
      </w:r>
      <w:r>
        <w:rPr>
          <w:lang w:val="es-ES"/>
        </w:rPr>
        <w:noBreakHyphen/>
      </w:r>
      <w:r w:rsidRPr="00401E6A">
        <w:rPr>
          <w:lang w:val="es-ES"/>
        </w:rPr>
        <w:t>1</w:t>
      </w:r>
      <w:r>
        <w:rPr>
          <w:lang w:val="es-ES"/>
        </w:rPr>
        <w:t> </w:t>
      </w:r>
      <w:r w:rsidRPr="00401E6A">
        <w:rPr>
          <w:lang w:val="es-ES"/>
        </w:rPr>
        <w:t>559</w:t>
      </w:r>
      <w:r>
        <w:rPr>
          <w:lang w:val="es-ES"/>
        </w:rPr>
        <w:t> </w:t>
      </w:r>
      <w:r w:rsidRPr="00401E6A">
        <w:rPr>
          <w:lang w:val="es-ES"/>
        </w:rPr>
        <w:t>MHz, 1</w:t>
      </w:r>
      <w:r>
        <w:rPr>
          <w:lang w:val="es-ES"/>
        </w:rPr>
        <w:t> </w:t>
      </w:r>
      <w:r w:rsidRPr="00401E6A">
        <w:rPr>
          <w:lang w:val="es-ES"/>
        </w:rPr>
        <w:t>610</w:t>
      </w:r>
      <w:r>
        <w:rPr>
          <w:lang w:val="es-ES"/>
        </w:rPr>
        <w:noBreakHyphen/>
      </w:r>
      <w:r w:rsidRPr="00401E6A">
        <w:rPr>
          <w:lang w:val="es-ES"/>
        </w:rPr>
        <w:t>1</w:t>
      </w:r>
      <w:r>
        <w:rPr>
          <w:lang w:val="es-ES"/>
        </w:rPr>
        <w:t> </w:t>
      </w:r>
      <w:r w:rsidRPr="00401E6A">
        <w:rPr>
          <w:lang w:val="es-ES"/>
        </w:rPr>
        <w:t>645,5</w:t>
      </w:r>
      <w:r>
        <w:rPr>
          <w:lang w:val="es-ES"/>
        </w:rPr>
        <w:t> </w:t>
      </w:r>
      <w:r w:rsidRPr="00401E6A">
        <w:rPr>
          <w:lang w:val="es-ES"/>
        </w:rPr>
        <w:t>MHz, 1</w:t>
      </w:r>
      <w:r>
        <w:rPr>
          <w:lang w:val="es-ES"/>
        </w:rPr>
        <w:t> </w:t>
      </w:r>
      <w:r w:rsidRPr="00401E6A">
        <w:rPr>
          <w:lang w:val="es-ES"/>
        </w:rPr>
        <w:t>646,5</w:t>
      </w:r>
      <w:r>
        <w:rPr>
          <w:lang w:val="es-ES"/>
        </w:rPr>
        <w:noBreakHyphen/>
      </w:r>
      <w:r w:rsidRPr="00401E6A">
        <w:rPr>
          <w:lang w:val="es-ES"/>
        </w:rPr>
        <w:t>1</w:t>
      </w:r>
      <w:r>
        <w:rPr>
          <w:lang w:val="es-ES"/>
        </w:rPr>
        <w:t> </w:t>
      </w:r>
      <w:r w:rsidRPr="00401E6A">
        <w:rPr>
          <w:lang w:val="es-ES"/>
        </w:rPr>
        <w:t>660</w:t>
      </w:r>
      <w:r>
        <w:rPr>
          <w:lang w:val="es-ES"/>
        </w:rPr>
        <w:t> </w:t>
      </w:r>
      <w:r w:rsidRPr="00401E6A">
        <w:rPr>
          <w:lang w:val="es-ES"/>
        </w:rPr>
        <w:t>MHz, 1</w:t>
      </w:r>
      <w:r>
        <w:rPr>
          <w:lang w:val="es-ES"/>
        </w:rPr>
        <w:t> </w:t>
      </w:r>
      <w:r w:rsidRPr="00401E6A">
        <w:rPr>
          <w:lang w:val="es-ES"/>
        </w:rPr>
        <w:t>670</w:t>
      </w:r>
      <w:r>
        <w:rPr>
          <w:lang w:val="es-ES"/>
        </w:rPr>
        <w:noBreakHyphen/>
      </w:r>
      <w:r w:rsidRPr="00401E6A">
        <w:rPr>
          <w:lang w:val="es-ES"/>
        </w:rPr>
        <w:t>1</w:t>
      </w:r>
      <w:r>
        <w:rPr>
          <w:lang w:val="es-ES"/>
        </w:rPr>
        <w:t> </w:t>
      </w:r>
      <w:r w:rsidRPr="00401E6A">
        <w:rPr>
          <w:lang w:val="es-ES"/>
        </w:rPr>
        <w:t>675</w:t>
      </w:r>
      <w:r>
        <w:rPr>
          <w:lang w:val="es-ES"/>
        </w:rPr>
        <w:t> </w:t>
      </w:r>
      <w:r w:rsidRPr="00401E6A">
        <w:rPr>
          <w:lang w:val="es-ES"/>
        </w:rPr>
        <w:t>MHz y 2</w:t>
      </w:r>
      <w:r>
        <w:rPr>
          <w:lang w:val="es-ES"/>
        </w:rPr>
        <w:t> </w:t>
      </w:r>
      <w:r w:rsidRPr="00401E6A">
        <w:rPr>
          <w:lang w:val="es-ES"/>
        </w:rPr>
        <w:t>483,5</w:t>
      </w:r>
      <w:r>
        <w:rPr>
          <w:lang w:val="es-ES"/>
        </w:rPr>
        <w:noBreakHyphen/>
      </w:r>
      <w:r w:rsidRPr="00401E6A">
        <w:rPr>
          <w:lang w:val="es-ES"/>
        </w:rPr>
        <w:t>2</w:t>
      </w:r>
      <w:r>
        <w:rPr>
          <w:lang w:val="es-ES"/>
        </w:rPr>
        <w:t> </w:t>
      </w:r>
      <w:r w:rsidRPr="00401E6A">
        <w:rPr>
          <w:lang w:val="es-ES"/>
        </w:rPr>
        <w:t>500</w:t>
      </w:r>
      <w:r>
        <w:rPr>
          <w:lang w:val="es-ES"/>
        </w:rPr>
        <w:t> </w:t>
      </w:r>
      <w:r w:rsidRPr="00401E6A">
        <w:rPr>
          <w:lang w:val="es-ES"/>
        </w:rPr>
        <w:t>MHz atribuidas al servicio móvil por satélite, de conformidad con la Resolución</w:t>
      </w:r>
      <w:r>
        <w:rPr>
          <w:lang w:val="es-ES"/>
        </w:rPr>
        <w:t> </w:t>
      </w:r>
      <w:r w:rsidRPr="00401E6A">
        <w:rPr>
          <w:b/>
          <w:bCs/>
          <w:lang w:val="es-ES"/>
        </w:rPr>
        <w:t>249 (Rev.CMR</w:t>
      </w:r>
      <w:r>
        <w:rPr>
          <w:b/>
          <w:bCs/>
          <w:lang w:val="es-ES"/>
        </w:rPr>
        <w:noBreakHyphen/>
      </w:r>
      <w:r w:rsidRPr="00401E6A">
        <w:rPr>
          <w:b/>
          <w:bCs/>
          <w:lang w:val="es-ES"/>
        </w:rPr>
        <w:t>23)</w:t>
      </w:r>
      <w:r w:rsidRPr="00401E6A">
        <w:rPr>
          <w:lang w:val="es-ES"/>
        </w:rPr>
        <w:t>;</w:t>
      </w:r>
    </w:p>
    <w:p w14:paraId="1F41900B" w14:textId="77777777" w:rsidR="001353C6" w:rsidRPr="00401E6A" w:rsidRDefault="001353C6" w:rsidP="001353C6">
      <w:pPr>
        <w:rPr>
          <w:lang w:val="es-ES"/>
        </w:rPr>
      </w:pPr>
      <w:r w:rsidRPr="00401E6A">
        <w:rPr>
          <w:lang w:val="es-ES"/>
        </w:rPr>
        <w:lastRenderedPageBreak/>
        <w:t>1.12</w:t>
      </w:r>
      <w:r w:rsidRPr="00401E6A">
        <w:rPr>
          <w:lang w:val="es-ES"/>
        </w:rPr>
        <w:tab/>
        <w:t>a considerar, basándose en los resultados de los estudios, las posibles nuevas atribuciones al servicio móvil por satélite y las posibles medidas reglamentarias en las bandas de frecuencias 1</w:t>
      </w:r>
      <w:r>
        <w:rPr>
          <w:lang w:val="es-ES"/>
        </w:rPr>
        <w:t> </w:t>
      </w:r>
      <w:r w:rsidRPr="00401E6A">
        <w:rPr>
          <w:lang w:val="es-ES"/>
        </w:rPr>
        <w:t>427</w:t>
      </w:r>
      <w:r>
        <w:rPr>
          <w:lang w:val="es-ES"/>
        </w:rPr>
        <w:noBreakHyphen/>
      </w:r>
      <w:r w:rsidRPr="00401E6A">
        <w:rPr>
          <w:lang w:val="es-ES"/>
        </w:rPr>
        <w:t>1</w:t>
      </w:r>
      <w:r>
        <w:rPr>
          <w:lang w:val="es-ES"/>
        </w:rPr>
        <w:t> </w:t>
      </w:r>
      <w:r w:rsidRPr="00401E6A">
        <w:rPr>
          <w:lang w:val="es-ES"/>
        </w:rPr>
        <w:t>432</w:t>
      </w:r>
      <w:r>
        <w:rPr>
          <w:lang w:val="es-ES"/>
        </w:rPr>
        <w:t> </w:t>
      </w:r>
      <w:r w:rsidRPr="00401E6A">
        <w:rPr>
          <w:lang w:val="es-ES"/>
        </w:rPr>
        <w:t>MHz (espacio-Tierra), 1</w:t>
      </w:r>
      <w:r>
        <w:rPr>
          <w:lang w:val="es-ES"/>
        </w:rPr>
        <w:t> </w:t>
      </w:r>
      <w:r w:rsidRPr="00401E6A">
        <w:rPr>
          <w:lang w:val="es-ES"/>
        </w:rPr>
        <w:t>645,5</w:t>
      </w:r>
      <w:r>
        <w:rPr>
          <w:lang w:val="es-ES"/>
        </w:rPr>
        <w:noBreakHyphen/>
      </w:r>
      <w:r w:rsidRPr="00401E6A">
        <w:rPr>
          <w:lang w:val="es-ES"/>
        </w:rPr>
        <w:t>1</w:t>
      </w:r>
      <w:r>
        <w:rPr>
          <w:lang w:val="es-ES"/>
        </w:rPr>
        <w:t> </w:t>
      </w:r>
      <w:r w:rsidRPr="00401E6A">
        <w:rPr>
          <w:lang w:val="es-ES"/>
        </w:rPr>
        <w:t>646,5</w:t>
      </w:r>
      <w:r>
        <w:rPr>
          <w:lang w:val="es-ES"/>
        </w:rPr>
        <w:t> </w:t>
      </w:r>
      <w:r w:rsidRPr="00401E6A">
        <w:rPr>
          <w:lang w:val="es-ES"/>
        </w:rPr>
        <w:t>MHz (espacio</w:t>
      </w:r>
      <w:r>
        <w:rPr>
          <w:lang w:val="es-ES"/>
        </w:rPr>
        <w:noBreakHyphen/>
      </w:r>
      <w:r w:rsidRPr="00401E6A">
        <w:rPr>
          <w:lang w:val="es-ES"/>
        </w:rPr>
        <w:t>Tierra) (Tierra-espacio), 1</w:t>
      </w:r>
      <w:r>
        <w:rPr>
          <w:lang w:val="es-ES"/>
        </w:rPr>
        <w:t> </w:t>
      </w:r>
      <w:r w:rsidRPr="00401E6A">
        <w:rPr>
          <w:lang w:val="es-ES"/>
        </w:rPr>
        <w:t>880</w:t>
      </w:r>
      <w:r>
        <w:rPr>
          <w:lang w:val="es-ES"/>
        </w:rPr>
        <w:noBreakHyphen/>
      </w:r>
      <w:r w:rsidRPr="00401E6A">
        <w:rPr>
          <w:lang w:val="es-ES"/>
        </w:rPr>
        <w:t>1</w:t>
      </w:r>
      <w:r>
        <w:rPr>
          <w:lang w:val="es-ES"/>
        </w:rPr>
        <w:t> </w:t>
      </w:r>
      <w:r w:rsidRPr="00401E6A">
        <w:rPr>
          <w:lang w:val="es-ES"/>
        </w:rPr>
        <w:t>920</w:t>
      </w:r>
      <w:r>
        <w:rPr>
          <w:lang w:val="es-ES"/>
        </w:rPr>
        <w:t> </w:t>
      </w:r>
      <w:r w:rsidRPr="00401E6A">
        <w:rPr>
          <w:lang w:val="es-ES"/>
        </w:rPr>
        <w:t>MHz (espacio-Tierra) (Tierra</w:t>
      </w:r>
      <w:r>
        <w:rPr>
          <w:lang w:val="es-ES"/>
        </w:rPr>
        <w:noBreakHyphen/>
      </w:r>
      <w:r w:rsidRPr="00401E6A">
        <w:rPr>
          <w:lang w:val="es-ES"/>
        </w:rPr>
        <w:t>espacio) y 2</w:t>
      </w:r>
      <w:r>
        <w:rPr>
          <w:lang w:val="es-ES"/>
        </w:rPr>
        <w:t> </w:t>
      </w:r>
      <w:r w:rsidRPr="00401E6A">
        <w:rPr>
          <w:lang w:val="es-ES"/>
        </w:rPr>
        <w:t>010</w:t>
      </w:r>
      <w:r>
        <w:rPr>
          <w:lang w:val="es-ES"/>
        </w:rPr>
        <w:noBreakHyphen/>
      </w:r>
      <w:r w:rsidRPr="00401E6A">
        <w:rPr>
          <w:lang w:val="es-ES"/>
        </w:rPr>
        <w:t>2</w:t>
      </w:r>
      <w:r>
        <w:rPr>
          <w:lang w:val="es-ES"/>
        </w:rPr>
        <w:t> </w:t>
      </w:r>
      <w:r w:rsidRPr="00401E6A">
        <w:rPr>
          <w:lang w:val="es-ES"/>
        </w:rPr>
        <w:t>025</w:t>
      </w:r>
      <w:r>
        <w:rPr>
          <w:lang w:val="es-ES"/>
        </w:rPr>
        <w:t> </w:t>
      </w:r>
      <w:r w:rsidRPr="00401E6A">
        <w:rPr>
          <w:lang w:val="es-ES"/>
        </w:rPr>
        <w:t>MHz (espacio</w:t>
      </w:r>
      <w:r>
        <w:rPr>
          <w:lang w:val="es-ES"/>
        </w:rPr>
        <w:noBreakHyphen/>
      </w:r>
      <w:r w:rsidRPr="00401E6A">
        <w:rPr>
          <w:lang w:val="es-ES"/>
        </w:rPr>
        <w:t>Tierra) (Tierra</w:t>
      </w:r>
      <w:r>
        <w:rPr>
          <w:lang w:val="es-ES"/>
        </w:rPr>
        <w:noBreakHyphen/>
      </w:r>
      <w:r w:rsidRPr="00401E6A">
        <w:rPr>
          <w:lang w:val="es-ES"/>
        </w:rPr>
        <w:t>espacio) necesarias para el futuro desarrollo de los sistemas de satélites móviles no geoestacionarios de baja velocidad de datos, de conformidad con la Resolución</w:t>
      </w:r>
      <w:r>
        <w:rPr>
          <w:lang w:val="es-ES"/>
        </w:rPr>
        <w:t> </w:t>
      </w:r>
      <w:r w:rsidRPr="00401E6A">
        <w:rPr>
          <w:b/>
          <w:bCs/>
          <w:lang w:val="es-ES"/>
        </w:rPr>
        <w:t>252 (CMR</w:t>
      </w:r>
      <w:r>
        <w:rPr>
          <w:b/>
          <w:bCs/>
          <w:lang w:val="es-ES"/>
        </w:rPr>
        <w:noBreakHyphen/>
      </w:r>
      <w:r w:rsidRPr="00401E6A">
        <w:rPr>
          <w:b/>
          <w:bCs/>
          <w:lang w:val="es-ES"/>
        </w:rPr>
        <w:t>23)</w:t>
      </w:r>
      <w:r w:rsidRPr="00401E6A">
        <w:rPr>
          <w:lang w:val="es-ES"/>
        </w:rPr>
        <w:t>;</w:t>
      </w:r>
    </w:p>
    <w:p w14:paraId="313FBC81" w14:textId="77777777" w:rsidR="001353C6" w:rsidRPr="00401E6A" w:rsidRDefault="001353C6" w:rsidP="001353C6">
      <w:pPr>
        <w:rPr>
          <w:lang w:val="es-ES"/>
        </w:rPr>
      </w:pPr>
      <w:r w:rsidRPr="00401E6A">
        <w:rPr>
          <w:lang w:val="es-ES"/>
        </w:rPr>
        <w:t>1.13</w:t>
      </w:r>
      <w:r w:rsidRPr="00401E6A">
        <w:rPr>
          <w:lang w:val="es-ES"/>
        </w:rPr>
        <w:tab/>
        <w:t>considerar estudios sobre posibles nuevas atribuciones al servicio móvil por satélite para la conectividad directa entre estaciones espaciales y equipos de usuario de las Telecomunicaciones Móviles Internacionales (IMT) a fin de complementar la cobertura de la red IMT terrenal, de conformidad con la Resolución</w:t>
      </w:r>
      <w:r>
        <w:rPr>
          <w:lang w:val="es-ES"/>
        </w:rPr>
        <w:t> </w:t>
      </w:r>
      <w:r w:rsidRPr="00401E6A">
        <w:rPr>
          <w:b/>
          <w:bCs/>
          <w:lang w:val="es-ES"/>
        </w:rPr>
        <w:t>253 (CMR</w:t>
      </w:r>
      <w:r>
        <w:rPr>
          <w:b/>
          <w:bCs/>
          <w:lang w:val="es-ES"/>
        </w:rPr>
        <w:noBreakHyphen/>
      </w:r>
      <w:r w:rsidRPr="00401E6A">
        <w:rPr>
          <w:b/>
          <w:bCs/>
          <w:lang w:val="es-ES"/>
        </w:rPr>
        <w:t>23)</w:t>
      </w:r>
      <w:r w:rsidRPr="00401E6A">
        <w:rPr>
          <w:lang w:val="es-ES"/>
        </w:rPr>
        <w:t>;</w:t>
      </w:r>
    </w:p>
    <w:p w14:paraId="752F77C7" w14:textId="77777777" w:rsidR="001353C6" w:rsidRPr="00401E6A" w:rsidRDefault="001353C6" w:rsidP="001353C6">
      <w:pPr>
        <w:rPr>
          <w:lang w:val="es-ES"/>
        </w:rPr>
      </w:pPr>
      <w:r w:rsidRPr="00401E6A">
        <w:rPr>
          <w:lang w:val="es-ES"/>
        </w:rPr>
        <w:t>1.14</w:t>
      </w:r>
      <w:r w:rsidRPr="00401E6A">
        <w:rPr>
          <w:lang w:val="es-ES"/>
        </w:rPr>
        <w:tab/>
        <w:t>considerar la posibilidad de otorgar atribuciones adicionales al servicio móvil por satélite, de conformidad con la Resolución</w:t>
      </w:r>
      <w:r>
        <w:rPr>
          <w:lang w:val="es-ES"/>
        </w:rPr>
        <w:t> </w:t>
      </w:r>
      <w:r w:rsidRPr="00401E6A">
        <w:rPr>
          <w:b/>
          <w:bCs/>
          <w:lang w:val="es-ES"/>
        </w:rPr>
        <w:t>254 (CMR</w:t>
      </w:r>
      <w:r>
        <w:rPr>
          <w:b/>
          <w:bCs/>
          <w:lang w:val="es-ES"/>
        </w:rPr>
        <w:noBreakHyphen/>
      </w:r>
      <w:r w:rsidRPr="00401E6A">
        <w:rPr>
          <w:b/>
          <w:bCs/>
          <w:lang w:val="es-ES"/>
        </w:rPr>
        <w:t>23)</w:t>
      </w:r>
      <w:r w:rsidRPr="00401E6A">
        <w:rPr>
          <w:lang w:val="es-ES"/>
        </w:rPr>
        <w:t>;</w:t>
      </w:r>
    </w:p>
    <w:p w14:paraId="3913021B" w14:textId="77777777" w:rsidR="001353C6" w:rsidRPr="00401E6A" w:rsidRDefault="001353C6" w:rsidP="001353C6">
      <w:pPr>
        <w:rPr>
          <w:lang w:val="es-ES"/>
        </w:rPr>
      </w:pPr>
      <w:r w:rsidRPr="00401E6A">
        <w:rPr>
          <w:lang w:val="es-ES"/>
        </w:rPr>
        <w:t>1.15</w:t>
      </w:r>
      <w:r w:rsidRPr="00401E6A">
        <w:rPr>
          <w:lang w:val="es-ES"/>
        </w:rPr>
        <w:tab/>
        <w:t>considerar estudios sobre asuntos relacionados con las frecuencias, incluidas posibles atribuciones nuevas o modificadas al servicio de investigación espacial (espacio</w:t>
      </w:r>
      <w:r>
        <w:rPr>
          <w:lang w:val="es-ES"/>
        </w:rPr>
        <w:noBreakHyphen/>
      </w:r>
      <w:r w:rsidRPr="00401E6A">
        <w:rPr>
          <w:lang w:val="es-ES"/>
        </w:rPr>
        <w:t xml:space="preserve">espacio), para el futuro desarrollo de las comunicaciones en la superficie lunar y entre la </w:t>
      </w:r>
      <w:proofErr w:type="gramStart"/>
      <w:r w:rsidRPr="00401E6A">
        <w:rPr>
          <w:lang w:val="es-ES"/>
        </w:rPr>
        <w:t>órbita lunar y la superficie lunar</w:t>
      </w:r>
      <w:proofErr w:type="gramEnd"/>
      <w:r w:rsidRPr="00401E6A">
        <w:rPr>
          <w:lang w:val="es-ES"/>
        </w:rPr>
        <w:t>, de conformidad con la Resolución</w:t>
      </w:r>
      <w:r>
        <w:rPr>
          <w:lang w:val="es-ES"/>
        </w:rPr>
        <w:t> </w:t>
      </w:r>
      <w:r w:rsidRPr="00401E6A">
        <w:rPr>
          <w:b/>
          <w:bCs/>
          <w:lang w:val="es-ES"/>
        </w:rPr>
        <w:t>680 (CMR</w:t>
      </w:r>
      <w:r>
        <w:rPr>
          <w:b/>
          <w:bCs/>
          <w:lang w:val="es-ES"/>
        </w:rPr>
        <w:noBreakHyphen/>
      </w:r>
      <w:r w:rsidRPr="00401E6A">
        <w:rPr>
          <w:b/>
          <w:bCs/>
          <w:lang w:val="es-ES"/>
        </w:rPr>
        <w:t>23)</w:t>
      </w:r>
      <w:r w:rsidRPr="00401E6A">
        <w:rPr>
          <w:lang w:val="es-ES"/>
        </w:rPr>
        <w:t>;</w:t>
      </w:r>
    </w:p>
    <w:p w14:paraId="2944A68B" w14:textId="77777777" w:rsidR="001353C6" w:rsidRPr="00401E6A" w:rsidRDefault="001353C6" w:rsidP="001353C6">
      <w:pPr>
        <w:rPr>
          <w:lang w:val="es-ES"/>
        </w:rPr>
      </w:pPr>
      <w:r w:rsidRPr="00401E6A">
        <w:rPr>
          <w:lang w:val="es-ES"/>
        </w:rPr>
        <w:t>1.16</w:t>
      </w:r>
      <w:r w:rsidRPr="00401E6A">
        <w:rPr>
          <w:lang w:val="es-ES"/>
        </w:rPr>
        <w:tab/>
        <w:t>considerar los estudios sobre las disposiciones técnicas y reglamentarias necesarias para proteger la radioastronomía que funciona en zonas radioeléctricamente tranquilas específicas y en bandas de frecuencias atribuidas al servicio de radioastronomía a título primario en todo el mundo, contra la interferencia combinada de frecuencias radioeléctricas causada por sistemas de la órbita de satélites no geoestacionarios, de conformidad con la Resolución</w:t>
      </w:r>
      <w:r>
        <w:rPr>
          <w:lang w:val="es-ES"/>
        </w:rPr>
        <w:t> </w:t>
      </w:r>
      <w:r w:rsidRPr="00401E6A">
        <w:rPr>
          <w:b/>
          <w:bCs/>
          <w:lang w:val="es-ES"/>
        </w:rPr>
        <w:t>681 (CMR</w:t>
      </w:r>
      <w:r>
        <w:rPr>
          <w:b/>
          <w:bCs/>
          <w:lang w:val="es-ES"/>
        </w:rPr>
        <w:noBreakHyphen/>
      </w:r>
      <w:r w:rsidRPr="00401E6A">
        <w:rPr>
          <w:b/>
          <w:bCs/>
          <w:lang w:val="es-ES"/>
        </w:rPr>
        <w:t>23)</w:t>
      </w:r>
      <w:r w:rsidRPr="00401E6A">
        <w:rPr>
          <w:lang w:val="es-ES"/>
        </w:rPr>
        <w:t>;</w:t>
      </w:r>
    </w:p>
    <w:p w14:paraId="49B5E914" w14:textId="77777777" w:rsidR="001353C6" w:rsidRPr="00401E6A" w:rsidRDefault="001353C6" w:rsidP="001353C6">
      <w:pPr>
        <w:rPr>
          <w:lang w:val="es-ES"/>
        </w:rPr>
      </w:pPr>
      <w:r w:rsidRPr="00401E6A">
        <w:rPr>
          <w:lang w:val="es-ES"/>
        </w:rPr>
        <w:t>1.17</w:t>
      </w:r>
      <w:r w:rsidRPr="00401E6A">
        <w:rPr>
          <w:lang w:val="es-ES"/>
        </w:rPr>
        <w:tab/>
        <w:t>considerar las disposiciones reglamentarias para los sensores de meteorología espacial de sólo recepción y su protección en el Reglamento de Radiocomunicaciones, teniendo en cuenta los resultados de los estudios del Sector de Radiocomunicaciones de la</w:t>
      </w:r>
      <w:r>
        <w:rPr>
          <w:lang w:val="es-ES"/>
        </w:rPr>
        <w:t> </w:t>
      </w:r>
      <w:r w:rsidRPr="00401E6A">
        <w:rPr>
          <w:lang w:val="es-ES"/>
        </w:rPr>
        <w:t>UIT de conformidad con la Resolución</w:t>
      </w:r>
      <w:r>
        <w:rPr>
          <w:lang w:val="es-ES"/>
        </w:rPr>
        <w:t> </w:t>
      </w:r>
      <w:r w:rsidRPr="00401E6A">
        <w:rPr>
          <w:b/>
          <w:bCs/>
          <w:lang w:val="es-ES"/>
        </w:rPr>
        <w:t>682 (CMR</w:t>
      </w:r>
      <w:r>
        <w:rPr>
          <w:b/>
          <w:bCs/>
          <w:lang w:val="es-ES"/>
        </w:rPr>
        <w:noBreakHyphen/>
      </w:r>
      <w:r w:rsidRPr="00401E6A">
        <w:rPr>
          <w:b/>
          <w:bCs/>
          <w:lang w:val="es-ES"/>
        </w:rPr>
        <w:t>23)</w:t>
      </w:r>
      <w:r w:rsidRPr="00401E6A">
        <w:rPr>
          <w:lang w:val="es-ES"/>
        </w:rPr>
        <w:t>;</w:t>
      </w:r>
    </w:p>
    <w:p w14:paraId="62BB8226" w14:textId="77777777" w:rsidR="001353C6" w:rsidRPr="00401E6A" w:rsidRDefault="001353C6" w:rsidP="001353C6">
      <w:pPr>
        <w:rPr>
          <w:lang w:val="es-ES"/>
        </w:rPr>
      </w:pPr>
      <w:r w:rsidRPr="00401E6A">
        <w:rPr>
          <w:lang w:val="es-ES"/>
        </w:rPr>
        <w:t>1.18</w:t>
      </w:r>
      <w:r w:rsidRPr="00401E6A">
        <w:rPr>
          <w:lang w:val="es-ES"/>
        </w:rPr>
        <w:tab/>
        <w:t>considerar, basándose en los resultados de los estudios del Sector de Radiocomunicaciones de la UIT, posibles medidas reglamentarias relativas a la protección del servicio de exploración de la Tierra por satélite (pasivo) y del servicio de radioastronomía en determinadas bandas de frecuencias por encima de 76</w:t>
      </w:r>
      <w:r>
        <w:rPr>
          <w:lang w:val="es-ES"/>
        </w:rPr>
        <w:t> </w:t>
      </w:r>
      <w:r w:rsidRPr="00401E6A">
        <w:rPr>
          <w:lang w:val="es-ES"/>
        </w:rPr>
        <w:t>GHz contra las emisiones no deseadas de los servicios activos, de conformidad con la Resolución</w:t>
      </w:r>
      <w:r>
        <w:rPr>
          <w:lang w:val="es-ES"/>
        </w:rPr>
        <w:t> </w:t>
      </w:r>
      <w:r w:rsidRPr="00401E6A">
        <w:rPr>
          <w:b/>
          <w:bCs/>
          <w:lang w:val="es-ES"/>
        </w:rPr>
        <w:t>712 (CMR</w:t>
      </w:r>
      <w:r>
        <w:rPr>
          <w:b/>
          <w:bCs/>
          <w:lang w:val="es-ES"/>
        </w:rPr>
        <w:noBreakHyphen/>
      </w:r>
      <w:r w:rsidRPr="00401E6A">
        <w:rPr>
          <w:b/>
          <w:bCs/>
          <w:lang w:val="es-ES"/>
        </w:rPr>
        <w:t>23)</w:t>
      </w:r>
      <w:r w:rsidRPr="00401E6A">
        <w:rPr>
          <w:lang w:val="es-ES"/>
        </w:rPr>
        <w:t>;</w:t>
      </w:r>
    </w:p>
    <w:p w14:paraId="4E7CDC7F" w14:textId="77777777" w:rsidR="001353C6" w:rsidRPr="00401E6A" w:rsidRDefault="001353C6" w:rsidP="001353C6">
      <w:pPr>
        <w:rPr>
          <w:b/>
          <w:bCs/>
          <w:lang w:val="es-ES"/>
        </w:rPr>
      </w:pPr>
      <w:r w:rsidRPr="00401E6A">
        <w:rPr>
          <w:lang w:val="es-ES"/>
        </w:rPr>
        <w:t>1.19</w:t>
      </w:r>
      <w:r w:rsidRPr="00401E6A">
        <w:rPr>
          <w:lang w:val="es-ES"/>
        </w:rPr>
        <w:tab/>
        <w:t>considerar posibles atribuciones a título primario en todas las Regiones al servicio de exploración de la Tierra por satélite (pasivo) en las bandas de frecuencias 4</w:t>
      </w:r>
      <w:r>
        <w:rPr>
          <w:lang w:val="es-ES"/>
        </w:rPr>
        <w:t> </w:t>
      </w:r>
      <w:r w:rsidRPr="00401E6A">
        <w:rPr>
          <w:lang w:val="es-ES"/>
        </w:rPr>
        <w:t>200</w:t>
      </w:r>
      <w:r>
        <w:rPr>
          <w:lang w:val="es-ES"/>
        </w:rPr>
        <w:noBreakHyphen/>
      </w:r>
      <w:r w:rsidRPr="00401E6A">
        <w:rPr>
          <w:lang w:val="es-ES"/>
        </w:rPr>
        <w:t>4</w:t>
      </w:r>
      <w:r>
        <w:rPr>
          <w:lang w:val="es-ES"/>
        </w:rPr>
        <w:t> </w:t>
      </w:r>
      <w:r w:rsidRPr="00401E6A">
        <w:rPr>
          <w:lang w:val="es-ES"/>
        </w:rPr>
        <w:t>400</w:t>
      </w:r>
      <w:r>
        <w:rPr>
          <w:lang w:val="es-ES"/>
        </w:rPr>
        <w:t> </w:t>
      </w:r>
      <w:r w:rsidRPr="00401E6A">
        <w:rPr>
          <w:lang w:val="es-ES"/>
        </w:rPr>
        <w:t>MHz y 8</w:t>
      </w:r>
      <w:r>
        <w:rPr>
          <w:lang w:val="es-ES"/>
        </w:rPr>
        <w:t> </w:t>
      </w:r>
      <w:r w:rsidRPr="00401E6A">
        <w:rPr>
          <w:lang w:val="es-ES"/>
        </w:rPr>
        <w:t>400</w:t>
      </w:r>
      <w:r>
        <w:rPr>
          <w:lang w:val="es-ES"/>
        </w:rPr>
        <w:noBreakHyphen/>
      </w:r>
      <w:r w:rsidRPr="00401E6A">
        <w:rPr>
          <w:lang w:val="es-ES"/>
        </w:rPr>
        <w:t>8</w:t>
      </w:r>
      <w:r>
        <w:rPr>
          <w:lang w:val="es-ES"/>
        </w:rPr>
        <w:t> </w:t>
      </w:r>
      <w:r w:rsidRPr="00401E6A">
        <w:rPr>
          <w:lang w:val="es-ES"/>
        </w:rPr>
        <w:t>500</w:t>
      </w:r>
      <w:r>
        <w:rPr>
          <w:lang w:val="es-ES"/>
        </w:rPr>
        <w:t> </w:t>
      </w:r>
      <w:r w:rsidRPr="00401E6A">
        <w:rPr>
          <w:lang w:val="es-ES"/>
        </w:rPr>
        <w:t>MHz, de conformidad con la Resolución</w:t>
      </w:r>
      <w:r>
        <w:rPr>
          <w:lang w:val="es-ES"/>
        </w:rPr>
        <w:t> </w:t>
      </w:r>
      <w:r w:rsidRPr="00401E6A">
        <w:rPr>
          <w:b/>
          <w:bCs/>
          <w:lang w:val="es-ES"/>
        </w:rPr>
        <w:t>674 (CMR</w:t>
      </w:r>
      <w:r>
        <w:rPr>
          <w:b/>
          <w:bCs/>
          <w:lang w:val="es-ES"/>
        </w:rPr>
        <w:noBreakHyphen/>
      </w:r>
      <w:r w:rsidRPr="00401E6A">
        <w:rPr>
          <w:b/>
          <w:bCs/>
          <w:lang w:val="es-ES"/>
        </w:rPr>
        <w:t>23)</w:t>
      </w:r>
      <w:r w:rsidRPr="00401E6A">
        <w:rPr>
          <w:lang w:val="es-ES"/>
        </w:rPr>
        <w:t>;</w:t>
      </w:r>
    </w:p>
    <w:p w14:paraId="2723D52C" w14:textId="6732FA06" w:rsidR="001353C6" w:rsidRPr="00401E6A" w:rsidRDefault="001353C6" w:rsidP="001353C6">
      <w:pPr>
        <w:rPr>
          <w:lang w:val="es-ES"/>
        </w:rPr>
      </w:pPr>
      <w:r w:rsidRPr="00401E6A">
        <w:rPr>
          <w:lang w:val="es-ES"/>
        </w:rPr>
        <w:t>2</w:t>
      </w:r>
      <w:r w:rsidRPr="00401E6A">
        <w:rPr>
          <w:lang w:val="es-ES"/>
        </w:rPr>
        <w:tab/>
        <w:t>examinar las Recomendaciones revisadas del Sector de Radiocomunicaciones de la</w:t>
      </w:r>
      <w:r>
        <w:rPr>
          <w:lang w:val="es-ES"/>
        </w:rPr>
        <w:t> </w:t>
      </w:r>
      <w:r w:rsidRPr="00401E6A">
        <w:rPr>
          <w:lang w:val="es-ES"/>
        </w:rPr>
        <w:t xml:space="preserve">UIT incorporadas por referencia al Reglamento de Radiocomunicaciones comunicadas por la Asamblea de Radiocomunicaciones de conformidad con el </w:t>
      </w:r>
      <w:r w:rsidRPr="00401E6A">
        <w:rPr>
          <w:i/>
          <w:iCs/>
          <w:lang w:val="es-ES"/>
        </w:rPr>
        <w:t>resuelve además</w:t>
      </w:r>
      <w:r w:rsidRPr="00401E6A">
        <w:rPr>
          <w:lang w:val="es-ES"/>
        </w:rPr>
        <w:t xml:space="preserve"> de la Resolución</w:t>
      </w:r>
      <w:r>
        <w:rPr>
          <w:lang w:val="es-ES"/>
        </w:rPr>
        <w:t> </w:t>
      </w:r>
      <w:r w:rsidRPr="00401E6A">
        <w:rPr>
          <w:b/>
          <w:bCs/>
          <w:lang w:val="es-ES"/>
        </w:rPr>
        <w:t>27 (Rev.CMR</w:t>
      </w:r>
      <w:r>
        <w:rPr>
          <w:b/>
          <w:bCs/>
          <w:lang w:val="es-ES"/>
        </w:rPr>
        <w:noBreakHyphen/>
      </w:r>
      <w:r w:rsidRPr="00401E6A">
        <w:rPr>
          <w:b/>
          <w:bCs/>
          <w:lang w:val="es-ES"/>
        </w:rPr>
        <w:t>19)</w:t>
      </w:r>
      <w:r w:rsidRPr="00401E6A">
        <w:rPr>
          <w:lang w:val="es-ES"/>
        </w:rPr>
        <w:t xml:space="preserve">, y decidir si se actualizan o no las referencias correspondientes en el Reglamento de Radiocomunicaciones, de conformidad con los principios contenidos en el </w:t>
      </w:r>
      <w:r w:rsidRPr="00401E6A">
        <w:rPr>
          <w:i/>
          <w:iCs/>
          <w:lang w:val="es-ES"/>
        </w:rPr>
        <w:t>resuelve</w:t>
      </w:r>
      <w:r w:rsidRPr="00401E6A">
        <w:rPr>
          <w:lang w:val="es-ES"/>
        </w:rPr>
        <w:t xml:space="preserve"> de dicha Resolución;</w:t>
      </w:r>
    </w:p>
    <w:p w14:paraId="24B5B514" w14:textId="77777777" w:rsidR="001353C6" w:rsidRPr="00401E6A" w:rsidRDefault="001353C6" w:rsidP="001353C6">
      <w:pPr>
        <w:rPr>
          <w:lang w:val="es-ES"/>
        </w:rPr>
      </w:pPr>
      <w:r w:rsidRPr="00401E6A">
        <w:rPr>
          <w:lang w:val="es-ES"/>
        </w:rPr>
        <w:t>3</w:t>
      </w:r>
      <w:r w:rsidRPr="00401E6A">
        <w:rPr>
          <w:lang w:val="es-ES"/>
        </w:rPr>
        <w:tab/>
        <w:t>que considere los cambios y enmiendas consiguientes al Reglamento de Radiocomunicaciones que exijan las decisiones de la Conferencia;</w:t>
      </w:r>
    </w:p>
    <w:p w14:paraId="69F08DAA" w14:textId="29AEA07B" w:rsidR="001353C6" w:rsidRPr="00401E6A" w:rsidRDefault="001353C6" w:rsidP="001353C6">
      <w:pPr>
        <w:rPr>
          <w:lang w:val="es-ES"/>
        </w:rPr>
      </w:pPr>
      <w:r w:rsidRPr="00401E6A">
        <w:rPr>
          <w:lang w:val="es-ES"/>
        </w:rPr>
        <w:lastRenderedPageBreak/>
        <w:t>4</w:t>
      </w:r>
      <w:r w:rsidRPr="00401E6A">
        <w:rPr>
          <w:lang w:val="es-ES"/>
        </w:rPr>
        <w:tab/>
        <w:t>considerar, de conformidad con la Resolución</w:t>
      </w:r>
      <w:r>
        <w:rPr>
          <w:lang w:val="es-ES"/>
        </w:rPr>
        <w:t> </w:t>
      </w:r>
      <w:r w:rsidRPr="00401E6A">
        <w:rPr>
          <w:b/>
          <w:bCs/>
          <w:lang w:val="es-ES"/>
        </w:rPr>
        <w:t>95 (Rev.CMR</w:t>
      </w:r>
      <w:r>
        <w:rPr>
          <w:b/>
          <w:bCs/>
          <w:lang w:val="es-ES"/>
        </w:rPr>
        <w:noBreakHyphen/>
      </w:r>
      <w:r w:rsidRPr="00401E6A">
        <w:rPr>
          <w:b/>
          <w:bCs/>
          <w:lang w:val="es-ES"/>
        </w:rPr>
        <w:t>19)</w:t>
      </w:r>
      <w:r w:rsidRPr="00401E6A">
        <w:rPr>
          <w:lang w:val="es-ES"/>
        </w:rPr>
        <w:t>, las Resoluciones y Recomendaciones de las Conferencias anteriores para su posible revisión, sustitución o supresión;</w:t>
      </w:r>
    </w:p>
    <w:p w14:paraId="4C77A4F3" w14:textId="77777777" w:rsidR="001353C6" w:rsidRPr="00401E6A" w:rsidRDefault="001353C6" w:rsidP="001353C6">
      <w:pPr>
        <w:rPr>
          <w:lang w:val="es-ES"/>
        </w:rPr>
      </w:pPr>
      <w:r w:rsidRPr="00401E6A">
        <w:rPr>
          <w:lang w:val="es-ES"/>
        </w:rPr>
        <w:t>5</w:t>
      </w:r>
      <w:r w:rsidRPr="00401E6A">
        <w:rPr>
          <w:lang w:val="es-ES"/>
        </w:rPr>
        <w:tab/>
        <w:t>que examine el Informe de la Asamblea de Radiocomunicaciones presentado de acuerdo con los números</w:t>
      </w:r>
      <w:r>
        <w:rPr>
          <w:lang w:val="es-ES"/>
        </w:rPr>
        <w:t> </w:t>
      </w:r>
      <w:r w:rsidRPr="00401E6A">
        <w:rPr>
          <w:lang w:val="es-ES"/>
        </w:rPr>
        <w:t>135 y 136 del Convenio de la UIT y tome las medidas adecuadas al respecto;</w:t>
      </w:r>
    </w:p>
    <w:p w14:paraId="24FFD13A" w14:textId="77777777" w:rsidR="001353C6" w:rsidRPr="00401E6A" w:rsidRDefault="001353C6" w:rsidP="001353C6">
      <w:pPr>
        <w:rPr>
          <w:lang w:val="es-ES"/>
        </w:rPr>
      </w:pPr>
      <w:r w:rsidRPr="00401E6A">
        <w:rPr>
          <w:lang w:val="es-ES"/>
        </w:rPr>
        <w:t>6</w:t>
      </w:r>
      <w:r w:rsidRPr="00401E6A">
        <w:rPr>
          <w:lang w:val="es-ES"/>
        </w:rPr>
        <w:tab/>
        <w:t>identificar los temas que exigen la intervención inmediata de las Comisiones de Estudio de Radiocomunicaciones para la preparación de la próxima Conferencia Mundial de Radiocomunicaciones;</w:t>
      </w:r>
    </w:p>
    <w:p w14:paraId="050A5479" w14:textId="2B4F6288" w:rsidR="001353C6" w:rsidRPr="00401E6A" w:rsidRDefault="001353C6" w:rsidP="001353C6">
      <w:pPr>
        <w:rPr>
          <w:lang w:val="es-ES"/>
        </w:rPr>
      </w:pPr>
      <w:r w:rsidRPr="00401E6A">
        <w:rPr>
          <w:lang w:val="es-ES"/>
        </w:rPr>
        <w:t>7</w:t>
      </w:r>
      <w:r w:rsidRPr="00401E6A">
        <w:rPr>
          <w:lang w:val="es-ES"/>
        </w:rPr>
        <w:tab/>
        <w:t>considerar posibles cambios en respuesta a la Resolución</w:t>
      </w:r>
      <w:r>
        <w:rPr>
          <w:lang w:val="es-ES"/>
        </w:rPr>
        <w:t> </w:t>
      </w:r>
      <w:r w:rsidRPr="00401E6A">
        <w:rPr>
          <w:lang w:val="es-ES"/>
        </w:rPr>
        <w:t>86 (Rev.</w:t>
      </w:r>
      <w:r>
        <w:rPr>
          <w:lang w:val="es-ES"/>
        </w:rPr>
        <w:t> </w:t>
      </w:r>
      <w:r w:rsidRPr="00401E6A">
        <w:rPr>
          <w:lang w:val="es-ES"/>
        </w:rPr>
        <w:t>Marrakech,</w:t>
      </w:r>
      <w:r>
        <w:rPr>
          <w:lang w:val="es-ES"/>
        </w:rPr>
        <w:t> </w:t>
      </w:r>
      <w:r w:rsidRPr="00401E6A">
        <w:rPr>
          <w:lang w:val="es-ES"/>
        </w:rPr>
        <w:t>2002) de la Conferencia de Plenipotenciarios sobre procedimientos de publicación anticipada, de coordinación, de notificación y de inscripción de asignaciones de frecuencias de redes de satélite, de conformidad con la Resolución</w:t>
      </w:r>
      <w:r>
        <w:rPr>
          <w:lang w:val="es-ES"/>
        </w:rPr>
        <w:t> </w:t>
      </w:r>
      <w:r w:rsidRPr="00401E6A">
        <w:rPr>
          <w:b/>
          <w:bCs/>
          <w:lang w:val="es-ES"/>
        </w:rPr>
        <w:t>86 (Rev.CMR</w:t>
      </w:r>
      <w:r>
        <w:rPr>
          <w:b/>
          <w:bCs/>
          <w:lang w:val="es-ES"/>
        </w:rPr>
        <w:noBreakHyphen/>
      </w:r>
      <w:r w:rsidRPr="00401E6A">
        <w:rPr>
          <w:b/>
          <w:bCs/>
          <w:lang w:val="es-ES"/>
        </w:rPr>
        <w:t>07)</w:t>
      </w:r>
      <w:r w:rsidRPr="00401E6A">
        <w:rPr>
          <w:lang w:val="es-ES"/>
        </w:rPr>
        <w:t>, a fin de facilitar la utilización racional, eficiente y económica de las frecuencias radioeléctricas y cualquier órbita asociada, incluida la órbita de los satélites geoestacionarios;</w:t>
      </w:r>
    </w:p>
    <w:p w14:paraId="7857547C" w14:textId="1F83B8B3" w:rsidR="001353C6" w:rsidRPr="00401E6A" w:rsidRDefault="001353C6" w:rsidP="001353C6">
      <w:pPr>
        <w:rPr>
          <w:lang w:val="es-ES"/>
        </w:rPr>
      </w:pPr>
      <w:r w:rsidRPr="00401E6A">
        <w:rPr>
          <w:lang w:val="es-ES"/>
        </w:rPr>
        <w:t>8</w:t>
      </w:r>
      <w:r w:rsidRPr="00401E6A">
        <w:rPr>
          <w:lang w:val="es-ES"/>
        </w:rPr>
        <w:tab/>
        <w:t>examinar las peticiones de las administraciones de suprimir las notas de sus países o de que se suprima el nombre de sus países de las notas, si ya no es necesario, teniendo en cuenta la Resolución</w:t>
      </w:r>
      <w:r>
        <w:rPr>
          <w:lang w:val="es-ES"/>
        </w:rPr>
        <w:t> </w:t>
      </w:r>
      <w:r w:rsidRPr="00401E6A">
        <w:rPr>
          <w:b/>
          <w:bCs/>
          <w:lang w:val="es-ES"/>
        </w:rPr>
        <w:t>26 (Rev.CMR</w:t>
      </w:r>
      <w:r>
        <w:rPr>
          <w:b/>
          <w:bCs/>
          <w:lang w:val="es-ES"/>
        </w:rPr>
        <w:noBreakHyphen/>
      </w:r>
      <w:r w:rsidRPr="00401E6A">
        <w:rPr>
          <w:b/>
          <w:bCs/>
          <w:lang w:val="es-ES"/>
        </w:rPr>
        <w:t>23)</w:t>
      </w:r>
      <w:r w:rsidRPr="00401E6A">
        <w:rPr>
          <w:lang w:val="es-ES"/>
        </w:rPr>
        <w:t>, y adoptar las medidas oportunas al respecto;</w:t>
      </w:r>
    </w:p>
    <w:p w14:paraId="49511188" w14:textId="77777777" w:rsidR="001353C6" w:rsidRPr="00401E6A" w:rsidRDefault="001353C6" w:rsidP="001353C6">
      <w:pPr>
        <w:rPr>
          <w:lang w:val="es-ES"/>
        </w:rPr>
      </w:pPr>
      <w:r w:rsidRPr="00401E6A">
        <w:rPr>
          <w:lang w:val="es-ES"/>
        </w:rPr>
        <w:t>9</w:t>
      </w:r>
      <w:r w:rsidRPr="00401E6A">
        <w:rPr>
          <w:lang w:val="es-ES"/>
        </w:rPr>
        <w:tab/>
        <w:t>examinar y aprobar el Informe del Director de la Oficina de Radiocomunicaciones, de conformidad con el Artículo</w:t>
      </w:r>
      <w:r>
        <w:rPr>
          <w:lang w:val="es-ES"/>
        </w:rPr>
        <w:t> </w:t>
      </w:r>
      <w:r w:rsidRPr="00401E6A">
        <w:rPr>
          <w:lang w:val="es-ES"/>
        </w:rPr>
        <w:t>7 del Convenio de la UIT:</w:t>
      </w:r>
    </w:p>
    <w:p w14:paraId="461A6B3E" w14:textId="77777777" w:rsidR="001353C6" w:rsidRPr="00401E6A" w:rsidRDefault="001353C6" w:rsidP="001353C6">
      <w:pPr>
        <w:rPr>
          <w:lang w:val="es-ES"/>
        </w:rPr>
      </w:pPr>
      <w:r w:rsidRPr="00401E6A">
        <w:rPr>
          <w:lang w:val="es-ES"/>
        </w:rPr>
        <w:t>9.1</w:t>
      </w:r>
      <w:r w:rsidRPr="00401E6A">
        <w:rPr>
          <w:lang w:val="es-ES"/>
        </w:rPr>
        <w:tab/>
        <w:t>sobre las actividades del Sector de Radiocomunicaciones desde la CMR-23</w:t>
      </w:r>
      <w:r>
        <w:rPr>
          <w:rStyle w:val="FootnoteReference"/>
          <w:lang w:val="es-ES"/>
        </w:rPr>
        <w:footnoteReference w:customMarkFollows="1" w:id="3"/>
        <w:t>1</w:t>
      </w:r>
      <w:r>
        <w:rPr>
          <w:lang w:val="es-ES"/>
        </w:rPr>
        <w:t>;</w:t>
      </w:r>
    </w:p>
    <w:p w14:paraId="7E910562" w14:textId="77777777" w:rsidR="001353C6" w:rsidRPr="00401E6A" w:rsidRDefault="001353C6" w:rsidP="001353C6">
      <w:pPr>
        <w:rPr>
          <w:lang w:val="es-ES"/>
        </w:rPr>
      </w:pPr>
      <w:r w:rsidRPr="00401E6A">
        <w:rPr>
          <w:lang w:val="es-ES"/>
        </w:rPr>
        <w:t>9.2</w:t>
      </w:r>
      <w:r w:rsidRPr="00401E6A">
        <w:rPr>
          <w:lang w:val="es-ES"/>
        </w:rPr>
        <w:tab/>
        <w:t>sobre las dificultades o incoherencias observadas en la aplicación del Reglamento de Radiocomunicaciones</w:t>
      </w:r>
      <w:r>
        <w:rPr>
          <w:rStyle w:val="FootnoteReference"/>
          <w:lang w:val="es-ES"/>
        </w:rPr>
        <w:footnoteReference w:customMarkFollows="1" w:id="4"/>
        <w:t>2</w:t>
      </w:r>
      <w:r>
        <w:rPr>
          <w:lang w:val="es-ES"/>
        </w:rPr>
        <w:t xml:space="preserve">; </w:t>
      </w:r>
      <w:r w:rsidRPr="00401E6A">
        <w:rPr>
          <w:lang w:val="es-ES"/>
        </w:rPr>
        <w:t>y</w:t>
      </w:r>
    </w:p>
    <w:p w14:paraId="1C8874F8" w14:textId="1B5174D6" w:rsidR="001353C6" w:rsidRPr="00401E6A" w:rsidRDefault="001353C6" w:rsidP="001353C6">
      <w:pPr>
        <w:rPr>
          <w:lang w:val="es-ES"/>
        </w:rPr>
      </w:pPr>
      <w:r w:rsidRPr="00401E6A">
        <w:rPr>
          <w:lang w:val="es-ES"/>
        </w:rPr>
        <w:t>9.3</w:t>
      </w:r>
      <w:r w:rsidRPr="00401E6A">
        <w:rPr>
          <w:lang w:val="es-ES"/>
        </w:rPr>
        <w:tab/>
        <w:t>sobre las medidas adoptadas en respuesta a la Resolución</w:t>
      </w:r>
      <w:r>
        <w:rPr>
          <w:lang w:val="es-ES"/>
        </w:rPr>
        <w:t> </w:t>
      </w:r>
      <w:r w:rsidRPr="00401E6A">
        <w:rPr>
          <w:b/>
          <w:bCs/>
          <w:lang w:val="es-ES"/>
        </w:rPr>
        <w:t>80 (Rev.CMR</w:t>
      </w:r>
      <w:r>
        <w:rPr>
          <w:b/>
          <w:bCs/>
          <w:lang w:val="es-ES"/>
        </w:rPr>
        <w:noBreakHyphen/>
      </w:r>
      <w:r w:rsidRPr="00401E6A">
        <w:rPr>
          <w:b/>
          <w:bCs/>
          <w:lang w:val="es-ES"/>
        </w:rPr>
        <w:t>07)</w:t>
      </w:r>
      <w:r w:rsidRPr="00401E6A">
        <w:rPr>
          <w:lang w:val="es-ES"/>
        </w:rPr>
        <w:t>;</w:t>
      </w:r>
    </w:p>
    <w:p w14:paraId="39FC0504" w14:textId="1EFBE600" w:rsidR="001353C6" w:rsidRDefault="001353C6" w:rsidP="001353C6">
      <w:pPr>
        <w:rPr>
          <w:lang w:val="es-ES"/>
        </w:rPr>
      </w:pPr>
      <w:r w:rsidRPr="00401E6A">
        <w:rPr>
          <w:lang w:val="es-ES"/>
        </w:rPr>
        <w:t>10</w:t>
      </w:r>
      <w:r w:rsidRPr="00401E6A">
        <w:rPr>
          <w:lang w:val="es-ES"/>
        </w:rPr>
        <w:tab/>
        <w:t>recomendar al Consejo de la UIT los puntos que han de incluirse en el orden del día de la próxima Conferencia Mundial de Radiocomunicaciones y los puntos del orden del día preliminar de futuras conferencias, de conformidad con el Artículo</w:t>
      </w:r>
      <w:r>
        <w:rPr>
          <w:lang w:val="es-ES"/>
        </w:rPr>
        <w:t> </w:t>
      </w:r>
      <w:r w:rsidRPr="00401E6A">
        <w:rPr>
          <w:lang w:val="es-ES"/>
        </w:rPr>
        <w:t>7 del Convenio de la UIT y la Resolución</w:t>
      </w:r>
      <w:r>
        <w:rPr>
          <w:lang w:val="es-ES"/>
        </w:rPr>
        <w:t> </w:t>
      </w:r>
      <w:r w:rsidRPr="00401E6A">
        <w:rPr>
          <w:b/>
          <w:bCs/>
          <w:lang w:val="es-ES"/>
        </w:rPr>
        <w:t>804 (Rev.CMR</w:t>
      </w:r>
      <w:r>
        <w:rPr>
          <w:b/>
          <w:bCs/>
          <w:lang w:val="es-ES"/>
        </w:rPr>
        <w:noBreakHyphen/>
      </w:r>
      <w:r w:rsidRPr="00401E6A">
        <w:rPr>
          <w:b/>
          <w:bCs/>
          <w:lang w:val="es-ES"/>
        </w:rPr>
        <w:t>23)</w:t>
      </w:r>
      <w:r w:rsidRPr="00401E6A">
        <w:rPr>
          <w:lang w:val="es-ES"/>
        </w:rPr>
        <w:t>.</w:t>
      </w:r>
    </w:p>
    <w:p w14:paraId="406F997A" w14:textId="1A96C7F9" w:rsidR="000E459C" w:rsidRDefault="000E459C">
      <w:pPr>
        <w:tabs>
          <w:tab w:val="clear" w:pos="567"/>
          <w:tab w:val="clear" w:pos="1134"/>
          <w:tab w:val="clear" w:pos="1701"/>
          <w:tab w:val="clear" w:pos="2268"/>
          <w:tab w:val="clear" w:pos="2835"/>
        </w:tabs>
        <w:overflowPunct/>
        <w:autoSpaceDE/>
        <w:autoSpaceDN/>
        <w:adjustRightInd/>
        <w:spacing w:before="0"/>
        <w:textAlignment w:val="auto"/>
        <w:rPr>
          <w:lang w:val="es-ES"/>
        </w:rPr>
      </w:pPr>
      <w:r>
        <w:rPr>
          <w:lang w:val="es-ES"/>
        </w:rPr>
        <w:br w:type="page"/>
      </w:r>
    </w:p>
    <w:p w14:paraId="145FBCC8" w14:textId="20CB730B" w:rsidR="001353C6" w:rsidRDefault="001353C6" w:rsidP="005C1429">
      <w:pPr>
        <w:pStyle w:val="AnnexNo"/>
        <w:rPr>
          <w:lang w:val="es-ES"/>
        </w:rPr>
      </w:pPr>
      <w:bookmarkStart w:id="7" w:name="AnnexC"/>
      <w:r>
        <w:rPr>
          <w:lang w:val="es-ES"/>
        </w:rPr>
        <w:lastRenderedPageBreak/>
        <w:t>ANEXO C</w:t>
      </w:r>
      <w:bookmarkEnd w:id="7"/>
    </w:p>
    <w:p w14:paraId="38093DD8" w14:textId="559660EF" w:rsidR="004874A2" w:rsidRPr="004874A2" w:rsidRDefault="004874A2" w:rsidP="004874A2">
      <w:pPr>
        <w:pStyle w:val="Annexref"/>
        <w:rPr>
          <w:lang w:val="es-ES"/>
        </w:rPr>
      </w:pPr>
      <w:r w:rsidRPr="00367FB9">
        <w:rPr>
          <w:noProof/>
        </w:rPr>
        <w:drawing>
          <wp:inline distT="0" distB="0" distL="0" distR="0" wp14:anchorId="05118606" wp14:editId="0C4F3574">
            <wp:extent cx="889000" cy="947651"/>
            <wp:effectExtent l="0" t="0" r="635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38961" t="14309" r="5443" b="4081"/>
                    <a:stretch/>
                  </pic:blipFill>
                  <pic:spPr bwMode="auto">
                    <a:xfrm>
                      <a:off x="0" y="0"/>
                      <a:ext cx="889776" cy="948479"/>
                    </a:xfrm>
                    <a:prstGeom prst="rect">
                      <a:avLst/>
                    </a:prstGeom>
                    <a:ln>
                      <a:noFill/>
                    </a:ln>
                    <a:extLst>
                      <a:ext uri="{53640926-AAD7-44D8-BBD7-CCE9431645EC}">
                        <a14:shadowObscured xmlns:a14="http://schemas.microsoft.com/office/drawing/2010/main"/>
                      </a:ext>
                    </a:extLst>
                  </pic:spPr>
                </pic:pic>
              </a:graphicData>
            </a:graphic>
          </wp:inline>
        </w:drawing>
      </w:r>
    </w:p>
    <w:p w14:paraId="426CA6DD" w14:textId="77777777" w:rsidR="001353C6" w:rsidRPr="005F3246" w:rsidRDefault="001353C6" w:rsidP="002C0781">
      <w:pPr>
        <w:pStyle w:val="Annextitle"/>
        <w:rPr>
          <w:lang w:val="es-ES"/>
        </w:rPr>
      </w:pPr>
      <w:r w:rsidRPr="005F3246">
        <w:rPr>
          <w:lang w:val="es-ES"/>
        </w:rPr>
        <w:t>República de Rwanda</w:t>
      </w:r>
      <w:r w:rsidRPr="005F3246">
        <w:rPr>
          <w:lang w:val="es-ES"/>
        </w:rPr>
        <w:br/>
        <w:t>Ministerio de TIC e Innovación</w:t>
      </w:r>
    </w:p>
    <w:p w14:paraId="07E96ED9" w14:textId="77777777" w:rsidR="001353C6" w:rsidRPr="0000551B" w:rsidRDefault="001353C6" w:rsidP="001353C6">
      <w:pPr>
        <w:jc w:val="right"/>
        <w:rPr>
          <w:b/>
          <w:lang w:val="es-ES"/>
        </w:rPr>
      </w:pPr>
      <w:r w:rsidRPr="0000551B">
        <w:rPr>
          <w:b/>
          <w:lang w:val="es-ES"/>
        </w:rPr>
        <w:t>Kigali, 28 de septiembre de 2022</w:t>
      </w:r>
      <w:r w:rsidRPr="0000551B">
        <w:rPr>
          <w:b/>
          <w:lang w:val="es-ES"/>
        </w:rPr>
        <w:br/>
      </w:r>
      <w:proofErr w:type="spellStart"/>
      <w:r w:rsidRPr="0000551B">
        <w:rPr>
          <w:b/>
          <w:lang w:val="es-ES"/>
        </w:rPr>
        <w:t>Ref</w:t>
      </w:r>
      <w:proofErr w:type="spellEnd"/>
      <w:r w:rsidRPr="0000551B">
        <w:rPr>
          <w:b/>
          <w:lang w:val="es-ES"/>
        </w:rPr>
        <w:t>: 307/MIN/2022</w:t>
      </w:r>
    </w:p>
    <w:p w14:paraId="214E3BF2" w14:textId="77777777" w:rsidR="001353C6" w:rsidRPr="0000551B" w:rsidRDefault="001353C6" w:rsidP="001353C6">
      <w:pPr>
        <w:rPr>
          <w:b/>
          <w:lang w:val="es-ES"/>
        </w:rPr>
      </w:pPr>
      <w:r w:rsidRPr="0000551B">
        <w:rPr>
          <w:b/>
          <w:lang w:val="es-ES"/>
        </w:rPr>
        <w:t>Secretario General</w:t>
      </w:r>
      <w:r w:rsidRPr="0000551B">
        <w:rPr>
          <w:b/>
          <w:lang w:val="es-ES"/>
        </w:rPr>
        <w:br/>
        <w:t xml:space="preserve">Unión Internacional de Telecomunicaciones </w:t>
      </w:r>
      <w:r w:rsidRPr="0000551B">
        <w:rPr>
          <w:b/>
          <w:lang w:val="es-ES"/>
        </w:rPr>
        <w:br/>
        <w:t>Place des Nations</w:t>
      </w:r>
      <w:r w:rsidRPr="0000551B">
        <w:rPr>
          <w:b/>
          <w:lang w:val="es-ES"/>
        </w:rPr>
        <w:br/>
      </w:r>
      <w:r w:rsidRPr="0000551B">
        <w:rPr>
          <w:b/>
          <w:u w:val="single"/>
          <w:lang w:val="es-ES"/>
        </w:rPr>
        <w:t>CH·1211 Ginebra 20, Suiza</w:t>
      </w:r>
    </w:p>
    <w:p w14:paraId="32678401" w14:textId="77777777" w:rsidR="001353C6" w:rsidRPr="0000551B" w:rsidRDefault="001353C6" w:rsidP="004874A2">
      <w:pPr>
        <w:spacing w:before="360"/>
        <w:ind w:left="1134" w:hanging="1134"/>
        <w:rPr>
          <w:b/>
          <w:bCs/>
          <w:lang w:val="es-ES"/>
        </w:rPr>
      </w:pPr>
      <w:r w:rsidRPr="0000551B">
        <w:rPr>
          <w:b/>
          <w:bCs/>
          <w:u w:val="single"/>
          <w:lang w:val="es-ES"/>
        </w:rPr>
        <w:t>Asunto:</w:t>
      </w:r>
      <w:r w:rsidRPr="005F3246">
        <w:rPr>
          <w:b/>
          <w:bCs/>
          <w:lang w:val="es-ES"/>
        </w:rPr>
        <w:t xml:space="preserve"> </w:t>
      </w:r>
      <w:r w:rsidRPr="005F3246">
        <w:rPr>
          <w:b/>
          <w:bCs/>
          <w:lang w:val="es-ES"/>
        </w:rPr>
        <w:tab/>
        <w:t>Manifestación de interés en acoger la Conferencia Mundial de Radiocomunicaciones de 2027 (CMR</w:t>
      </w:r>
      <w:r w:rsidRPr="005F3246">
        <w:rPr>
          <w:b/>
          <w:bCs/>
          <w:lang w:val="es-ES"/>
        </w:rPr>
        <w:noBreakHyphen/>
        <w:t>27)</w:t>
      </w:r>
    </w:p>
    <w:p w14:paraId="483FE00C" w14:textId="77777777" w:rsidR="001353C6" w:rsidRPr="005F3246" w:rsidRDefault="001353C6" w:rsidP="000E459C">
      <w:pPr>
        <w:pStyle w:val="Normalaftertitle"/>
        <w:rPr>
          <w:lang w:val="es-ES"/>
        </w:rPr>
      </w:pPr>
      <w:r w:rsidRPr="005F3246">
        <w:rPr>
          <w:lang w:val="es-ES"/>
        </w:rPr>
        <w:t>Señor Secretario General:</w:t>
      </w:r>
    </w:p>
    <w:p w14:paraId="5583035A" w14:textId="77777777" w:rsidR="001353C6" w:rsidRPr="005F3246" w:rsidRDefault="001353C6" w:rsidP="000E459C">
      <w:pPr>
        <w:rPr>
          <w:lang w:val="es-ES"/>
        </w:rPr>
      </w:pPr>
      <w:r w:rsidRPr="005F3246">
        <w:rPr>
          <w:lang w:val="es-ES"/>
        </w:rPr>
        <w:t xml:space="preserve">Por la presente </w:t>
      </w:r>
      <w:r>
        <w:rPr>
          <w:lang w:val="es-ES"/>
        </w:rPr>
        <w:t xml:space="preserve">le </w:t>
      </w:r>
      <w:r w:rsidRPr="005F3246">
        <w:rPr>
          <w:lang w:val="es-ES"/>
        </w:rPr>
        <w:t>comunica</w:t>
      </w:r>
      <w:r>
        <w:rPr>
          <w:lang w:val="es-ES"/>
        </w:rPr>
        <w:t>mos</w:t>
      </w:r>
      <w:r w:rsidRPr="005F3246">
        <w:rPr>
          <w:lang w:val="es-ES"/>
        </w:rPr>
        <w:t xml:space="preserve"> el interés de la República de Rwanda por acoger la Conferencia Mundial de Radiocomunicaciones de 2027 (CMR 27) y sus eventos conexos, a saber</w:t>
      </w:r>
      <w:r>
        <w:rPr>
          <w:lang w:val="es-ES"/>
        </w:rPr>
        <w:t>,</w:t>
      </w:r>
      <w:r w:rsidRPr="005F3246">
        <w:rPr>
          <w:lang w:val="es-ES"/>
        </w:rPr>
        <w:t xml:space="preserve"> la Asamblea de Radiocomunicaciones (AR) y la Reunión Preparatoria de la Conferencia (RPC).</w:t>
      </w:r>
    </w:p>
    <w:p w14:paraId="1E24691E" w14:textId="246A2603" w:rsidR="001353C6" w:rsidRPr="005F3246" w:rsidRDefault="001353C6" w:rsidP="000E459C">
      <w:pPr>
        <w:rPr>
          <w:lang w:val="es-ES"/>
        </w:rPr>
      </w:pPr>
      <w:r w:rsidRPr="005F3246">
        <w:rPr>
          <w:lang w:val="es-ES"/>
        </w:rPr>
        <w:t xml:space="preserve">A lo largo de los años, Rwanda ha adquirido gran experiencia y ha creado </w:t>
      </w:r>
      <w:r>
        <w:rPr>
          <w:lang w:val="es-ES"/>
        </w:rPr>
        <w:t>lugares</w:t>
      </w:r>
      <w:r w:rsidRPr="005F3246">
        <w:rPr>
          <w:lang w:val="es-ES"/>
        </w:rPr>
        <w:t xml:space="preserve"> para acoger grandes eventos</w:t>
      </w:r>
      <w:r>
        <w:rPr>
          <w:lang w:val="es-ES"/>
        </w:rPr>
        <w:t>,</w:t>
      </w:r>
      <w:r w:rsidRPr="005F3246">
        <w:rPr>
          <w:lang w:val="es-ES"/>
        </w:rPr>
        <w:t xml:space="preserve"> de magnitud similar o superior a la CMR, tanto por su tamaño como por la complejidad de sus instalaciones. La recién concluida y exitosa Conferencia Mundial de Desarrollo de las Telecomunicaciones es un buen testimonio de las capacidades de Rwanda. Después de la CMDT-22, Rwanda ha acogido con eficacia la Reunión de Jefes de Gobierno de la Commonwealth (CHOGM), </w:t>
      </w:r>
      <w:r>
        <w:rPr>
          <w:lang w:val="es-ES"/>
        </w:rPr>
        <w:t xml:space="preserve">a la que asistieron </w:t>
      </w:r>
      <w:r w:rsidRPr="005F3246">
        <w:rPr>
          <w:lang w:val="es-ES"/>
        </w:rPr>
        <w:t>6</w:t>
      </w:r>
      <w:r w:rsidR="000E459C">
        <w:rPr>
          <w:lang w:val="es-ES"/>
        </w:rPr>
        <w:t> </w:t>
      </w:r>
      <w:r w:rsidRPr="005F3246">
        <w:rPr>
          <w:lang w:val="es-ES"/>
        </w:rPr>
        <w:t>374 delegados, entre ellos 29</w:t>
      </w:r>
      <w:r w:rsidR="000E459C">
        <w:rPr>
          <w:lang w:val="es-ES"/>
        </w:rPr>
        <w:t> </w:t>
      </w:r>
      <w:r w:rsidRPr="005F3246">
        <w:rPr>
          <w:lang w:val="es-ES"/>
        </w:rPr>
        <w:t>Jefes de Gobierno.</w:t>
      </w:r>
    </w:p>
    <w:p w14:paraId="75E15A12" w14:textId="77777777" w:rsidR="001353C6" w:rsidRPr="005F3246" w:rsidRDefault="001353C6" w:rsidP="000E459C">
      <w:pPr>
        <w:rPr>
          <w:lang w:val="es-ES"/>
        </w:rPr>
      </w:pPr>
      <w:r w:rsidRPr="005F3246">
        <w:rPr>
          <w:lang w:val="es-ES"/>
        </w:rPr>
        <w:t xml:space="preserve">La celebración de la CMR-27 en Rwanda servirá de instrumento fundamental para concienciar acerca de las cuestiones mundiales relacionadas con el espectro, especialmente en los países en desarrollo. Rwanda se ha comprometido a trabajar con el equipo de la UIT para </w:t>
      </w:r>
      <w:r>
        <w:rPr>
          <w:lang w:val="es-ES"/>
        </w:rPr>
        <w:t xml:space="preserve">preparar </w:t>
      </w:r>
      <w:r w:rsidRPr="005F3246">
        <w:rPr>
          <w:lang w:val="es-ES"/>
        </w:rPr>
        <w:t>todas las instalaciones y el personal necesarios con el fin de garantizar que la CMR-27 se desarrolle en el entorno más propicio.</w:t>
      </w:r>
    </w:p>
    <w:p w14:paraId="61494AE4" w14:textId="77777777" w:rsidR="001353C6" w:rsidRPr="005F3246" w:rsidRDefault="001353C6" w:rsidP="000E459C">
      <w:pPr>
        <w:spacing w:before="360" w:after="240"/>
        <w:rPr>
          <w:lang w:val="es-ES"/>
        </w:rPr>
      </w:pPr>
      <w:r w:rsidRPr="005F3246">
        <w:rPr>
          <w:lang w:val="es-ES"/>
        </w:rPr>
        <w:t>Atentamente,</w:t>
      </w:r>
    </w:p>
    <w:p w14:paraId="53CAEB76" w14:textId="77777777" w:rsidR="001353C6" w:rsidRPr="005F3246" w:rsidRDefault="001353C6" w:rsidP="000E459C">
      <w:pPr>
        <w:spacing w:before="240" w:after="240"/>
        <w:rPr>
          <w:lang w:val="es-ES"/>
        </w:rPr>
      </w:pPr>
      <w:r w:rsidRPr="005F3246">
        <w:rPr>
          <w:lang w:val="es-ES"/>
        </w:rPr>
        <w:t>(firma y sello)</w:t>
      </w:r>
    </w:p>
    <w:p w14:paraId="2AB7F785" w14:textId="77777777" w:rsidR="001353C6" w:rsidRPr="0000551B" w:rsidRDefault="001353C6" w:rsidP="001353C6">
      <w:pPr>
        <w:rPr>
          <w:b/>
          <w:lang w:val="es-ES"/>
        </w:rPr>
      </w:pPr>
      <w:r w:rsidRPr="0000551B">
        <w:rPr>
          <w:b/>
          <w:lang w:val="es-ES"/>
        </w:rPr>
        <w:t>Paula INGABIRE</w:t>
      </w:r>
      <w:r w:rsidRPr="0000551B">
        <w:rPr>
          <w:b/>
          <w:lang w:val="es-ES"/>
        </w:rPr>
        <w:br/>
        <w:t xml:space="preserve">Ministro de TIC e Innovación </w:t>
      </w:r>
    </w:p>
    <w:p w14:paraId="6E9F6123" w14:textId="299C6E28" w:rsidR="001353C6" w:rsidRPr="0000551B" w:rsidRDefault="001353C6" w:rsidP="003A1A81">
      <w:pPr>
        <w:keepNext/>
        <w:keepLines/>
        <w:rPr>
          <w:b/>
          <w:lang w:val="es-ES"/>
        </w:rPr>
      </w:pPr>
      <w:r w:rsidRPr="0000551B">
        <w:rPr>
          <w:b/>
          <w:lang w:val="es-ES"/>
        </w:rPr>
        <w:lastRenderedPageBreak/>
        <w:t>C</w:t>
      </w:r>
      <w:r w:rsidR="003A1A81">
        <w:rPr>
          <w:b/>
          <w:lang w:val="es-ES"/>
        </w:rPr>
        <w:t>opia:</w:t>
      </w:r>
    </w:p>
    <w:p w14:paraId="735E61EA" w14:textId="77777777" w:rsidR="001353C6" w:rsidRPr="0000551B" w:rsidRDefault="001353C6" w:rsidP="000E459C">
      <w:pPr>
        <w:pStyle w:val="enumlev1"/>
        <w:spacing w:before="0"/>
        <w:rPr>
          <w:b/>
          <w:lang w:val="es-ES"/>
        </w:rPr>
      </w:pPr>
      <w:r w:rsidRPr="0000551B">
        <w:rPr>
          <w:rFonts w:cs="Calibri"/>
          <w:b/>
          <w:lang w:val="es-ES"/>
        </w:rPr>
        <w:t>–</w:t>
      </w:r>
      <w:r w:rsidRPr="0000551B">
        <w:rPr>
          <w:b/>
          <w:lang w:val="es-ES"/>
        </w:rPr>
        <w:tab/>
        <w:t xml:space="preserve">Excmo. Sr. Primer Ministro de la República de Ruanda </w:t>
      </w:r>
    </w:p>
    <w:p w14:paraId="06DF44EC" w14:textId="77777777" w:rsidR="001353C6" w:rsidRPr="0000551B" w:rsidRDefault="001353C6" w:rsidP="000E459C">
      <w:pPr>
        <w:pStyle w:val="enumlev1"/>
        <w:spacing w:before="0"/>
        <w:rPr>
          <w:b/>
          <w:lang w:val="es-ES"/>
        </w:rPr>
      </w:pPr>
      <w:r w:rsidRPr="0000551B">
        <w:rPr>
          <w:rFonts w:cs="Calibri"/>
          <w:b/>
          <w:lang w:val="es-ES"/>
        </w:rPr>
        <w:t>–</w:t>
      </w:r>
      <w:r w:rsidRPr="0000551B">
        <w:rPr>
          <w:b/>
          <w:lang w:val="es-ES"/>
        </w:rPr>
        <w:tab/>
        <w:t>Excmo. Sr. Ministro de Asuntos Exteriores y Cooperación Internacional</w:t>
      </w:r>
    </w:p>
    <w:p w14:paraId="3E63CF67" w14:textId="5D9833D7" w:rsidR="001353C6" w:rsidRDefault="001353C6" w:rsidP="000E459C">
      <w:pPr>
        <w:pStyle w:val="enumlev1"/>
        <w:spacing w:before="0"/>
        <w:rPr>
          <w:b/>
          <w:lang w:val="es-ES"/>
        </w:rPr>
      </w:pPr>
      <w:r w:rsidRPr="0000551B">
        <w:rPr>
          <w:rFonts w:cs="Calibri"/>
          <w:b/>
          <w:lang w:val="es-ES"/>
        </w:rPr>
        <w:t>–</w:t>
      </w:r>
      <w:r w:rsidRPr="0000551B">
        <w:rPr>
          <w:b/>
          <w:lang w:val="es-ES"/>
        </w:rPr>
        <w:tab/>
        <w:t>Director de la Oficina de Radiocomunicaciones de la UIT</w:t>
      </w:r>
    </w:p>
    <w:p w14:paraId="12E12638" w14:textId="6AFA1EE2" w:rsidR="004874A2" w:rsidRPr="00367FB9" w:rsidRDefault="004874A2" w:rsidP="004874A2">
      <w:pPr>
        <w:keepNext/>
        <w:keepLines/>
        <w:widowControl w:val="0"/>
        <w:spacing w:before="600"/>
        <w:jc w:val="center"/>
        <w:rPr>
          <w:sz w:val="18"/>
          <w:szCs w:val="18"/>
        </w:rPr>
      </w:pPr>
      <w:r w:rsidRPr="00367FB9">
        <w:rPr>
          <w:sz w:val="18"/>
          <w:szCs w:val="18"/>
        </w:rPr>
        <w:t xml:space="preserve">KN 3rd Road, </w:t>
      </w:r>
      <w:proofErr w:type="spellStart"/>
      <w:r w:rsidRPr="00367FB9">
        <w:rPr>
          <w:sz w:val="18"/>
          <w:szCs w:val="18"/>
        </w:rPr>
        <w:t>Sopetrad</w:t>
      </w:r>
      <w:proofErr w:type="spellEnd"/>
      <w:r w:rsidRPr="00367FB9">
        <w:rPr>
          <w:sz w:val="18"/>
          <w:szCs w:val="18"/>
        </w:rPr>
        <w:t xml:space="preserve"> | P.O Box 3882 Kigali</w:t>
      </w:r>
      <w:r w:rsidRPr="00367FB9">
        <w:rPr>
          <w:sz w:val="18"/>
          <w:szCs w:val="18"/>
        </w:rPr>
        <w:br/>
        <w:t>T</w:t>
      </w:r>
      <w:r w:rsidR="00F94963">
        <w:rPr>
          <w:sz w:val="18"/>
          <w:szCs w:val="18"/>
        </w:rPr>
        <w:t>eléfono</w:t>
      </w:r>
      <w:r w:rsidRPr="00367FB9">
        <w:rPr>
          <w:sz w:val="18"/>
          <w:szCs w:val="18"/>
        </w:rPr>
        <w:t>: +250-786791388 | Sit</w:t>
      </w:r>
      <w:r w:rsidR="00B07CAF">
        <w:rPr>
          <w:sz w:val="18"/>
          <w:szCs w:val="18"/>
        </w:rPr>
        <w:t>io</w:t>
      </w:r>
      <w:r w:rsidRPr="00367FB9">
        <w:rPr>
          <w:sz w:val="18"/>
          <w:szCs w:val="18"/>
        </w:rPr>
        <w:t xml:space="preserve"> web: http://www.minict.gov.rw</w:t>
      </w:r>
      <w:r w:rsidRPr="00367FB9">
        <w:rPr>
          <w:sz w:val="18"/>
          <w:szCs w:val="18"/>
        </w:rPr>
        <w:br/>
        <w:t xml:space="preserve">Facebook |Twitter | Google+: </w:t>
      </w:r>
      <w:proofErr w:type="spellStart"/>
      <w:r w:rsidRPr="00367FB9">
        <w:rPr>
          <w:sz w:val="18"/>
          <w:szCs w:val="18"/>
        </w:rPr>
        <w:t>RwandaICT</w:t>
      </w:r>
      <w:proofErr w:type="spellEnd"/>
      <w:r w:rsidRPr="00367FB9">
        <w:rPr>
          <w:sz w:val="18"/>
          <w:szCs w:val="18"/>
        </w:rPr>
        <w:t xml:space="preserve"> | Co</w:t>
      </w:r>
      <w:r w:rsidR="00F94963">
        <w:rPr>
          <w:sz w:val="18"/>
          <w:szCs w:val="18"/>
        </w:rPr>
        <w:t>rreo</w:t>
      </w:r>
      <w:r w:rsidRPr="00367FB9">
        <w:rPr>
          <w:sz w:val="18"/>
          <w:szCs w:val="18"/>
        </w:rPr>
        <w:t>:</w:t>
      </w:r>
      <w:r w:rsidR="00B07CAF">
        <w:rPr>
          <w:sz w:val="18"/>
          <w:szCs w:val="18"/>
        </w:rPr>
        <w:t xml:space="preserve"> </w:t>
      </w:r>
      <w:r w:rsidRPr="00367FB9">
        <w:rPr>
          <w:sz w:val="18"/>
          <w:szCs w:val="18"/>
        </w:rPr>
        <w:t>info@minict.gov.rw</w:t>
      </w:r>
    </w:p>
    <w:p w14:paraId="6283E0A6" w14:textId="77777777" w:rsidR="004874A2" w:rsidRPr="00367FB9" w:rsidRDefault="004874A2" w:rsidP="004874A2">
      <w:pPr>
        <w:tabs>
          <w:tab w:val="clear" w:pos="567"/>
          <w:tab w:val="clear" w:pos="1134"/>
          <w:tab w:val="clear" w:pos="1701"/>
          <w:tab w:val="clear" w:pos="2268"/>
          <w:tab w:val="clear" w:pos="2835"/>
        </w:tabs>
        <w:overflowPunct/>
        <w:autoSpaceDE/>
        <w:autoSpaceDN/>
        <w:adjustRightInd/>
        <w:spacing w:before="0"/>
        <w:textAlignment w:val="auto"/>
      </w:pPr>
      <w:r w:rsidRPr="00367FB9">
        <w:br w:type="page"/>
      </w:r>
    </w:p>
    <w:p w14:paraId="161868B4" w14:textId="77777777" w:rsidR="001353C6" w:rsidRPr="005C1429" w:rsidRDefault="001353C6" w:rsidP="005C1429">
      <w:pPr>
        <w:pStyle w:val="AnnexNo"/>
        <w:rPr>
          <w:lang w:eastAsia="zh-CN"/>
        </w:rPr>
      </w:pPr>
      <w:bookmarkStart w:id="8" w:name="AnnexD"/>
      <w:r w:rsidRPr="005C1429">
        <w:rPr>
          <w:lang w:eastAsia="zh-CN"/>
        </w:rPr>
        <w:lastRenderedPageBreak/>
        <w:t>ANEXO D</w:t>
      </w:r>
      <w:bookmarkEnd w:id="8"/>
    </w:p>
    <w:p w14:paraId="543EE13B" w14:textId="77777777" w:rsidR="001353C6" w:rsidRPr="00860E55" w:rsidRDefault="001353C6" w:rsidP="002C0781">
      <w:pPr>
        <w:pStyle w:val="Annextitle"/>
        <w:rPr>
          <w:rFonts w:eastAsia="SimSun"/>
          <w:lang w:val="es-ES" w:eastAsia="zh-CN"/>
        </w:rPr>
      </w:pPr>
      <w:r w:rsidRPr="00860E55">
        <w:rPr>
          <w:rFonts w:eastAsia="SimSun" w:hint="eastAsia"/>
          <w:lang w:val="es-ES" w:eastAsia="zh-CN"/>
        </w:rPr>
        <w:t>中华人民共和国工业和信息化部</w:t>
      </w:r>
    </w:p>
    <w:p w14:paraId="0B5373F9" w14:textId="77777777" w:rsidR="001353C6" w:rsidRPr="00860E55" w:rsidRDefault="001353C6" w:rsidP="002C0781">
      <w:pPr>
        <w:pStyle w:val="Annextitle"/>
        <w:rPr>
          <w:lang w:val="es-ES"/>
        </w:rPr>
      </w:pPr>
      <w:r w:rsidRPr="00860E55">
        <w:rPr>
          <w:lang w:val="es-ES"/>
        </w:rPr>
        <w:t>Ministerio de Industria y Tecnología de la Información</w:t>
      </w:r>
      <w:r w:rsidRPr="00860E55">
        <w:rPr>
          <w:lang w:val="es-ES"/>
        </w:rPr>
        <w:br/>
        <w:t>República Popular de China</w:t>
      </w:r>
    </w:p>
    <w:p w14:paraId="1B94BB46" w14:textId="77777777" w:rsidR="001353C6" w:rsidRPr="00860E55" w:rsidRDefault="001353C6" w:rsidP="001353C6">
      <w:pPr>
        <w:pStyle w:val="Normalaftertitle0"/>
        <w:jc w:val="right"/>
        <w:rPr>
          <w:lang w:val="es-ES"/>
        </w:rPr>
      </w:pPr>
      <w:r w:rsidRPr="00860E55">
        <w:rPr>
          <w:lang w:val="es-ES"/>
        </w:rPr>
        <w:t>29 de mayo de 2024</w:t>
      </w:r>
    </w:p>
    <w:p w14:paraId="33E13F87" w14:textId="77777777" w:rsidR="001353C6" w:rsidRPr="00860E55" w:rsidRDefault="001353C6" w:rsidP="001353C6">
      <w:pPr>
        <w:rPr>
          <w:lang w:val="es-ES"/>
        </w:rPr>
      </w:pPr>
      <w:r w:rsidRPr="00860E55">
        <w:rPr>
          <w:b/>
          <w:bCs/>
          <w:lang w:val="es-ES"/>
        </w:rPr>
        <w:t>A:</w:t>
      </w:r>
      <w:r w:rsidRPr="00860E55">
        <w:rPr>
          <w:lang w:val="es-ES"/>
        </w:rPr>
        <w:t xml:space="preserve"> Sra. Doreen BOGDAN-MARTIN</w:t>
      </w:r>
      <w:r w:rsidRPr="00860E55">
        <w:rPr>
          <w:lang w:val="es-ES"/>
        </w:rPr>
        <w:br/>
        <w:t>Secretaria General de la Unión Internacional de Telecomunicaciones</w:t>
      </w:r>
      <w:r w:rsidRPr="00860E55">
        <w:rPr>
          <w:lang w:val="es-ES"/>
        </w:rPr>
        <w:br/>
        <w:t xml:space="preserve">Ginebra </w:t>
      </w:r>
      <w:r>
        <w:rPr>
          <w:lang w:val="es-ES"/>
        </w:rPr>
        <w:t>(</w:t>
      </w:r>
      <w:r w:rsidRPr="00860E55">
        <w:rPr>
          <w:lang w:val="es-ES"/>
        </w:rPr>
        <w:t>Suiza</w:t>
      </w:r>
      <w:r>
        <w:rPr>
          <w:lang w:val="es-ES"/>
        </w:rPr>
        <w:t>)</w:t>
      </w:r>
    </w:p>
    <w:p w14:paraId="634EE260" w14:textId="77777777" w:rsidR="001353C6" w:rsidRPr="00860E55" w:rsidRDefault="001353C6" w:rsidP="001353C6">
      <w:pPr>
        <w:rPr>
          <w:lang w:val="es-ES"/>
        </w:rPr>
      </w:pPr>
      <w:r w:rsidRPr="00860E55">
        <w:rPr>
          <w:b/>
          <w:bCs/>
          <w:lang w:val="es-ES"/>
        </w:rPr>
        <w:t>De:</w:t>
      </w:r>
      <w:r w:rsidRPr="00860E55">
        <w:t xml:space="preserve"> </w:t>
      </w:r>
      <w:proofErr w:type="spellStart"/>
      <w:r w:rsidRPr="00860E55">
        <w:rPr>
          <w:lang w:val="es-ES"/>
        </w:rPr>
        <w:t>Zhuanglong</w:t>
      </w:r>
      <w:proofErr w:type="spellEnd"/>
      <w:r w:rsidRPr="00860E55">
        <w:rPr>
          <w:lang w:val="es-ES"/>
        </w:rPr>
        <w:t xml:space="preserve"> JIN</w:t>
      </w:r>
      <w:r w:rsidRPr="00860E55">
        <w:rPr>
          <w:lang w:val="es-ES"/>
        </w:rPr>
        <w:br/>
        <w:t xml:space="preserve">Ministro de Industria y Tecnología de la Información </w:t>
      </w:r>
      <w:r w:rsidRPr="00860E55">
        <w:rPr>
          <w:lang w:val="es-ES"/>
        </w:rPr>
        <w:br/>
        <w:t>de la República Popular de China</w:t>
      </w:r>
      <w:r w:rsidRPr="00860E55">
        <w:rPr>
          <w:lang w:val="es-ES"/>
        </w:rPr>
        <w:br/>
        <w:t xml:space="preserve">Avenida </w:t>
      </w:r>
      <w:proofErr w:type="spellStart"/>
      <w:r w:rsidRPr="00860E55">
        <w:rPr>
          <w:lang w:val="es-ES"/>
        </w:rPr>
        <w:t>Xichang'an</w:t>
      </w:r>
      <w:proofErr w:type="spellEnd"/>
      <w:r w:rsidRPr="00860E55">
        <w:rPr>
          <w:lang w:val="es-ES"/>
        </w:rPr>
        <w:t xml:space="preserve">, 13 </w:t>
      </w:r>
      <w:r w:rsidRPr="00860E55">
        <w:rPr>
          <w:lang w:val="es-ES"/>
        </w:rPr>
        <w:br/>
        <w:t>100804, Beijing</w:t>
      </w:r>
    </w:p>
    <w:p w14:paraId="644F6FE3" w14:textId="77777777" w:rsidR="001353C6" w:rsidRPr="00860E55" w:rsidRDefault="001353C6" w:rsidP="001353C6">
      <w:pPr>
        <w:pStyle w:val="Normalaftertitle0"/>
        <w:rPr>
          <w:lang w:val="es-ES"/>
        </w:rPr>
      </w:pPr>
      <w:r w:rsidRPr="00860E55">
        <w:rPr>
          <w:lang w:val="es-ES"/>
        </w:rPr>
        <w:t>Estimada Sra. Secretaria General:</w:t>
      </w:r>
    </w:p>
    <w:p w14:paraId="568450B3" w14:textId="77777777" w:rsidR="001353C6" w:rsidRPr="00860E55" w:rsidRDefault="001353C6" w:rsidP="001353C6">
      <w:pPr>
        <w:rPr>
          <w:lang w:val="es-ES"/>
        </w:rPr>
      </w:pPr>
      <w:r w:rsidRPr="00860E55">
        <w:rPr>
          <w:lang w:val="es-ES"/>
        </w:rPr>
        <w:t>A principios de este año, durante su visita a China, mantuve con usted una agradable conversación sobre el fortalecimiento de nuestra cooperación. La Administración de China siempre ha concedido gran importancia al trabajo de la Unión Internacional de Telecomunicaciones (UIT) y ha respaldado su importante cometido en la gestión de los recursos mundiales de frecuencias radioeléctricas y órbitas de satélites, en la elaboración de normas de tecnología de las telecomunicaciones y en el fomento del desarrollo mundial de las telecomunicaciones.</w:t>
      </w:r>
    </w:p>
    <w:p w14:paraId="2D18B8D2" w14:textId="77777777" w:rsidR="001353C6" w:rsidRPr="00860E55" w:rsidRDefault="001353C6" w:rsidP="001353C6">
      <w:pPr>
        <w:rPr>
          <w:lang w:val="es-ES"/>
        </w:rPr>
      </w:pPr>
      <w:r w:rsidRPr="00860E55">
        <w:rPr>
          <w:lang w:val="es-ES"/>
        </w:rPr>
        <w:t xml:space="preserve">A fin de prestar un mayor apoyo a la labor de la UIT, le escribo en nombre del Ministerio de Industria y Tecnología de la Información de la República Popular </w:t>
      </w:r>
      <w:r>
        <w:rPr>
          <w:lang w:val="es-ES"/>
        </w:rPr>
        <w:t xml:space="preserve">de </w:t>
      </w:r>
      <w:r w:rsidRPr="00860E55">
        <w:rPr>
          <w:lang w:val="es-ES"/>
        </w:rPr>
        <w:t>China (MIIT) para manifestarle la voluntad de China de acoger la Conferencia Mundial de Radiocomunicaciones de 2027 (CMR</w:t>
      </w:r>
      <w:r>
        <w:rPr>
          <w:lang w:val="es-ES"/>
        </w:rPr>
        <w:noBreakHyphen/>
      </w:r>
      <w:r w:rsidRPr="00860E55">
        <w:rPr>
          <w:lang w:val="es-ES"/>
        </w:rPr>
        <w:t>27), la Asamblea de Radiocomunicaciones de 2027 (AR</w:t>
      </w:r>
      <w:r>
        <w:rPr>
          <w:lang w:val="es-ES"/>
        </w:rPr>
        <w:noBreakHyphen/>
      </w:r>
      <w:r w:rsidRPr="00860E55">
        <w:rPr>
          <w:lang w:val="es-ES"/>
        </w:rPr>
        <w:t>27) y la primera sesión de la Reunión Preparatoria de la Conferencia Mundial de Radiocomunicaciones de 2031 (RPC31</w:t>
      </w:r>
      <w:r>
        <w:rPr>
          <w:lang w:val="es-ES"/>
        </w:rPr>
        <w:noBreakHyphen/>
      </w:r>
      <w:r w:rsidRPr="00860E55">
        <w:rPr>
          <w:lang w:val="es-ES"/>
        </w:rPr>
        <w:t>1) en Shanghái. China asumirá sus obligaciones de país anfitrión con arreglo al Reglamento de la UIT, correrá con los gastos adicionales necesarios para la celebración de la Conferencia y las reuniones y proporcionará el apoyo logístico pertinente. Le invitamos cordialmente, a usted y a sus colegas de la UIT, a visitar China a su debido tiempo.</w:t>
      </w:r>
    </w:p>
    <w:p w14:paraId="2877294E" w14:textId="77777777" w:rsidR="001353C6" w:rsidRPr="00860E55" w:rsidRDefault="001353C6" w:rsidP="001F436B">
      <w:pPr>
        <w:rPr>
          <w:lang w:val="es-ES"/>
        </w:rPr>
      </w:pPr>
      <w:r w:rsidRPr="00860E55">
        <w:rPr>
          <w:lang w:val="es-ES"/>
        </w:rPr>
        <w:t>De celebrarse la CMR</w:t>
      </w:r>
      <w:r>
        <w:rPr>
          <w:lang w:val="es-ES"/>
        </w:rPr>
        <w:noBreakHyphen/>
      </w:r>
      <w:r w:rsidRPr="00860E55">
        <w:rPr>
          <w:lang w:val="es-ES"/>
        </w:rPr>
        <w:t xml:space="preserve">27 en China, reforzaremos la comunicación y la cooperación con la Secretaría de la UIT, desempeñaremos un excelente trabajo en la prestación de servicios y garantías para la Conferencia y las reuniones, y colaboraremos con los Miembros de la UIT para mostrar al mundo un evento emblemático de radiocomunicaciones, que se caracterizará por la cooperación y el beneficio mutuo, así como por fructíferos </w:t>
      </w:r>
      <w:r w:rsidRPr="001F436B">
        <w:rPr>
          <w:lang w:val="es-ES"/>
        </w:rPr>
        <w:t>resultados</w:t>
      </w:r>
      <w:r w:rsidRPr="00860E55">
        <w:rPr>
          <w:lang w:val="es-ES"/>
        </w:rPr>
        <w:t>.</w:t>
      </w:r>
    </w:p>
    <w:p w14:paraId="7E786714" w14:textId="77777777" w:rsidR="001353C6" w:rsidRPr="00860E55" w:rsidRDefault="001353C6" w:rsidP="00D57E33">
      <w:pPr>
        <w:keepNext/>
        <w:keepLines/>
        <w:rPr>
          <w:lang w:val="es-ES"/>
        </w:rPr>
      </w:pPr>
      <w:r w:rsidRPr="00860E55">
        <w:rPr>
          <w:lang w:val="es-ES"/>
        </w:rPr>
        <w:lastRenderedPageBreak/>
        <w:t>Le deseo mucho éxito en su trabajo y que disfrute de buena salud.</w:t>
      </w:r>
    </w:p>
    <w:p w14:paraId="6C1770FC" w14:textId="77777777" w:rsidR="001353C6" w:rsidRPr="00860E55" w:rsidRDefault="001353C6" w:rsidP="00D57E33">
      <w:pPr>
        <w:keepNext/>
        <w:keepLines/>
        <w:rPr>
          <w:lang w:val="es-ES"/>
        </w:rPr>
      </w:pPr>
      <w:r w:rsidRPr="00860E55">
        <w:rPr>
          <w:lang w:val="es-ES"/>
        </w:rPr>
        <w:t>Atentamente,</w:t>
      </w:r>
    </w:p>
    <w:p w14:paraId="5A56642A" w14:textId="77777777" w:rsidR="001353C6" w:rsidRPr="00860E55" w:rsidRDefault="001353C6" w:rsidP="001353C6">
      <w:pPr>
        <w:spacing w:before="360" w:after="360"/>
        <w:rPr>
          <w:lang w:val="es-ES"/>
        </w:rPr>
      </w:pPr>
      <w:r w:rsidRPr="00860E55">
        <w:rPr>
          <w:i/>
          <w:iCs/>
          <w:lang w:val="es-ES"/>
        </w:rPr>
        <w:t>(firmado)</w:t>
      </w:r>
    </w:p>
    <w:p w14:paraId="3F4D7966" w14:textId="77777777" w:rsidR="001353C6" w:rsidRPr="00860E55" w:rsidRDefault="001353C6" w:rsidP="00D57E33">
      <w:pPr>
        <w:spacing w:before="0"/>
        <w:rPr>
          <w:lang w:val="es-ES"/>
        </w:rPr>
      </w:pPr>
      <w:proofErr w:type="spellStart"/>
      <w:r w:rsidRPr="00860E55">
        <w:rPr>
          <w:lang w:val="es-ES"/>
        </w:rPr>
        <w:t>Zhuanglong</w:t>
      </w:r>
      <w:proofErr w:type="spellEnd"/>
      <w:r w:rsidRPr="00860E55">
        <w:rPr>
          <w:lang w:val="es-ES"/>
        </w:rPr>
        <w:t xml:space="preserve"> JIN</w:t>
      </w:r>
      <w:r w:rsidRPr="00860E55">
        <w:rPr>
          <w:lang w:val="es-ES"/>
        </w:rPr>
        <w:br/>
        <w:t>Ministro del MIIT</w:t>
      </w:r>
      <w:r w:rsidRPr="00860E55">
        <w:rPr>
          <w:lang w:val="es-ES"/>
        </w:rPr>
        <w:br/>
        <w:t>R.P. de China</w:t>
      </w:r>
    </w:p>
    <w:p w14:paraId="4BD0BE11" w14:textId="77777777" w:rsidR="001353C6" w:rsidRDefault="001353C6" w:rsidP="001353C6">
      <w:pPr>
        <w:pStyle w:val="Reasons"/>
      </w:pPr>
    </w:p>
    <w:p w14:paraId="221861E7" w14:textId="77777777" w:rsidR="001353C6" w:rsidRDefault="001353C6" w:rsidP="001353C6">
      <w:pPr>
        <w:jc w:val="center"/>
      </w:pPr>
      <w:r>
        <w:t>______________</w:t>
      </w:r>
    </w:p>
    <w:sectPr w:rsidR="001353C6" w:rsidSect="00C538FC">
      <w:footerReference w:type="default" r:id="rId10"/>
      <w:headerReference w:type="first" r:id="rId11"/>
      <w:footerReference w:type="first" r:id="rId12"/>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9F0CF1" w14:textId="77777777" w:rsidR="0064481D" w:rsidRDefault="0064481D">
      <w:r>
        <w:separator/>
      </w:r>
    </w:p>
  </w:endnote>
  <w:endnote w:type="continuationSeparator" w:id="0">
    <w:p w14:paraId="0F717ED5" w14:textId="77777777" w:rsidR="0064481D" w:rsidRDefault="006448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8"/>
      <w:gridCol w:w="8386"/>
    </w:tblGrid>
    <w:tr w:rsidR="001F436B" w:rsidRPr="00784011" w14:paraId="79DB5C18" w14:textId="77777777" w:rsidTr="001F436B">
      <w:trPr>
        <w:jc w:val="center"/>
      </w:trPr>
      <w:tc>
        <w:tcPr>
          <w:tcW w:w="1678" w:type="dxa"/>
          <w:vAlign w:val="center"/>
        </w:tcPr>
        <w:p w14:paraId="06DEECE3" w14:textId="09E7D56F" w:rsidR="001F436B" w:rsidRDefault="001F436B" w:rsidP="001F436B">
          <w:pPr>
            <w:pStyle w:val="Header"/>
            <w:jc w:val="left"/>
            <w:rPr>
              <w:noProof/>
            </w:rPr>
          </w:pPr>
          <w:r>
            <w:rPr>
              <w:noProof/>
            </w:rPr>
            <w:t>2400927</w:t>
          </w:r>
        </w:p>
      </w:tc>
      <w:tc>
        <w:tcPr>
          <w:tcW w:w="8386" w:type="dxa"/>
        </w:tcPr>
        <w:p w14:paraId="31328314" w14:textId="631A50A4" w:rsidR="001F436B" w:rsidRPr="00E06FD5" w:rsidRDefault="001F436B" w:rsidP="00525FF5">
          <w:pPr>
            <w:pStyle w:val="Header"/>
            <w:tabs>
              <w:tab w:val="left" w:pos="6682"/>
              <w:tab w:val="right" w:pos="8430"/>
              <w:tab w:val="right" w:pos="9639"/>
            </w:tabs>
            <w:jc w:val="both"/>
            <w:rPr>
              <w:rFonts w:ascii="Arial" w:hAnsi="Arial" w:cs="Arial"/>
              <w:b/>
              <w:bCs/>
              <w:szCs w:val="18"/>
            </w:rPr>
          </w:pPr>
          <w:r>
            <w:rPr>
              <w:bCs/>
            </w:rPr>
            <w:tab/>
          </w:r>
          <w:r w:rsidRPr="00623AE3">
            <w:rPr>
              <w:bCs/>
            </w:rPr>
            <w:t>C</w:t>
          </w:r>
          <w:r>
            <w:rPr>
              <w:bCs/>
            </w:rPr>
            <w:t>24</w:t>
          </w:r>
          <w:r w:rsidRPr="00623AE3">
            <w:rPr>
              <w:bCs/>
            </w:rPr>
            <w:t>/</w:t>
          </w:r>
          <w:r>
            <w:rPr>
              <w:bCs/>
            </w:rPr>
            <w:t>64(Rev.1)</w:t>
          </w:r>
          <w:r w:rsidRPr="00623AE3">
            <w:rPr>
              <w:bCs/>
            </w:rPr>
            <w:t>-</w:t>
          </w:r>
          <w:r>
            <w:rPr>
              <w:bCs/>
            </w:rPr>
            <w:t>S</w:t>
          </w:r>
          <w:r>
            <w:rPr>
              <w:bCs/>
            </w:rPr>
            <w:tab/>
          </w:r>
          <w:r>
            <w:fldChar w:fldCharType="begin"/>
          </w:r>
          <w:r>
            <w:instrText>PAGE</w:instrText>
          </w:r>
          <w:r>
            <w:fldChar w:fldCharType="separate"/>
          </w:r>
          <w:r>
            <w:t>1</w:t>
          </w:r>
          <w:r>
            <w:rPr>
              <w:noProof/>
            </w:rPr>
            <w:fldChar w:fldCharType="end"/>
          </w:r>
        </w:p>
      </w:tc>
    </w:tr>
  </w:tbl>
  <w:p w14:paraId="6F691002" w14:textId="77777777" w:rsidR="00760F1C" w:rsidRPr="003273A4" w:rsidRDefault="00760F1C" w:rsidP="001F436B">
    <w:pPr>
      <w:pStyle w:val="Footer"/>
      <w:jc w:val="right"/>
      <w:rPr>
        <w:b/>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F24B71" w:rsidRPr="00784011" w14:paraId="4A8F164E" w14:textId="77777777" w:rsidTr="00E31DCE">
      <w:trPr>
        <w:jc w:val="center"/>
      </w:trPr>
      <w:tc>
        <w:tcPr>
          <w:tcW w:w="1803" w:type="dxa"/>
          <w:vAlign w:val="center"/>
        </w:tcPr>
        <w:p w14:paraId="00FA64BD" w14:textId="4747333A" w:rsidR="00F24B71" w:rsidRDefault="00F24B71" w:rsidP="00F24B71">
          <w:pPr>
            <w:pStyle w:val="Header"/>
            <w:jc w:val="left"/>
            <w:rPr>
              <w:noProof/>
            </w:rPr>
          </w:pPr>
          <w:r w:rsidRPr="0064481D">
            <w:rPr>
              <w:color w:val="0563C1"/>
              <w:szCs w:val="14"/>
            </w:rPr>
            <w:t>www.itu.int/council</w:t>
          </w:r>
        </w:p>
      </w:tc>
      <w:tc>
        <w:tcPr>
          <w:tcW w:w="8261" w:type="dxa"/>
        </w:tcPr>
        <w:p w14:paraId="20F74E99" w14:textId="269F141C" w:rsidR="00F24B71" w:rsidRPr="00E06FD5" w:rsidRDefault="00F24B71" w:rsidP="004A021E">
          <w:pPr>
            <w:pStyle w:val="Header"/>
            <w:tabs>
              <w:tab w:val="left" w:pos="7070"/>
              <w:tab w:val="right" w:pos="8505"/>
              <w:tab w:val="right" w:pos="9639"/>
            </w:tabs>
            <w:jc w:val="right"/>
            <w:rPr>
              <w:rFonts w:ascii="Arial" w:hAnsi="Arial" w:cs="Arial"/>
              <w:b/>
              <w:bCs/>
              <w:szCs w:val="18"/>
            </w:rPr>
          </w:pPr>
          <w:r w:rsidRPr="00623AE3">
            <w:rPr>
              <w:bCs/>
            </w:rPr>
            <w:t>C</w:t>
          </w:r>
          <w:r>
            <w:rPr>
              <w:bCs/>
            </w:rPr>
            <w:t>2</w:t>
          </w:r>
          <w:r w:rsidR="0064481D">
            <w:rPr>
              <w:bCs/>
            </w:rPr>
            <w:t>4</w:t>
          </w:r>
          <w:r w:rsidRPr="00623AE3">
            <w:rPr>
              <w:bCs/>
            </w:rPr>
            <w:t>/</w:t>
          </w:r>
          <w:r w:rsidR="004A021E">
            <w:rPr>
              <w:bCs/>
            </w:rPr>
            <w:t>64-(Rev.1)-</w:t>
          </w:r>
          <w:r w:rsidR="003273A4">
            <w:rPr>
              <w:bCs/>
            </w:rPr>
            <w:t>S</w:t>
          </w:r>
          <w:r>
            <w:fldChar w:fldCharType="begin"/>
          </w:r>
          <w:r>
            <w:instrText>PAGE</w:instrText>
          </w:r>
          <w:r>
            <w:fldChar w:fldCharType="separate"/>
          </w:r>
          <w:r>
            <w:t>1</w:t>
          </w:r>
          <w:r>
            <w:rPr>
              <w:noProof/>
            </w:rPr>
            <w:fldChar w:fldCharType="end"/>
          </w:r>
        </w:p>
      </w:tc>
    </w:tr>
  </w:tbl>
  <w:p w14:paraId="6E5781B1" w14:textId="77777777" w:rsidR="00760F1C" w:rsidRPr="00F24B71" w:rsidRDefault="00760F1C" w:rsidP="00F24B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F13CA7" w14:textId="77777777" w:rsidR="0064481D" w:rsidRDefault="0064481D">
      <w:r>
        <w:t>____________________</w:t>
      </w:r>
    </w:p>
  </w:footnote>
  <w:footnote w:type="continuationSeparator" w:id="0">
    <w:p w14:paraId="2A38DB86" w14:textId="77777777" w:rsidR="0064481D" w:rsidRDefault="0064481D">
      <w:r>
        <w:continuationSeparator/>
      </w:r>
    </w:p>
  </w:footnote>
  <w:footnote w:id="1">
    <w:p w14:paraId="1C709896" w14:textId="77777777" w:rsidR="001353C6" w:rsidRPr="002D3548" w:rsidRDefault="001353C6" w:rsidP="001353C6">
      <w:pPr>
        <w:pStyle w:val="FootnoteText"/>
      </w:pPr>
      <w:r>
        <w:rPr>
          <w:rStyle w:val="FootnoteReference"/>
        </w:rPr>
        <w:t>1</w:t>
      </w:r>
      <w:r>
        <w:tab/>
      </w:r>
      <w:r w:rsidRPr="007841BA">
        <w:rPr>
          <w:sz w:val="20"/>
          <w:lang w:val="es-ES"/>
        </w:rPr>
        <w:t>El subpunto permanente del orden del día de esta CMR se limita estrictamente al Informe del Director sobre las actividades del UIT-R desde la última CMR; y se evitará estrictamente cualquier tema distinto de los 1.1 a 1.19 enumerados anteriormente, en particular aquellos que exijan algún cambio/modificación del Reglamento de Radiocomunicaciones.</w:t>
      </w:r>
    </w:p>
  </w:footnote>
  <w:footnote w:id="2">
    <w:p w14:paraId="269A78C7" w14:textId="77777777" w:rsidR="001353C6" w:rsidRPr="002D3548" w:rsidRDefault="001353C6" w:rsidP="001353C6">
      <w:pPr>
        <w:pStyle w:val="FootnoteText"/>
      </w:pPr>
      <w:r>
        <w:rPr>
          <w:rStyle w:val="FootnoteReference"/>
        </w:rPr>
        <w:t>2</w:t>
      </w:r>
      <w:r>
        <w:tab/>
      </w:r>
      <w:r w:rsidRPr="003A1A81">
        <w:rPr>
          <w:sz w:val="20"/>
          <w:lang w:val="es-ES"/>
        </w:rPr>
        <w:t>El subpunto permanente del orden del día de esta CMR se limita estrictamente al Informe del Director sobre las dificultades o incoherencias observadas en la aplicación del Reglamento de Radiocomunicaciones y a los comentarios de las administraciones. Se invita a las administraciones a que informen al Director de la Oficina de Radiocomunicaciones de las dificultades o incoherencias observadas en el Reglamento de Radiocomunicaciones.</w:t>
      </w:r>
    </w:p>
  </w:footnote>
  <w:footnote w:id="3">
    <w:p w14:paraId="0F182C4F" w14:textId="77777777" w:rsidR="001353C6" w:rsidRPr="000E459C" w:rsidRDefault="001353C6" w:rsidP="001353C6">
      <w:pPr>
        <w:pStyle w:val="FootnoteText"/>
        <w:rPr>
          <w:sz w:val="20"/>
        </w:rPr>
      </w:pPr>
      <w:r w:rsidRPr="000E459C">
        <w:rPr>
          <w:rStyle w:val="FootnoteReference"/>
          <w:sz w:val="20"/>
        </w:rPr>
        <w:t>1</w:t>
      </w:r>
      <w:r w:rsidRPr="000E459C">
        <w:rPr>
          <w:sz w:val="20"/>
        </w:rPr>
        <w:tab/>
      </w:r>
      <w:r w:rsidRPr="000E459C">
        <w:rPr>
          <w:sz w:val="20"/>
          <w:lang w:val="es-ES"/>
        </w:rPr>
        <w:t>El subpunto permanente del orden del día de esta CMR se limita estrictamente al Informe del Director sobre las actividades del UIT</w:t>
      </w:r>
      <w:r w:rsidRPr="000E459C">
        <w:rPr>
          <w:sz w:val="20"/>
          <w:lang w:val="es-ES"/>
        </w:rPr>
        <w:noBreakHyphen/>
        <w:t>R desde la última CMR; y se evitará estrictamente cualquier tema distinto de los 1.1 a 1.19 enumerados anteriormente, en particular aquellos que exijan algún cambio/modificación del Reglamento de Radiocomunicaciones.</w:t>
      </w:r>
    </w:p>
  </w:footnote>
  <w:footnote w:id="4">
    <w:p w14:paraId="2D688727" w14:textId="77777777" w:rsidR="001353C6" w:rsidRPr="002D3548" w:rsidRDefault="001353C6" w:rsidP="001353C6">
      <w:pPr>
        <w:pStyle w:val="FootnoteText"/>
      </w:pPr>
      <w:r w:rsidRPr="000E459C">
        <w:rPr>
          <w:rStyle w:val="FootnoteReference"/>
          <w:sz w:val="20"/>
        </w:rPr>
        <w:t>2</w:t>
      </w:r>
      <w:r w:rsidRPr="000E459C">
        <w:rPr>
          <w:sz w:val="20"/>
        </w:rPr>
        <w:tab/>
      </w:r>
      <w:r w:rsidRPr="000E459C">
        <w:rPr>
          <w:sz w:val="20"/>
          <w:lang w:val="es-ES"/>
        </w:rPr>
        <w:t>El subpunto permanente del orden del día de esta CMR se limita estrictamente al Informe del Director sobre las dificultades o incoherencias observadas en la aplicación del Reglamento de Radiocomunicaciones y a los comentarios de las administraciones. Se invita a las administraciones a que informen al Director de la Oficina de Radiocomunicaciones de las dificultades o incoherencias observadas en el Reglamento de Radiocomunicaciones.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1559F5" w:rsidRPr="00784011" w14:paraId="76B6746D" w14:textId="77777777" w:rsidTr="00E31DCE">
      <w:trPr>
        <w:trHeight w:val="1104"/>
        <w:jc w:val="center"/>
      </w:trPr>
      <w:tc>
        <w:tcPr>
          <w:tcW w:w="4390" w:type="dxa"/>
          <w:vAlign w:val="center"/>
        </w:tcPr>
        <w:p w14:paraId="60B7BDEF" w14:textId="13E11BFA" w:rsidR="001559F5" w:rsidRPr="009621F8" w:rsidRDefault="0064481D" w:rsidP="001559F5">
          <w:pPr>
            <w:pStyle w:val="Header"/>
            <w:jc w:val="left"/>
            <w:rPr>
              <w:rFonts w:ascii="Arial" w:hAnsi="Arial" w:cs="Arial"/>
              <w:b/>
              <w:bCs/>
              <w:color w:val="009CD6"/>
              <w:sz w:val="36"/>
              <w:szCs w:val="36"/>
            </w:rPr>
          </w:pPr>
          <w:bookmarkStart w:id="9" w:name="_Hlk133422111"/>
          <w:r>
            <w:rPr>
              <w:noProof/>
            </w:rPr>
            <w:drawing>
              <wp:inline distT="0" distB="0" distL="0" distR="0" wp14:anchorId="609EF78D" wp14:editId="2F51CA14">
                <wp:extent cx="2368800" cy="558000"/>
                <wp:effectExtent l="0" t="0" r="0" b="0"/>
                <wp:docPr id="12059648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8800" cy="558000"/>
                        </a:xfrm>
                        <a:prstGeom prst="rect">
                          <a:avLst/>
                        </a:prstGeom>
                        <a:noFill/>
                        <a:ln>
                          <a:noFill/>
                        </a:ln>
                      </pic:spPr>
                    </pic:pic>
                  </a:graphicData>
                </a:graphic>
              </wp:inline>
            </w:drawing>
          </w:r>
        </w:p>
      </w:tc>
      <w:tc>
        <w:tcPr>
          <w:tcW w:w="5630" w:type="dxa"/>
        </w:tcPr>
        <w:p w14:paraId="03FE5BFC" w14:textId="77777777" w:rsidR="001559F5" w:rsidRDefault="001559F5" w:rsidP="001559F5">
          <w:pPr>
            <w:pStyle w:val="Header"/>
            <w:jc w:val="right"/>
            <w:rPr>
              <w:rFonts w:ascii="Arial" w:hAnsi="Arial" w:cs="Arial"/>
              <w:b/>
              <w:bCs/>
              <w:color w:val="009CD6"/>
              <w:szCs w:val="18"/>
            </w:rPr>
          </w:pPr>
        </w:p>
        <w:p w14:paraId="501B8413" w14:textId="77777777" w:rsidR="001559F5" w:rsidRDefault="001559F5" w:rsidP="001559F5">
          <w:pPr>
            <w:pStyle w:val="Header"/>
            <w:jc w:val="right"/>
            <w:rPr>
              <w:rFonts w:ascii="Arial" w:hAnsi="Arial" w:cs="Arial"/>
              <w:b/>
              <w:bCs/>
              <w:color w:val="009CD6"/>
              <w:szCs w:val="18"/>
            </w:rPr>
          </w:pPr>
        </w:p>
        <w:p w14:paraId="4AA6A937" w14:textId="77777777" w:rsidR="001559F5" w:rsidRPr="00784011" w:rsidRDefault="001559F5" w:rsidP="001559F5">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9"/>
  <w:p w14:paraId="509D6472" w14:textId="77777777" w:rsidR="001559F5" w:rsidRDefault="001559F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5B578359" wp14:editId="4756C778">
              <wp:simplePos x="0" y="0"/>
              <wp:positionH relativeFrom="page">
                <wp:posOffset>13005</wp:posOffset>
              </wp:positionH>
              <wp:positionV relativeFrom="topMargin">
                <wp:posOffset>659765</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37754A" id="Rectangle 5" o:spid="_x0000_s1026" style="position:absolute;margin-left:1pt;margin-top:51.9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" fillcolor="#009cd5" stroked="f">
              <w10:wrap anchorx="page" anchory="margin"/>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81D"/>
    <w:rsid w:val="000007D1"/>
    <w:rsid w:val="00093EEB"/>
    <w:rsid w:val="000A2F16"/>
    <w:rsid w:val="000B0D00"/>
    <w:rsid w:val="000B7C15"/>
    <w:rsid w:val="000C4670"/>
    <w:rsid w:val="000D1D0F"/>
    <w:rsid w:val="000D2C1F"/>
    <w:rsid w:val="000E459C"/>
    <w:rsid w:val="000F5290"/>
    <w:rsid w:val="00100462"/>
    <w:rsid w:val="0010165C"/>
    <w:rsid w:val="001353C6"/>
    <w:rsid w:val="00146BFB"/>
    <w:rsid w:val="001559F5"/>
    <w:rsid w:val="001B6925"/>
    <w:rsid w:val="001F14A2"/>
    <w:rsid w:val="001F436B"/>
    <w:rsid w:val="002801AA"/>
    <w:rsid w:val="002C0781"/>
    <w:rsid w:val="002C4676"/>
    <w:rsid w:val="002C70B0"/>
    <w:rsid w:val="002F3CC4"/>
    <w:rsid w:val="003273A4"/>
    <w:rsid w:val="003A1A81"/>
    <w:rsid w:val="00473962"/>
    <w:rsid w:val="00481571"/>
    <w:rsid w:val="004874A2"/>
    <w:rsid w:val="004A021E"/>
    <w:rsid w:val="004B5D49"/>
    <w:rsid w:val="00513630"/>
    <w:rsid w:val="00525FF5"/>
    <w:rsid w:val="00560125"/>
    <w:rsid w:val="00585553"/>
    <w:rsid w:val="005B34D9"/>
    <w:rsid w:val="005C1429"/>
    <w:rsid w:val="005D0CCF"/>
    <w:rsid w:val="005F3BCB"/>
    <w:rsid w:val="005F410F"/>
    <w:rsid w:val="0060149A"/>
    <w:rsid w:val="00601924"/>
    <w:rsid w:val="00604FDA"/>
    <w:rsid w:val="006447EA"/>
    <w:rsid w:val="0064481D"/>
    <w:rsid w:val="0064731F"/>
    <w:rsid w:val="0066055D"/>
    <w:rsid w:val="00664572"/>
    <w:rsid w:val="006710F6"/>
    <w:rsid w:val="00676597"/>
    <w:rsid w:val="00677A97"/>
    <w:rsid w:val="006C1B56"/>
    <w:rsid w:val="006D4761"/>
    <w:rsid w:val="00720119"/>
    <w:rsid w:val="00726872"/>
    <w:rsid w:val="00735017"/>
    <w:rsid w:val="00760F1C"/>
    <w:rsid w:val="007657F0"/>
    <w:rsid w:val="0077252D"/>
    <w:rsid w:val="00772EDB"/>
    <w:rsid w:val="007841BA"/>
    <w:rsid w:val="007955DA"/>
    <w:rsid w:val="007E5DD3"/>
    <w:rsid w:val="007F350B"/>
    <w:rsid w:val="00820BE4"/>
    <w:rsid w:val="008451E8"/>
    <w:rsid w:val="008D1D5C"/>
    <w:rsid w:val="00913B9C"/>
    <w:rsid w:val="00927F93"/>
    <w:rsid w:val="00956E77"/>
    <w:rsid w:val="009D4C52"/>
    <w:rsid w:val="009F4811"/>
    <w:rsid w:val="00A30B5D"/>
    <w:rsid w:val="00A30C4C"/>
    <w:rsid w:val="00A97D2E"/>
    <w:rsid w:val="00AA390C"/>
    <w:rsid w:val="00B0200A"/>
    <w:rsid w:val="00B07CAF"/>
    <w:rsid w:val="00B27A34"/>
    <w:rsid w:val="00B574DB"/>
    <w:rsid w:val="00B826C2"/>
    <w:rsid w:val="00B8298E"/>
    <w:rsid w:val="00BD0723"/>
    <w:rsid w:val="00BD2518"/>
    <w:rsid w:val="00BF1D1C"/>
    <w:rsid w:val="00C20C59"/>
    <w:rsid w:val="00C2727F"/>
    <w:rsid w:val="00C538FC"/>
    <w:rsid w:val="00C55B1F"/>
    <w:rsid w:val="00CB421D"/>
    <w:rsid w:val="00CF1A67"/>
    <w:rsid w:val="00D2750E"/>
    <w:rsid w:val="00D43B85"/>
    <w:rsid w:val="00D50A36"/>
    <w:rsid w:val="00D57E33"/>
    <w:rsid w:val="00D62446"/>
    <w:rsid w:val="00D76440"/>
    <w:rsid w:val="00DA4EA2"/>
    <w:rsid w:val="00DC3D3E"/>
    <w:rsid w:val="00DE2C90"/>
    <w:rsid w:val="00DE3B24"/>
    <w:rsid w:val="00E06947"/>
    <w:rsid w:val="00E34072"/>
    <w:rsid w:val="00E3592D"/>
    <w:rsid w:val="00E50D76"/>
    <w:rsid w:val="00E92DE8"/>
    <w:rsid w:val="00EB1212"/>
    <w:rsid w:val="00ED65AB"/>
    <w:rsid w:val="00F12850"/>
    <w:rsid w:val="00F24B71"/>
    <w:rsid w:val="00F33BF4"/>
    <w:rsid w:val="00F7105E"/>
    <w:rsid w:val="00F75F57"/>
    <w:rsid w:val="00F82FEE"/>
    <w:rsid w:val="00F94963"/>
    <w:rsid w:val="00FD57D3"/>
    <w:rsid w:val="00FE57F6"/>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F011FC"/>
  <w15:docId w15:val="{19AABEA5-5120-4023-B43A-3E68776CD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Char"/>
    <w:basedOn w:val="Normal"/>
    <w:qFormat/>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paragraph" w:customStyle="1" w:styleId="Subtitle">
    <w:name w:val="Sub_title"/>
    <w:basedOn w:val="Title1"/>
    <w:qFormat/>
    <w:rsid w:val="00FE57F6"/>
    <w:pPr>
      <w:framePr w:hSpace="180" w:wrap="around" w:hAnchor="page" w:x="1821" w:y="2317"/>
      <w:spacing w:before="120" w:after="160"/>
      <w:jc w:val="left"/>
    </w:pPr>
    <w:rPr>
      <w:caps w:val="0"/>
      <w:sz w:val="34"/>
      <w:lang w:val="en-GB"/>
    </w:rPr>
  </w:style>
  <w:style w:type="character" w:customStyle="1" w:styleId="HeaderChar">
    <w:name w:val="Header Char"/>
    <w:basedOn w:val="DefaultParagraphFont"/>
    <w:link w:val="Header"/>
    <w:uiPriority w:val="99"/>
    <w:rsid w:val="001559F5"/>
    <w:rPr>
      <w:rFonts w:ascii="Calibri" w:hAnsi="Calibri"/>
      <w:sz w:val="18"/>
      <w:lang w:val="es-ES_tradnl" w:eastAsia="en-US"/>
    </w:rPr>
  </w:style>
  <w:style w:type="table" w:styleId="TableGrid">
    <w:name w:val="Table Grid"/>
    <w:basedOn w:val="TableNormal"/>
    <w:uiPriority w:val="39"/>
    <w:rsid w:val="001559F5"/>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title0">
    <w:name w:val="Normal_after_title"/>
    <w:basedOn w:val="Normal"/>
    <w:next w:val="Normal"/>
    <w:rsid w:val="001353C6"/>
    <w:pPr>
      <w:tabs>
        <w:tab w:val="clear" w:pos="567"/>
        <w:tab w:val="clear" w:pos="1134"/>
        <w:tab w:val="clear" w:pos="1701"/>
        <w:tab w:val="clear" w:pos="2268"/>
        <w:tab w:val="clear" w:pos="2835"/>
        <w:tab w:val="left" w:pos="794"/>
        <w:tab w:val="left" w:pos="1191"/>
        <w:tab w:val="left" w:pos="1588"/>
        <w:tab w:val="left" w:pos="1985"/>
      </w:tabs>
      <w:spacing w:before="360"/>
    </w:pPr>
    <w:rPr>
      <w:rFonts w:asciiTheme="minorHAnsi" w:hAnsiTheme="minorHAnsi"/>
    </w:rPr>
  </w:style>
  <w:style w:type="character" w:styleId="UnresolvedMention">
    <w:name w:val="Unresolved Mention"/>
    <w:basedOn w:val="DefaultParagraphFont"/>
    <w:uiPriority w:val="99"/>
    <w:semiHidden/>
    <w:unhideWhenUsed/>
    <w:rsid w:val="005C14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dms_pub/itu-r/opb/act/r-act-wrc.16-2024-pdf-s.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itu.int/en/council/Documents/basic-texts/Convention-S.pdf"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75A459-F048-4E72-93F6-72D2C3EC1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Pages>
  <Words>4890</Words>
  <Characters>27607</Characters>
  <Application>Microsoft Office Word</Application>
  <DocSecurity>0</DocSecurity>
  <Lines>230</Lines>
  <Paragraphs>64</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International Telecommunication Union</Company>
  <LinksUpToDate>false</LinksUpToDate>
  <CharactersWithSpaces>32433</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Orden del día de la Conferencia Mundial de Radiocomunicaciones 2027 (CMR-27)</dc:title>
  <dc:subject>Consejo 2024 de la UIT</dc:subject>
  <dc:creator>Brouard, Ricarda</dc:creator>
  <cp:keywords>C2024, C24, Council-24</cp:keywords>
  <dc:description/>
  <cp:lastModifiedBy>Brouard, Ricarda</cp:lastModifiedBy>
  <cp:revision>5</cp:revision>
  <cp:lastPrinted>2024-06-05T06:59:00Z</cp:lastPrinted>
  <dcterms:created xsi:type="dcterms:W3CDTF">2024-06-05T06:58:00Z</dcterms:created>
  <dcterms:modified xsi:type="dcterms:W3CDTF">2024-06-05T06:59:00Z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