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367FB9" w14:paraId="44E7541D" w14:textId="77777777" w:rsidTr="00D72F49">
        <w:trPr>
          <w:cantSplit/>
          <w:trHeight w:val="23"/>
        </w:trPr>
        <w:tc>
          <w:tcPr>
            <w:tcW w:w="3969" w:type="dxa"/>
            <w:vMerge w:val="restart"/>
            <w:tcMar>
              <w:left w:w="0" w:type="dxa"/>
            </w:tcMar>
          </w:tcPr>
          <w:p w14:paraId="60AF5028" w14:textId="686E801B" w:rsidR="00D72F49" w:rsidRPr="00367FB9" w:rsidRDefault="00D72F49" w:rsidP="00D72F49">
            <w:pPr>
              <w:tabs>
                <w:tab w:val="left" w:pos="851"/>
              </w:tabs>
              <w:spacing w:before="0" w:line="240" w:lineRule="atLeast"/>
              <w:rPr>
                <w:b/>
              </w:rPr>
            </w:pPr>
            <w:r w:rsidRPr="00367FB9">
              <w:rPr>
                <w:b/>
              </w:rPr>
              <w:t>Point de l</w:t>
            </w:r>
            <w:r w:rsidR="009D3B9D" w:rsidRPr="00367FB9">
              <w:rPr>
                <w:b/>
              </w:rPr>
              <w:t>'</w:t>
            </w:r>
            <w:r w:rsidRPr="00367FB9">
              <w:rPr>
                <w:b/>
              </w:rPr>
              <w:t>ordre du jour:</w:t>
            </w:r>
            <w:r w:rsidR="00A0310C" w:rsidRPr="00367FB9">
              <w:rPr>
                <w:b/>
              </w:rPr>
              <w:t xml:space="preserve"> PL 3</w:t>
            </w:r>
          </w:p>
        </w:tc>
        <w:tc>
          <w:tcPr>
            <w:tcW w:w="5245" w:type="dxa"/>
          </w:tcPr>
          <w:p w14:paraId="40A2E992" w14:textId="43F3CC19" w:rsidR="00D72F49" w:rsidRPr="00367FB9" w:rsidRDefault="00E607C3" w:rsidP="00D72F49">
            <w:pPr>
              <w:tabs>
                <w:tab w:val="left" w:pos="851"/>
              </w:tabs>
              <w:spacing w:before="0" w:line="240" w:lineRule="atLeast"/>
              <w:jc w:val="right"/>
              <w:rPr>
                <w:b/>
              </w:rPr>
            </w:pPr>
            <w:r w:rsidRPr="00367FB9">
              <w:rPr>
                <w:b/>
              </w:rPr>
              <w:t>Révision 1 du</w:t>
            </w:r>
            <w:r w:rsidRPr="00367FB9">
              <w:rPr>
                <w:b/>
              </w:rPr>
              <w:br/>
            </w:r>
            <w:r w:rsidR="00D72F49" w:rsidRPr="00367FB9">
              <w:rPr>
                <w:b/>
              </w:rPr>
              <w:t>Document C2</w:t>
            </w:r>
            <w:r w:rsidR="0073275D" w:rsidRPr="00367FB9">
              <w:rPr>
                <w:b/>
              </w:rPr>
              <w:t>4</w:t>
            </w:r>
            <w:r w:rsidR="00D72F49" w:rsidRPr="00367FB9">
              <w:rPr>
                <w:b/>
              </w:rPr>
              <w:t>/</w:t>
            </w:r>
            <w:r w:rsidR="00A0310C" w:rsidRPr="00367FB9">
              <w:rPr>
                <w:b/>
              </w:rPr>
              <w:t>64</w:t>
            </w:r>
            <w:r w:rsidR="00D72F49" w:rsidRPr="00367FB9">
              <w:rPr>
                <w:b/>
              </w:rPr>
              <w:t>-F</w:t>
            </w:r>
          </w:p>
        </w:tc>
      </w:tr>
      <w:tr w:rsidR="00D72F49" w:rsidRPr="00367FB9" w14:paraId="7E3FB328" w14:textId="77777777" w:rsidTr="00D72F49">
        <w:trPr>
          <w:cantSplit/>
        </w:trPr>
        <w:tc>
          <w:tcPr>
            <w:tcW w:w="3969" w:type="dxa"/>
            <w:vMerge/>
          </w:tcPr>
          <w:p w14:paraId="7992C0B6" w14:textId="77777777" w:rsidR="00D72F49" w:rsidRPr="00367FB9" w:rsidRDefault="00D72F49" w:rsidP="00D72F49">
            <w:pPr>
              <w:tabs>
                <w:tab w:val="left" w:pos="851"/>
              </w:tabs>
              <w:spacing w:line="240" w:lineRule="atLeast"/>
              <w:rPr>
                <w:b/>
              </w:rPr>
            </w:pPr>
          </w:p>
        </w:tc>
        <w:tc>
          <w:tcPr>
            <w:tcW w:w="5245" w:type="dxa"/>
          </w:tcPr>
          <w:p w14:paraId="0DF800B4" w14:textId="72307A84" w:rsidR="00D72F49" w:rsidRPr="00367FB9" w:rsidRDefault="00E607C3" w:rsidP="00D72F49">
            <w:pPr>
              <w:tabs>
                <w:tab w:val="left" w:pos="851"/>
              </w:tabs>
              <w:spacing w:before="0"/>
              <w:jc w:val="right"/>
              <w:rPr>
                <w:b/>
              </w:rPr>
            </w:pPr>
            <w:r w:rsidRPr="00367FB9">
              <w:rPr>
                <w:b/>
              </w:rPr>
              <w:t>3</w:t>
            </w:r>
            <w:r w:rsidR="00A0310C" w:rsidRPr="00367FB9">
              <w:rPr>
                <w:b/>
              </w:rPr>
              <w:t>1 mai</w:t>
            </w:r>
            <w:r w:rsidR="00D72F49" w:rsidRPr="00367FB9">
              <w:rPr>
                <w:b/>
              </w:rPr>
              <w:t xml:space="preserve"> 202</w:t>
            </w:r>
            <w:r w:rsidR="0073275D" w:rsidRPr="00367FB9">
              <w:rPr>
                <w:b/>
              </w:rPr>
              <w:t>4</w:t>
            </w:r>
          </w:p>
        </w:tc>
      </w:tr>
      <w:tr w:rsidR="00D72F49" w:rsidRPr="00367FB9" w14:paraId="04831CCA" w14:textId="77777777" w:rsidTr="00D72F49">
        <w:trPr>
          <w:cantSplit/>
          <w:trHeight w:val="23"/>
        </w:trPr>
        <w:tc>
          <w:tcPr>
            <w:tcW w:w="3969" w:type="dxa"/>
            <w:vMerge/>
          </w:tcPr>
          <w:p w14:paraId="6CC90774" w14:textId="77777777" w:rsidR="00D72F49" w:rsidRPr="00367FB9" w:rsidRDefault="00D72F49" w:rsidP="00D72F49">
            <w:pPr>
              <w:tabs>
                <w:tab w:val="left" w:pos="851"/>
              </w:tabs>
              <w:spacing w:line="240" w:lineRule="atLeast"/>
              <w:rPr>
                <w:b/>
              </w:rPr>
            </w:pPr>
          </w:p>
        </w:tc>
        <w:tc>
          <w:tcPr>
            <w:tcW w:w="5245" w:type="dxa"/>
          </w:tcPr>
          <w:p w14:paraId="772FEC24" w14:textId="77777777" w:rsidR="00D72F49" w:rsidRPr="00367FB9" w:rsidRDefault="00D72F49" w:rsidP="00D72F49">
            <w:pPr>
              <w:tabs>
                <w:tab w:val="left" w:pos="851"/>
              </w:tabs>
              <w:spacing w:before="0" w:line="240" w:lineRule="atLeast"/>
              <w:jc w:val="right"/>
              <w:rPr>
                <w:b/>
              </w:rPr>
            </w:pPr>
            <w:r w:rsidRPr="00367FB9">
              <w:rPr>
                <w:b/>
              </w:rPr>
              <w:t>Original: anglais</w:t>
            </w:r>
          </w:p>
        </w:tc>
      </w:tr>
      <w:tr w:rsidR="00D72F49" w:rsidRPr="00367FB9" w14:paraId="5578BFBB" w14:textId="77777777" w:rsidTr="00D72F49">
        <w:trPr>
          <w:cantSplit/>
          <w:trHeight w:val="23"/>
        </w:trPr>
        <w:tc>
          <w:tcPr>
            <w:tcW w:w="3969" w:type="dxa"/>
          </w:tcPr>
          <w:p w14:paraId="34F420AA" w14:textId="77777777" w:rsidR="00D72F49" w:rsidRPr="00367FB9" w:rsidRDefault="00D72F49" w:rsidP="00D72F49">
            <w:pPr>
              <w:tabs>
                <w:tab w:val="left" w:pos="851"/>
              </w:tabs>
              <w:spacing w:line="240" w:lineRule="atLeast"/>
              <w:rPr>
                <w:b/>
              </w:rPr>
            </w:pPr>
          </w:p>
        </w:tc>
        <w:tc>
          <w:tcPr>
            <w:tcW w:w="5245" w:type="dxa"/>
          </w:tcPr>
          <w:p w14:paraId="1495E4D7" w14:textId="77777777" w:rsidR="00D72F49" w:rsidRPr="00367FB9" w:rsidRDefault="00D72F49" w:rsidP="00D72F49">
            <w:pPr>
              <w:tabs>
                <w:tab w:val="left" w:pos="851"/>
              </w:tabs>
              <w:spacing w:before="0" w:line="240" w:lineRule="atLeast"/>
              <w:jc w:val="right"/>
              <w:rPr>
                <w:b/>
              </w:rPr>
            </w:pPr>
          </w:p>
        </w:tc>
      </w:tr>
      <w:tr w:rsidR="00D72F49" w:rsidRPr="00367FB9" w14:paraId="4CCBCDA5" w14:textId="77777777" w:rsidTr="00D72F49">
        <w:trPr>
          <w:cantSplit/>
        </w:trPr>
        <w:tc>
          <w:tcPr>
            <w:tcW w:w="9214" w:type="dxa"/>
            <w:gridSpan w:val="2"/>
            <w:tcMar>
              <w:left w:w="0" w:type="dxa"/>
            </w:tcMar>
          </w:tcPr>
          <w:p w14:paraId="1460488C" w14:textId="77777777" w:rsidR="00D72F49" w:rsidRPr="00367FB9" w:rsidRDefault="00D72F49" w:rsidP="00D72F49">
            <w:pPr>
              <w:pStyle w:val="Source"/>
              <w:jc w:val="left"/>
              <w:rPr>
                <w:sz w:val="34"/>
                <w:szCs w:val="34"/>
              </w:rPr>
            </w:pPr>
            <w:r w:rsidRPr="00367FB9">
              <w:rPr>
                <w:rFonts w:cstheme="minorHAnsi"/>
                <w:color w:val="000000"/>
                <w:sz w:val="34"/>
                <w:szCs w:val="34"/>
              </w:rPr>
              <w:t xml:space="preserve">Rapport </w:t>
            </w:r>
            <w:r w:rsidR="00E95647" w:rsidRPr="00367FB9">
              <w:rPr>
                <w:rFonts w:cstheme="minorHAnsi"/>
                <w:color w:val="000000"/>
                <w:sz w:val="34"/>
                <w:szCs w:val="34"/>
              </w:rPr>
              <w:t xml:space="preserve">de la </w:t>
            </w:r>
            <w:r w:rsidRPr="00367FB9">
              <w:rPr>
                <w:rFonts w:cstheme="minorHAnsi"/>
                <w:color w:val="000000"/>
                <w:sz w:val="34"/>
                <w:szCs w:val="34"/>
              </w:rPr>
              <w:t>Secrétaire général</w:t>
            </w:r>
            <w:r w:rsidR="00E95647" w:rsidRPr="00367FB9">
              <w:rPr>
                <w:rFonts w:cstheme="minorHAnsi"/>
                <w:color w:val="000000"/>
                <w:sz w:val="34"/>
                <w:szCs w:val="34"/>
              </w:rPr>
              <w:t>e</w:t>
            </w:r>
          </w:p>
        </w:tc>
      </w:tr>
      <w:tr w:rsidR="00D72F49" w:rsidRPr="00367FB9" w14:paraId="3F5F5915" w14:textId="77777777" w:rsidTr="00D72F49">
        <w:trPr>
          <w:cantSplit/>
        </w:trPr>
        <w:tc>
          <w:tcPr>
            <w:tcW w:w="9214" w:type="dxa"/>
            <w:gridSpan w:val="2"/>
            <w:tcMar>
              <w:left w:w="0" w:type="dxa"/>
            </w:tcMar>
          </w:tcPr>
          <w:p w14:paraId="419D01EB" w14:textId="633B6583" w:rsidR="00D72F49" w:rsidRPr="00367FB9" w:rsidRDefault="00A0310C" w:rsidP="00D72F49">
            <w:pPr>
              <w:pStyle w:val="Subtitle"/>
              <w:framePr w:hSpace="0" w:wrap="auto" w:hAnchor="text" w:xAlign="left" w:yAlign="inline"/>
              <w:rPr>
                <w:lang w:val="fr-FR"/>
              </w:rPr>
            </w:pPr>
            <w:r w:rsidRPr="00367FB9">
              <w:rPr>
                <w:rFonts w:cstheme="minorHAnsi"/>
                <w:lang w:val="fr-FR"/>
              </w:rPr>
              <w:t>ORDRE DU JOUR DE LA CONFÉRENCE MONDIALE DES RADIOCOMMUNICATIONS DE 2027 (CMR-27)</w:t>
            </w:r>
          </w:p>
        </w:tc>
      </w:tr>
      <w:tr w:rsidR="00D72F49" w:rsidRPr="00367FB9" w14:paraId="0F061DDA" w14:textId="77777777" w:rsidTr="00D72F49">
        <w:trPr>
          <w:cantSplit/>
        </w:trPr>
        <w:tc>
          <w:tcPr>
            <w:tcW w:w="9214" w:type="dxa"/>
            <w:gridSpan w:val="2"/>
            <w:tcBorders>
              <w:top w:val="single" w:sz="4" w:space="0" w:color="auto"/>
              <w:bottom w:val="single" w:sz="4" w:space="0" w:color="auto"/>
            </w:tcBorders>
            <w:tcMar>
              <w:left w:w="0" w:type="dxa"/>
            </w:tcMar>
          </w:tcPr>
          <w:p w14:paraId="47E943C2" w14:textId="77777777" w:rsidR="00D72F49" w:rsidRPr="00367FB9" w:rsidRDefault="00F37FE5" w:rsidP="00D72F49">
            <w:pPr>
              <w:spacing w:before="160"/>
              <w:rPr>
                <w:b/>
                <w:bCs/>
                <w:sz w:val="26"/>
                <w:szCs w:val="26"/>
              </w:rPr>
            </w:pPr>
            <w:r w:rsidRPr="00367FB9">
              <w:rPr>
                <w:b/>
                <w:bCs/>
                <w:sz w:val="26"/>
                <w:szCs w:val="26"/>
              </w:rPr>
              <w:t>Objet</w:t>
            </w:r>
          </w:p>
          <w:p w14:paraId="70BCC54C" w14:textId="1F9DF432" w:rsidR="00A0310C" w:rsidRPr="00367FB9" w:rsidRDefault="00A0310C" w:rsidP="00A0310C">
            <w:r w:rsidRPr="00367FB9">
              <w:t>Dans sa Résolution 813, la CMR-23 a recommandé des points à inscrire à l</w:t>
            </w:r>
            <w:r w:rsidR="009D3B9D" w:rsidRPr="00367FB9">
              <w:t>'</w:t>
            </w:r>
            <w:r w:rsidRPr="00367FB9">
              <w:t>ordre du jour de la Conférence mondiale des radiocommunications de 2027 (CMR-27). En application du numéro 118 de la Convention, le Conseil est chargé de fixer l</w:t>
            </w:r>
            <w:r w:rsidR="009D3B9D" w:rsidRPr="00367FB9">
              <w:t>'</w:t>
            </w:r>
            <w:r w:rsidRPr="00367FB9">
              <w:t>ordre du jour définitif d</w:t>
            </w:r>
            <w:r w:rsidR="009D3B9D" w:rsidRPr="00367FB9">
              <w:t>'</w:t>
            </w:r>
            <w:r w:rsidRPr="00367FB9">
              <w:t>une conférence mondiale des radiocommunications de préférence deux ans avant sa tenue, avec l</w:t>
            </w:r>
            <w:r w:rsidR="009D3B9D" w:rsidRPr="00367FB9">
              <w:t>'</w:t>
            </w:r>
            <w:r w:rsidRPr="00367FB9">
              <w:t>accord de la majorité des États Membres de l</w:t>
            </w:r>
            <w:r w:rsidR="009D3B9D" w:rsidRPr="00367FB9">
              <w:t>'</w:t>
            </w:r>
            <w:r w:rsidRPr="00367FB9">
              <w:t>Union, sous réserve des dispositions du numéro 47 de la Convention.</w:t>
            </w:r>
          </w:p>
          <w:p w14:paraId="5AD94E1B" w14:textId="5663F38B" w:rsidR="00D72F49" w:rsidRPr="00367FB9" w:rsidRDefault="00A0310C" w:rsidP="00A0310C">
            <w:r w:rsidRPr="00367FB9">
              <w:t>La Secrétaire générale a également reçu des Administrations du Rwanda et de la Chine des lettres dans lesquelles elles font savoir qu</w:t>
            </w:r>
            <w:r w:rsidR="009D3B9D" w:rsidRPr="00367FB9">
              <w:t>'</w:t>
            </w:r>
            <w:r w:rsidRPr="00367FB9">
              <w:t>elles souhaitent accueillir l</w:t>
            </w:r>
            <w:r w:rsidR="009D3B9D" w:rsidRPr="00367FB9">
              <w:t>'</w:t>
            </w:r>
            <w:r w:rsidRPr="00367FB9">
              <w:t>AR-27, la CMR-27 et la</w:t>
            </w:r>
            <w:r w:rsidR="008236FE" w:rsidRPr="00367FB9">
              <w:t> </w:t>
            </w:r>
            <w:r w:rsidRPr="00367FB9">
              <w:t>RPC31-1.</w:t>
            </w:r>
          </w:p>
          <w:p w14:paraId="5D963979" w14:textId="77777777" w:rsidR="00D72F49" w:rsidRPr="00367FB9" w:rsidRDefault="00D72F49" w:rsidP="00D72F49">
            <w:pPr>
              <w:spacing w:before="160"/>
              <w:rPr>
                <w:b/>
                <w:bCs/>
                <w:sz w:val="26"/>
                <w:szCs w:val="26"/>
              </w:rPr>
            </w:pPr>
            <w:r w:rsidRPr="00367FB9">
              <w:rPr>
                <w:b/>
                <w:bCs/>
                <w:sz w:val="26"/>
                <w:szCs w:val="26"/>
              </w:rPr>
              <w:t>Suite à donner par le Conseil</w:t>
            </w:r>
          </w:p>
          <w:p w14:paraId="7A289548" w14:textId="01451F47" w:rsidR="00A0310C" w:rsidRPr="00367FB9" w:rsidRDefault="00A0310C" w:rsidP="00A0310C">
            <w:r w:rsidRPr="00367FB9">
              <w:t>Le Conseil est invité:</w:t>
            </w:r>
          </w:p>
          <w:p w14:paraId="01F3DFC0" w14:textId="56DB8C73" w:rsidR="00A0310C" w:rsidRPr="00367FB9" w:rsidRDefault="00A0310C" w:rsidP="00A0310C">
            <w:pPr>
              <w:pStyle w:val="enumlev1"/>
            </w:pPr>
            <w:r w:rsidRPr="00367FB9">
              <w:t>–</w:t>
            </w:r>
            <w:r w:rsidRPr="00367FB9">
              <w:tab/>
              <w:t xml:space="preserve">à </w:t>
            </w:r>
            <w:r w:rsidRPr="00367FB9">
              <w:rPr>
                <w:b/>
                <w:bCs/>
              </w:rPr>
              <w:t>établir</w:t>
            </w:r>
            <w:r w:rsidRPr="00367FB9">
              <w:t xml:space="preserve"> l</w:t>
            </w:r>
            <w:r w:rsidR="009D3B9D" w:rsidRPr="00367FB9">
              <w:t>'</w:t>
            </w:r>
            <w:r w:rsidRPr="00367FB9">
              <w:t xml:space="preserve">ordre du jour définitif de la CMR-27 et à </w:t>
            </w:r>
            <w:r w:rsidRPr="00367FB9">
              <w:rPr>
                <w:b/>
                <w:bCs/>
              </w:rPr>
              <w:t>adopter</w:t>
            </w:r>
            <w:r w:rsidRPr="00367FB9">
              <w:t xml:space="preserve"> la Résolution reproduite dans l</w:t>
            </w:r>
            <w:r w:rsidR="009D3B9D" w:rsidRPr="00367FB9">
              <w:t>'</w:t>
            </w:r>
            <w:r w:rsidRPr="00367FB9">
              <w:t>Annexe B</w:t>
            </w:r>
            <w:r w:rsidR="00354A66" w:rsidRPr="00367FB9">
              <w:t>;</w:t>
            </w:r>
          </w:p>
          <w:p w14:paraId="6727C4BA" w14:textId="7372E502" w:rsidR="00D72F49" w:rsidRPr="00367FB9" w:rsidRDefault="00A0310C" w:rsidP="00A0310C">
            <w:pPr>
              <w:pStyle w:val="enumlev1"/>
            </w:pPr>
            <w:r w:rsidRPr="00367FB9">
              <w:t>–</w:t>
            </w:r>
            <w:r w:rsidRPr="00367FB9">
              <w:tab/>
              <w:t xml:space="preserve">à </w:t>
            </w:r>
            <w:r w:rsidRPr="00367FB9">
              <w:rPr>
                <w:b/>
                <w:bCs/>
              </w:rPr>
              <w:t>prendre acte</w:t>
            </w:r>
            <w:r w:rsidRPr="00367FB9">
              <w:t xml:space="preserve"> de l</w:t>
            </w:r>
            <w:r w:rsidR="009D3B9D" w:rsidRPr="00367FB9">
              <w:t>'</w:t>
            </w:r>
            <w:r w:rsidRPr="00367FB9">
              <w:t>intérêt manifesté par l</w:t>
            </w:r>
            <w:r w:rsidR="009D3B9D" w:rsidRPr="00367FB9">
              <w:t>'</w:t>
            </w:r>
            <w:r w:rsidRPr="00367FB9">
              <w:t>Administration du Rwanda d</w:t>
            </w:r>
            <w:r w:rsidR="009D3B9D" w:rsidRPr="00367FB9">
              <w:t>'</w:t>
            </w:r>
            <w:r w:rsidRPr="00367FB9">
              <w:t>accueillir l</w:t>
            </w:r>
            <w:r w:rsidR="009D3B9D" w:rsidRPr="00367FB9">
              <w:t>'</w:t>
            </w:r>
            <w:r w:rsidRPr="00367FB9">
              <w:t>AR</w:t>
            </w:r>
            <w:r w:rsidRPr="00367FB9">
              <w:noBreakHyphen/>
              <w:t>27, la CMR-27 et la RPC31-1 à Kigali, et de celui manifesté par l</w:t>
            </w:r>
            <w:r w:rsidR="009D3B9D" w:rsidRPr="00367FB9">
              <w:t>'</w:t>
            </w:r>
            <w:r w:rsidRPr="00367FB9">
              <w:t>Administration de la Chine d</w:t>
            </w:r>
            <w:r w:rsidR="009D3B9D" w:rsidRPr="00367FB9">
              <w:t>'</w:t>
            </w:r>
            <w:r w:rsidRPr="00367FB9">
              <w:t>accueillir ces manifestations à Shanghai.</w:t>
            </w:r>
          </w:p>
          <w:p w14:paraId="7BB2F161" w14:textId="77777777" w:rsidR="00D72F49" w:rsidRPr="00367FB9" w:rsidRDefault="00D72F49" w:rsidP="00D72F49">
            <w:pPr>
              <w:spacing w:before="160"/>
              <w:rPr>
                <w:b/>
                <w:bCs/>
                <w:sz w:val="26"/>
                <w:szCs w:val="26"/>
              </w:rPr>
            </w:pPr>
            <w:r w:rsidRPr="00367FB9">
              <w:rPr>
                <w:b/>
                <w:bCs/>
                <w:sz w:val="26"/>
                <w:szCs w:val="26"/>
              </w:rPr>
              <w:t xml:space="preserve">Lien(s) pertinent(s) avec le </w:t>
            </w:r>
            <w:r w:rsidR="00F37FE5" w:rsidRPr="00367FB9">
              <w:rPr>
                <w:b/>
                <w:bCs/>
                <w:sz w:val="26"/>
                <w:szCs w:val="26"/>
              </w:rPr>
              <w:t>p</w:t>
            </w:r>
            <w:r w:rsidRPr="00367FB9">
              <w:rPr>
                <w:b/>
                <w:bCs/>
                <w:sz w:val="26"/>
                <w:szCs w:val="26"/>
              </w:rPr>
              <w:t>lan stratégique</w:t>
            </w:r>
          </w:p>
          <w:p w14:paraId="1AE2FFF7" w14:textId="37D99025" w:rsidR="00D72F49" w:rsidRPr="00367FB9" w:rsidRDefault="00A0310C" w:rsidP="00D72F49">
            <w:r w:rsidRPr="00367FB9">
              <w:t>Élaboration et application des Règlements administratifs de l</w:t>
            </w:r>
            <w:r w:rsidR="009D3B9D" w:rsidRPr="00367FB9">
              <w:t>'</w:t>
            </w:r>
            <w:r w:rsidRPr="00367FB9">
              <w:t>UIT; plates-formes fédératrices.</w:t>
            </w:r>
          </w:p>
          <w:p w14:paraId="11826599" w14:textId="360E76B0" w:rsidR="00E95647" w:rsidRPr="00367FB9" w:rsidRDefault="00D72F49" w:rsidP="00D72F49">
            <w:pPr>
              <w:spacing w:before="160"/>
              <w:rPr>
                <w:b/>
                <w:bCs/>
                <w:sz w:val="26"/>
                <w:szCs w:val="26"/>
              </w:rPr>
            </w:pPr>
            <w:r w:rsidRPr="00367FB9">
              <w:rPr>
                <w:b/>
                <w:bCs/>
                <w:sz w:val="26"/>
                <w:szCs w:val="26"/>
              </w:rPr>
              <w:t>Incidences financières</w:t>
            </w:r>
          </w:p>
          <w:p w14:paraId="52806144" w14:textId="0FAAC4DD" w:rsidR="00D72F49" w:rsidRPr="00367FB9" w:rsidRDefault="00A0310C" w:rsidP="009736B8">
            <w:pPr>
              <w:rPr>
                <w:sz w:val="26"/>
                <w:szCs w:val="26"/>
              </w:rPr>
            </w:pPr>
            <w:r w:rsidRPr="00367FB9">
              <w:rPr>
                <w:szCs w:val="24"/>
              </w:rPr>
              <w:t>Aucune.</w:t>
            </w:r>
          </w:p>
          <w:p w14:paraId="222060DF" w14:textId="77777777" w:rsidR="00D72F49" w:rsidRPr="00367FB9" w:rsidRDefault="00D72F49" w:rsidP="009736B8">
            <w:pPr>
              <w:rPr>
                <w:caps/>
                <w:sz w:val="22"/>
              </w:rPr>
            </w:pPr>
            <w:r w:rsidRPr="00367FB9">
              <w:rPr>
                <w:sz w:val="22"/>
              </w:rPr>
              <w:t>__________________</w:t>
            </w:r>
          </w:p>
          <w:p w14:paraId="4F310575" w14:textId="77777777" w:rsidR="00D72F49" w:rsidRPr="00367FB9" w:rsidRDefault="00D72F49" w:rsidP="00D72F49">
            <w:pPr>
              <w:spacing w:before="160"/>
              <w:rPr>
                <w:b/>
                <w:bCs/>
                <w:sz w:val="26"/>
                <w:szCs w:val="26"/>
              </w:rPr>
            </w:pPr>
            <w:r w:rsidRPr="00367FB9">
              <w:rPr>
                <w:b/>
                <w:bCs/>
                <w:sz w:val="26"/>
                <w:szCs w:val="26"/>
              </w:rPr>
              <w:t>Références</w:t>
            </w:r>
          </w:p>
          <w:p w14:paraId="26AB270E" w14:textId="5C802C9B" w:rsidR="00F73BCA" w:rsidRPr="00367FB9" w:rsidRDefault="00A0310C" w:rsidP="00D72F49">
            <w:pPr>
              <w:spacing w:after="160"/>
              <w:rPr>
                <w:i/>
                <w:iCs/>
              </w:rPr>
            </w:pPr>
            <w:r w:rsidRPr="00367FB9">
              <w:rPr>
                <w:i/>
                <w:iCs/>
              </w:rPr>
              <w:t xml:space="preserve">Numéros </w:t>
            </w:r>
            <w:hyperlink r:id="rId7" w:history="1">
              <w:r w:rsidRPr="00367FB9">
                <w:rPr>
                  <w:rStyle w:val="Hyperlink"/>
                  <w:i/>
                  <w:iCs/>
                </w:rPr>
                <w:t>42</w:t>
              </w:r>
            </w:hyperlink>
            <w:r w:rsidRPr="00367FB9">
              <w:rPr>
                <w:i/>
                <w:iCs/>
              </w:rPr>
              <w:t xml:space="preserve">, </w:t>
            </w:r>
            <w:hyperlink r:id="rId8" w:history="1">
              <w:r w:rsidRPr="00367FB9">
                <w:rPr>
                  <w:rStyle w:val="Hyperlink"/>
                  <w:i/>
                  <w:iCs/>
                </w:rPr>
                <w:t>47</w:t>
              </w:r>
            </w:hyperlink>
            <w:r w:rsidRPr="00367FB9">
              <w:rPr>
                <w:i/>
                <w:iCs/>
              </w:rPr>
              <w:t xml:space="preserve">, </w:t>
            </w:r>
            <w:hyperlink r:id="rId9" w:history="1">
              <w:r w:rsidRPr="00367FB9">
                <w:rPr>
                  <w:rStyle w:val="Hyperlink"/>
                  <w:i/>
                  <w:iCs/>
                </w:rPr>
                <w:t>75</w:t>
              </w:r>
            </w:hyperlink>
            <w:r w:rsidRPr="00367FB9">
              <w:rPr>
                <w:i/>
                <w:iCs/>
              </w:rPr>
              <w:t xml:space="preserve">, </w:t>
            </w:r>
            <w:hyperlink r:id="rId10" w:history="1">
              <w:r w:rsidRPr="00367FB9">
                <w:rPr>
                  <w:rStyle w:val="Hyperlink"/>
                  <w:i/>
                  <w:iCs/>
                </w:rPr>
                <w:t>118</w:t>
              </w:r>
            </w:hyperlink>
            <w:r w:rsidRPr="00367FB9">
              <w:rPr>
                <w:i/>
                <w:iCs/>
              </w:rPr>
              <w:t xml:space="preserve">, </w:t>
            </w:r>
            <w:hyperlink r:id="rId11" w:history="1">
              <w:r w:rsidRPr="00367FB9">
                <w:rPr>
                  <w:rStyle w:val="Hyperlink"/>
                  <w:i/>
                  <w:iCs/>
                </w:rPr>
                <w:t>126</w:t>
              </w:r>
            </w:hyperlink>
            <w:r w:rsidRPr="00367FB9">
              <w:rPr>
                <w:i/>
                <w:iCs/>
              </w:rPr>
              <w:t xml:space="preserve"> de la Convention; Résolution </w:t>
            </w:r>
            <w:hyperlink r:id="rId12" w:history="1">
              <w:r w:rsidRPr="00367FB9">
                <w:rPr>
                  <w:rStyle w:val="Hyperlink"/>
                  <w:i/>
                  <w:iCs/>
                </w:rPr>
                <w:t>813 (CMR-23)</w:t>
              </w:r>
            </w:hyperlink>
          </w:p>
        </w:tc>
      </w:tr>
    </w:tbl>
    <w:p w14:paraId="786CD314" w14:textId="77777777" w:rsidR="00D83497" w:rsidRPr="00367FB9" w:rsidRDefault="00D83497" w:rsidP="00D83497">
      <w:pPr>
        <w:pStyle w:val="Heading1"/>
      </w:pPr>
      <w:r w:rsidRPr="00367FB9">
        <w:lastRenderedPageBreak/>
        <w:t>1</w:t>
      </w:r>
      <w:r w:rsidRPr="00367FB9">
        <w:tab/>
        <w:t>Conférence mondiale des radiocommunications (CMR-27)</w:t>
      </w:r>
    </w:p>
    <w:p w14:paraId="01EA8EB8" w14:textId="334EFD7D" w:rsidR="00D83497" w:rsidRPr="00367FB9" w:rsidRDefault="00D83497" w:rsidP="00D83497">
      <w:r w:rsidRPr="00367FB9">
        <w:t>1.1</w:t>
      </w:r>
      <w:r w:rsidRPr="00367FB9">
        <w:tab/>
        <w:t>La Conférence mondiale des radiocommunications (CMR-23), dans sa Résolution 813 (CMR-23) (ex COM6/23), a décidé "de recommander au Conseil de convoquer en 2027 une</w:t>
      </w:r>
      <w:r w:rsidR="003F50F9" w:rsidRPr="00367FB9">
        <w:t> </w:t>
      </w:r>
      <w:r w:rsidRPr="00367FB9">
        <w:t>CMR d</w:t>
      </w:r>
      <w:r w:rsidR="009D3B9D" w:rsidRPr="00367FB9">
        <w:t>'</w:t>
      </w:r>
      <w:r w:rsidRPr="00367FB9">
        <w:t>une durée maximale de quatre semaines" (voir l</w:t>
      </w:r>
      <w:r w:rsidR="009D3B9D" w:rsidRPr="00367FB9">
        <w:t>'</w:t>
      </w:r>
      <w:r w:rsidRPr="00367FB9">
        <w:t>Annexe A du présent document). En outre, la Conférence a recommandé au Conseil des points à inscrire à l</w:t>
      </w:r>
      <w:r w:rsidR="009D3B9D" w:rsidRPr="00367FB9">
        <w:t>'</w:t>
      </w:r>
      <w:r w:rsidRPr="00367FB9">
        <w:t>ordre du jour de la CMR-27 et a par ailleurs invité le Conseil à arrêter définitivement cet ordre du jour, à prendre les dispositions nécessaires en vue de la convocation de la CMR-27 et à engager dès que possible les consultations nécessaires avec les États Membres.</w:t>
      </w:r>
    </w:p>
    <w:p w14:paraId="1E71E46A" w14:textId="5D5B3218" w:rsidR="00D83497" w:rsidRPr="00367FB9" w:rsidRDefault="00D83497" w:rsidP="00D83497">
      <w:r w:rsidRPr="00367FB9">
        <w:t>1.2</w:t>
      </w:r>
      <w:r w:rsidRPr="00367FB9">
        <w:tab/>
        <w:t>En application du numéro 118 de la Convention, le Conseil est chargé de fixer l</w:t>
      </w:r>
      <w:r w:rsidR="009D3B9D" w:rsidRPr="00367FB9">
        <w:t>'</w:t>
      </w:r>
      <w:r w:rsidRPr="00367FB9">
        <w:t>ordre du jour définitif d</w:t>
      </w:r>
      <w:r w:rsidR="009D3B9D" w:rsidRPr="00367FB9">
        <w:t>'</w:t>
      </w:r>
      <w:r w:rsidRPr="00367FB9">
        <w:t>une conférence mondiale des radiocommunications de préférence deux</w:t>
      </w:r>
      <w:r w:rsidR="009D3B9D" w:rsidRPr="00367FB9">
        <w:t> </w:t>
      </w:r>
      <w:r w:rsidRPr="00367FB9">
        <w:t>ans avant sa tenue, avec l</w:t>
      </w:r>
      <w:r w:rsidR="009D3B9D" w:rsidRPr="00367FB9">
        <w:t>'</w:t>
      </w:r>
      <w:r w:rsidRPr="00367FB9">
        <w:t>accord de la majorité des États Membres de l</w:t>
      </w:r>
      <w:r w:rsidR="009D3B9D" w:rsidRPr="00367FB9">
        <w:t>'</w:t>
      </w:r>
      <w:r w:rsidRPr="00367FB9">
        <w:t>Union, sous réserve des dispositions du numéro 47 de la Convention. Le lieu précis et les dates exactes doivent aussi être déterminés par le Conseil avec l</w:t>
      </w:r>
      <w:r w:rsidR="009D3B9D" w:rsidRPr="00367FB9">
        <w:t>'</w:t>
      </w:r>
      <w:r w:rsidRPr="00367FB9">
        <w:t>accord de la majorité des États Membres de l</w:t>
      </w:r>
      <w:r w:rsidR="009D3B9D" w:rsidRPr="00367FB9">
        <w:t>'</w:t>
      </w:r>
      <w:r w:rsidRPr="00367FB9">
        <w:t>Union, conformément aux numéros 42 et 47 de la Convention.</w:t>
      </w:r>
    </w:p>
    <w:p w14:paraId="12547980" w14:textId="57919798" w:rsidR="00D83497" w:rsidRPr="00367FB9" w:rsidRDefault="00D83497" w:rsidP="00D83497">
      <w:pPr>
        <w:pStyle w:val="Heading1"/>
      </w:pPr>
      <w:r w:rsidRPr="00367FB9">
        <w:t>2</w:t>
      </w:r>
      <w:r w:rsidRPr="00367FB9">
        <w:tab/>
        <w:t>Demande au Conseil concernant l</w:t>
      </w:r>
      <w:r w:rsidR="009D3B9D" w:rsidRPr="00367FB9">
        <w:t>'</w:t>
      </w:r>
      <w:r w:rsidRPr="00367FB9">
        <w:t>ordre du jour de la CMR-27</w:t>
      </w:r>
    </w:p>
    <w:p w14:paraId="39C0E766" w14:textId="5A786B49" w:rsidR="00D83497" w:rsidRPr="00367FB9" w:rsidRDefault="00D83497" w:rsidP="00D83497">
      <w:r w:rsidRPr="00367FB9">
        <w:t>Le Conseil est invité à arrêter l</w:t>
      </w:r>
      <w:r w:rsidR="009D3B9D" w:rsidRPr="00367FB9">
        <w:t>'</w:t>
      </w:r>
      <w:r w:rsidRPr="00367FB9">
        <w:t>ordre du jour définitif de la CMR-27, en adoptant la Résolution reproduite dans l</w:t>
      </w:r>
      <w:r w:rsidR="009D3B9D" w:rsidRPr="00367FB9">
        <w:t>'</w:t>
      </w:r>
      <w:r w:rsidRPr="00367FB9">
        <w:t>Annexe B.</w:t>
      </w:r>
    </w:p>
    <w:p w14:paraId="387A03EE" w14:textId="3F3A809D" w:rsidR="00D83497" w:rsidRPr="00367FB9" w:rsidRDefault="00D83497" w:rsidP="00D83497">
      <w:pPr>
        <w:pStyle w:val="Heading1"/>
      </w:pPr>
      <w:r w:rsidRPr="00367FB9">
        <w:t>3</w:t>
      </w:r>
      <w:r w:rsidRPr="00367FB9">
        <w:tab/>
        <w:t>Proposition d</w:t>
      </w:r>
      <w:r w:rsidR="009D3B9D" w:rsidRPr="00367FB9">
        <w:t>'</w:t>
      </w:r>
      <w:r w:rsidRPr="00367FB9">
        <w:t>accueillir la CMR-27</w:t>
      </w:r>
    </w:p>
    <w:p w14:paraId="3BF58D10" w14:textId="77F5DF61" w:rsidR="00D83497" w:rsidRPr="00367FB9" w:rsidRDefault="00D83497" w:rsidP="00D83497">
      <w:r w:rsidRPr="00367FB9">
        <w:t>3.1</w:t>
      </w:r>
      <w:r w:rsidRPr="00367FB9">
        <w:tab/>
        <w:t>Le 28 septembre 2022, l</w:t>
      </w:r>
      <w:r w:rsidR="009D3B9D" w:rsidRPr="00367FB9">
        <w:t>'</w:t>
      </w:r>
      <w:r w:rsidRPr="00367FB9">
        <w:t>Administration du Rwanda a fait savoir à l</w:t>
      </w:r>
      <w:r w:rsidR="009D3B9D" w:rsidRPr="00367FB9">
        <w:t>'</w:t>
      </w:r>
      <w:r w:rsidRPr="00367FB9">
        <w:t>UIT qu</w:t>
      </w:r>
      <w:r w:rsidR="009D3B9D" w:rsidRPr="00367FB9">
        <w:t>'</w:t>
      </w:r>
      <w:r w:rsidRPr="00367FB9">
        <w:t>elle souhaitait accueillir l</w:t>
      </w:r>
      <w:r w:rsidR="009D3B9D" w:rsidRPr="00367FB9">
        <w:t>'</w:t>
      </w:r>
      <w:r w:rsidRPr="00367FB9">
        <w:t>AR-27, la CMR-27 et la RPC31-1 au Rwanda (voir l</w:t>
      </w:r>
      <w:r w:rsidR="009D3B9D" w:rsidRPr="00367FB9">
        <w:t>'</w:t>
      </w:r>
      <w:hyperlink w:anchor="AnnexeC" w:history="1">
        <w:r w:rsidRPr="00367FB9">
          <w:rPr>
            <w:rStyle w:val="Hyperlink"/>
          </w:rPr>
          <w:t>Annexe C</w:t>
        </w:r>
      </w:hyperlink>
      <w:r w:rsidRPr="00367FB9">
        <w:t>).</w:t>
      </w:r>
    </w:p>
    <w:p w14:paraId="56318337" w14:textId="03C3C777" w:rsidR="00D83497" w:rsidRPr="00367FB9" w:rsidRDefault="00D83497" w:rsidP="00D83497">
      <w:r w:rsidRPr="00367FB9">
        <w:t>3.2</w:t>
      </w:r>
      <w:r w:rsidRPr="00367FB9">
        <w:tab/>
        <w:t>Le 30 mai 2024, l</w:t>
      </w:r>
      <w:r w:rsidR="009D3B9D" w:rsidRPr="00367FB9">
        <w:t>'</w:t>
      </w:r>
      <w:r w:rsidRPr="00367FB9">
        <w:t>Administration de la Chine a fait savoir à l</w:t>
      </w:r>
      <w:r w:rsidR="009D3B9D" w:rsidRPr="00367FB9">
        <w:t>'</w:t>
      </w:r>
      <w:r w:rsidRPr="00367FB9">
        <w:t>UIT qu</w:t>
      </w:r>
      <w:r w:rsidR="009D3B9D" w:rsidRPr="00367FB9">
        <w:t>'</w:t>
      </w:r>
      <w:r w:rsidRPr="00367FB9">
        <w:t>elle souhaitait accueillir l</w:t>
      </w:r>
      <w:r w:rsidR="009D3B9D" w:rsidRPr="00367FB9">
        <w:t>'</w:t>
      </w:r>
      <w:r w:rsidRPr="00367FB9">
        <w:t>AR-27, la CMR-27 et la RPC31-1 à Shanghai (voir l</w:t>
      </w:r>
      <w:r w:rsidR="009D3B9D" w:rsidRPr="00367FB9">
        <w:t>'</w:t>
      </w:r>
      <w:hyperlink w:anchor="AnnexeD" w:history="1">
        <w:r w:rsidRPr="00367FB9">
          <w:rPr>
            <w:rStyle w:val="Hyperlink"/>
          </w:rPr>
          <w:t>Annexe D</w:t>
        </w:r>
      </w:hyperlink>
      <w:r w:rsidRPr="00367FB9">
        <w:t>).</w:t>
      </w:r>
    </w:p>
    <w:p w14:paraId="4483BE1B" w14:textId="75E1E640" w:rsidR="00D83497" w:rsidRPr="00367FB9" w:rsidRDefault="00D83497" w:rsidP="00D83497">
      <w:r w:rsidRPr="00367FB9">
        <w:t>3.3</w:t>
      </w:r>
      <w:r w:rsidRPr="00367FB9">
        <w:tab/>
        <w:t>Compte tenu de l</w:t>
      </w:r>
      <w:r w:rsidR="009D3B9D" w:rsidRPr="00367FB9">
        <w:t>'</w:t>
      </w:r>
      <w:r w:rsidRPr="00367FB9">
        <w:t>intérêt manifesté par ces deux administrations, le Conseil est invité à charger le BR de communiquer à ces dernières les exigences de l</w:t>
      </w:r>
      <w:r w:rsidR="009D3B9D" w:rsidRPr="00367FB9">
        <w:t>'</w:t>
      </w:r>
      <w:r w:rsidRPr="00367FB9">
        <w:t>UIT relatives à l</w:t>
      </w:r>
      <w:r w:rsidR="009D3B9D" w:rsidRPr="00367FB9">
        <w:t>'</w:t>
      </w:r>
      <w:r w:rsidRPr="00367FB9">
        <w:t>organisation de ces trois manifestations.</w:t>
      </w:r>
    </w:p>
    <w:p w14:paraId="2BB7A907" w14:textId="57FB3D21" w:rsidR="006A11AE" w:rsidRPr="00367FB9" w:rsidRDefault="00D83497" w:rsidP="003F50F9">
      <w:pPr>
        <w:spacing w:before="1440"/>
      </w:pPr>
      <w:r w:rsidRPr="00367FB9">
        <w:rPr>
          <w:b/>
          <w:bCs/>
          <w:i/>
          <w:iCs/>
        </w:rPr>
        <w:t>Annexes</w:t>
      </w:r>
      <w:r w:rsidRPr="00367FB9">
        <w:t>:</w:t>
      </w:r>
      <w:r w:rsidR="003F50F9" w:rsidRPr="00367FB9">
        <w:t xml:space="preserve"> </w:t>
      </w:r>
      <w:r w:rsidRPr="00367FB9">
        <w:t>2</w:t>
      </w:r>
    </w:p>
    <w:p w14:paraId="31D14A76" w14:textId="77777777" w:rsidR="00631B5F" w:rsidRPr="00367FB9" w:rsidRDefault="00631B5F">
      <w:pPr>
        <w:tabs>
          <w:tab w:val="clear" w:pos="567"/>
          <w:tab w:val="clear" w:pos="1134"/>
          <w:tab w:val="clear" w:pos="1701"/>
          <w:tab w:val="clear" w:pos="2268"/>
          <w:tab w:val="clear" w:pos="2835"/>
        </w:tabs>
        <w:overflowPunct/>
        <w:autoSpaceDE/>
        <w:autoSpaceDN/>
        <w:adjustRightInd/>
        <w:spacing w:before="0"/>
        <w:textAlignment w:val="auto"/>
      </w:pPr>
      <w:r w:rsidRPr="00367FB9">
        <w:br w:type="page"/>
      </w:r>
    </w:p>
    <w:p w14:paraId="7945AA26" w14:textId="77777777" w:rsidR="0024733E" w:rsidRPr="00367FB9" w:rsidRDefault="0024733E" w:rsidP="0024733E">
      <w:pPr>
        <w:pStyle w:val="AnnexNo"/>
      </w:pPr>
      <w:r w:rsidRPr="00367FB9">
        <w:lastRenderedPageBreak/>
        <w:t>ANNEXE A</w:t>
      </w:r>
    </w:p>
    <w:p w14:paraId="009D5F1B" w14:textId="77777777" w:rsidR="0024733E" w:rsidRPr="00367FB9" w:rsidRDefault="0024733E" w:rsidP="0024733E">
      <w:pPr>
        <w:pStyle w:val="ResNo"/>
        <w:rPr>
          <w:rFonts w:ascii="Times New Roman" w:hAnsi="Times New Roman"/>
        </w:rPr>
      </w:pPr>
      <w:r w:rsidRPr="00367FB9">
        <w:t>RÉSOLUTION 813 (CMR-23)</w:t>
      </w:r>
    </w:p>
    <w:p w14:paraId="3056467B" w14:textId="77777777" w:rsidR="0024733E" w:rsidRPr="00367FB9" w:rsidRDefault="0024733E" w:rsidP="0024733E">
      <w:pPr>
        <w:pStyle w:val="Restitle"/>
      </w:pPr>
      <w:r w:rsidRPr="00367FB9">
        <w:t>Ordre du jour de la Conférence mondiale</w:t>
      </w:r>
      <w:r w:rsidRPr="00367FB9">
        <w:br/>
        <w:t>des radiocommunications de 2027</w:t>
      </w:r>
    </w:p>
    <w:p w14:paraId="78DAB4F2" w14:textId="77777777" w:rsidR="0024733E" w:rsidRPr="00367FB9" w:rsidRDefault="0024733E" w:rsidP="0024733E">
      <w:pPr>
        <w:pStyle w:val="Normalaftertitle"/>
        <w:spacing w:before="360"/>
      </w:pPr>
      <w:r w:rsidRPr="00367FB9">
        <w:t>La Conférence mondiale des radiocommunications (</w:t>
      </w:r>
      <w:r w:rsidRPr="00367FB9">
        <w:rPr>
          <w:szCs w:val="24"/>
        </w:rPr>
        <w:t>Dubaï, 2023</w:t>
      </w:r>
      <w:r w:rsidRPr="00367FB9">
        <w:t>),</w:t>
      </w:r>
    </w:p>
    <w:p w14:paraId="795CB291" w14:textId="77777777" w:rsidR="0024733E" w:rsidRPr="00367FB9" w:rsidRDefault="0024733E" w:rsidP="0024733E">
      <w:pPr>
        <w:pStyle w:val="Call"/>
        <w:keepNext w:val="0"/>
        <w:keepLines w:val="0"/>
      </w:pPr>
      <w:r w:rsidRPr="00367FB9">
        <w:t>considérant</w:t>
      </w:r>
    </w:p>
    <w:p w14:paraId="743B56A4" w14:textId="54145602" w:rsidR="0024733E" w:rsidRPr="00367FB9" w:rsidRDefault="0024733E" w:rsidP="0024733E">
      <w:r w:rsidRPr="00367FB9">
        <w:rPr>
          <w:i/>
          <w:iCs/>
        </w:rPr>
        <w:t>a)</w:t>
      </w:r>
      <w:r w:rsidRPr="00367FB9">
        <w:tab/>
        <w:t>que, conformément au numéro 118 de la Convention de l</w:t>
      </w:r>
      <w:r w:rsidR="009D3B9D" w:rsidRPr="00367FB9">
        <w:t>'</w:t>
      </w:r>
      <w:r w:rsidRPr="00367FB9">
        <w:t>UIT, le cadre général de l</w:t>
      </w:r>
      <w:r w:rsidR="009D3B9D" w:rsidRPr="00367FB9">
        <w:t>'</w:t>
      </w:r>
      <w:r w:rsidRPr="00367FB9">
        <w:t>ordre du jour d</w:t>
      </w:r>
      <w:r w:rsidR="009D3B9D" w:rsidRPr="00367FB9">
        <w:t>'</w:t>
      </w:r>
      <w:r w:rsidRPr="00367FB9">
        <w:t>une conférence mondiale des radiocommunications (CMR) devrait être fixé de quatre à six ans à l</w:t>
      </w:r>
      <w:r w:rsidR="009D3B9D" w:rsidRPr="00367FB9">
        <w:t>'</w:t>
      </w:r>
      <w:r w:rsidRPr="00367FB9">
        <w:t>avance et que l</w:t>
      </w:r>
      <w:r w:rsidR="009D3B9D" w:rsidRPr="00367FB9">
        <w:t>'</w:t>
      </w:r>
      <w:r w:rsidRPr="00367FB9">
        <w:t>ordre du jour définitif est fixé par le Conseil de l</w:t>
      </w:r>
      <w:r w:rsidR="009D3B9D" w:rsidRPr="00367FB9">
        <w:t>'</w:t>
      </w:r>
      <w:r w:rsidRPr="00367FB9">
        <w:t>UIT deux ans avant la conférence;</w:t>
      </w:r>
    </w:p>
    <w:p w14:paraId="2377B60F" w14:textId="10B20B5D" w:rsidR="0024733E" w:rsidRPr="00367FB9" w:rsidRDefault="0024733E" w:rsidP="0024733E">
      <w:r w:rsidRPr="00367FB9">
        <w:rPr>
          <w:i/>
          <w:iCs/>
        </w:rPr>
        <w:t>b)</w:t>
      </w:r>
      <w:r w:rsidRPr="00367FB9">
        <w:rPr>
          <w:i/>
          <w:iCs/>
        </w:rPr>
        <w:tab/>
      </w:r>
      <w:r w:rsidRPr="00367FB9">
        <w:t>l</w:t>
      </w:r>
      <w:r w:rsidR="009D3B9D" w:rsidRPr="00367FB9">
        <w:t>'</w:t>
      </w:r>
      <w:r w:rsidRPr="00367FB9">
        <w:t>article 13 de la Constitution de l</w:t>
      </w:r>
      <w:r w:rsidR="009D3B9D" w:rsidRPr="00367FB9">
        <w:t>'</w:t>
      </w:r>
      <w:r w:rsidRPr="00367FB9">
        <w:t>UIT, concernant la compétence et la fréquence des CMR, et l</w:t>
      </w:r>
      <w:r w:rsidR="009D3B9D" w:rsidRPr="00367FB9">
        <w:t>'</w:t>
      </w:r>
      <w:r w:rsidRPr="00367FB9">
        <w:t>article 7 de la Convention relatif à leur ordre du jour;</w:t>
      </w:r>
    </w:p>
    <w:p w14:paraId="42902741" w14:textId="77777777" w:rsidR="0024733E" w:rsidRPr="00367FB9" w:rsidRDefault="0024733E" w:rsidP="0024733E">
      <w:r w:rsidRPr="00367FB9">
        <w:rPr>
          <w:i/>
          <w:iCs/>
        </w:rPr>
        <w:t>c)</w:t>
      </w:r>
      <w:r w:rsidRPr="00367FB9">
        <w:tab/>
        <w:t>les résolutions et recommandations pertinentes des conférences administratives mondiales des radiocommunications (CAMR) et des CMR précédentes,</w:t>
      </w:r>
    </w:p>
    <w:p w14:paraId="2F3EBF3B" w14:textId="77777777" w:rsidR="0024733E" w:rsidRPr="00367FB9" w:rsidRDefault="0024733E" w:rsidP="0024733E">
      <w:pPr>
        <w:pStyle w:val="Call"/>
        <w:keepNext w:val="0"/>
        <w:keepLines w:val="0"/>
      </w:pPr>
      <w:r w:rsidRPr="00367FB9">
        <w:t>reconnaissant</w:t>
      </w:r>
    </w:p>
    <w:p w14:paraId="153B1360" w14:textId="77777777" w:rsidR="0024733E" w:rsidRPr="00367FB9" w:rsidRDefault="0024733E" w:rsidP="0024733E">
      <w:r w:rsidRPr="00367FB9">
        <w:rPr>
          <w:i/>
          <w:iCs/>
        </w:rPr>
        <w:t>a)</w:t>
      </w:r>
      <w:r w:rsidRPr="00367FB9">
        <w:tab/>
        <w:t>que la présente Conférence a recensé un certain nombre de questions urgentes que la CMR</w:t>
      </w:r>
      <w:r w:rsidRPr="00367FB9">
        <w:noBreakHyphen/>
        <w:t>27 devra examiner plus avant;</w:t>
      </w:r>
    </w:p>
    <w:p w14:paraId="166314A8" w14:textId="17F8155A" w:rsidR="0024733E" w:rsidRPr="00367FB9" w:rsidRDefault="0024733E" w:rsidP="0024733E">
      <w:r w:rsidRPr="00367FB9">
        <w:rPr>
          <w:i/>
          <w:iCs/>
        </w:rPr>
        <w:t>b)</w:t>
      </w:r>
      <w:r w:rsidRPr="00367FB9">
        <w:tab/>
        <w:t>que, lors de l</w:t>
      </w:r>
      <w:r w:rsidR="009D3B9D" w:rsidRPr="00367FB9">
        <w:t>'</w:t>
      </w:r>
      <w:r w:rsidRPr="00367FB9">
        <w:t>élaboration du présent ordre du jour, certains points proposés par des administrations n</w:t>
      </w:r>
      <w:r w:rsidR="009D3B9D" w:rsidRPr="00367FB9">
        <w:t>'</w:t>
      </w:r>
      <w:r w:rsidRPr="00367FB9">
        <w:t>ont pas pu être retenus et que leur inscription a dû être reportée à l</w:t>
      </w:r>
      <w:r w:rsidR="009D3B9D" w:rsidRPr="00367FB9">
        <w:t>'</w:t>
      </w:r>
      <w:r w:rsidRPr="00367FB9">
        <w:t>ordre du jour de conférences futures,</w:t>
      </w:r>
    </w:p>
    <w:p w14:paraId="721C2F25" w14:textId="77777777" w:rsidR="0024733E" w:rsidRPr="00367FB9" w:rsidRDefault="0024733E" w:rsidP="0024733E">
      <w:pPr>
        <w:pStyle w:val="Call"/>
      </w:pPr>
      <w:r w:rsidRPr="00367FB9">
        <w:t>décide</w:t>
      </w:r>
    </w:p>
    <w:p w14:paraId="3E498E89" w14:textId="031CB807" w:rsidR="0024733E" w:rsidRPr="00367FB9" w:rsidRDefault="0024733E" w:rsidP="0024733E">
      <w:r w:rsidRPr="00367FB9">
        <w:t>de recommander au Conseil de convoquer en 2027 une CMR d</w:t>
      </w:r>
      <w:r w:rsidR="009D3B9D" w:rsidRPr="00367FB9">
        <w:t>'</w:t>
      </w:r>
      <w:r w:rsidRPr="00367FB9">
        <w:t>une durée de quatre semaines, dont l</w:t>
      </w:r>
      <w:r w:rsidR="009D3B9D" w:rsidRPr="00367FB9">
        <w:t>'</w:t>
      </w:r>
      <w:r w:rsidRPr="00367FB9">
        <w:t>ordre du jour sera le suivant:</w:t>
      </w:r>
    </w:p>
    <w:p w14:paraId="26EDED6C" w14:textId="77777777" w:rsidR="0024733E" w:rsidRPr="00367FB9" w:rsidRDefault="0024733E" w:rsidP="0024733E">
      <w:r w:rsidRPr="00367FB9">
        <w:t>1</w:t>
      </w:r>
      <w:r w:rsidRPr="00367FB9">
        <w:tab/>
        <w:t>sur la base des propositions des administrations, compte tenu des résultats de la CMR</w:t>
      </w:r>
      <w:r w:rsidRPr="00367FB9">
        <w:noBreakHyphen/>
        <w:t>23 ainsi que du Rapport de la Réunion de préparation à la Conférence et compte dûment tenu des besoins des services existants et futurs dans les bandes de fréquences considérées, examiner les points suivants et prendre les mesures appropriées:</w:t>
      </w:r>
    </w:p>
    <w:p w14:paraId="10B9FEEF" w14:textId="292814C7" w:rsidR="0024733E" w:rsidRPr="00367FB9" w:rsidRDefault="0024733E" w:rsidP="0024733E">
      <w:pPr>
        <w:rPr>
          <w:lang w:eastAsia="fr-CH"/>
        </w:rPr>
      </w:pPr>
      <w:r w:rsidRPr="00367FB9">
        <w:t>1.1</w:t>
      </w:r>
      <w:r w:rsidRPr="00367FB9">
        <w:tab/>
      </w:r>
      <w:r w:rsidRPr="00367FB9">
        <w:rPr>
          <w:lang w:eastAsia="fr-CH"/>
        </w:rPr>
        <w:t>examiner les conditions techniques et opérationnelles applicables à l</w:t>
      </w:r>
      <w:r w:rsidR="009D3B9D" w:rsidRPr="00367FB9">
        <w:rPr>
          <w:lang w:eastAsia="fr-CH"/>
        </w:rPr>
        <w:t>'</w:t>
      </w:r>
      <w:r w:rsidRPr="00367FB9">
        <w:rPr>
          <w:lang w:eastAsia="fr-CH"/>
        </w:rPr>
        <w:t>utilisation des bandes de fréquences 47,2-50,2 GHz (Terre vers espace) et 50,4-51,4 GHz (Terre vers espace), ou de parties de ces bandes de fréquences, par les stations terriennes aéronautiques et maritimes en mouvement communiquant avec des stations spatiales du service fixe par satellite et élaborer des mesures d</w:t>
      </w:r>
      <w:r w:rsidR="009D3B9D" w:rsidRPr="00367FB9">
        <w:rPr>
          <w:lang w:eastAsia="fr-CH"/>
        </w:rPr>
        <w:t>'</w:t>
      </w:r>
      <w:r w:rsidRPr="00367FB9">
        <w:rPr>
          <w:lang w:eastAsia="fr-CH"/>
        </w:rPr>
        <w:t>ordre réglementaire, selon le cas, pour faciliter l</w:t>
      </w:r>
      <w:r w:rsidR="009D3B9D" w:rsidRPr="00367FB9">
        <w:rPr>
          <w:lang w:eastAsia="fr-CH"/>
        </w:rPr>
        <w:t>'</w:t>
      </w:r>
      <w:r w:rsidRPr="00367FB9">
        <w:rPr>
          <w:lang w:eastAsia="fr-CH"/>
        </w:rPr>
        <w:t xml:space="preserve">utilisation des bandes de fréquences </w:t>
      </w:r>
      <w:r w:rsidRPr="00367FB9">
        <w:t>47,2</w:t>
      </w:r>
      <w:r w:rsidRPr="00367FB9">
        <w:noBreakHyphen/>
        <w:t xml:space="preserve">50,2 GHz </w:t>
      </w:r>
      <w:r w:rsidRPr="00367FB9">
        <w:rPr>
          <w:lang w:eastAsia="fr-CH"/>
        </w:rPr>
        <w:t xml:space="preserve">(Terre vers espace) </w:t>
      </w:r>
      <w:r w:rsidRPr="00367FB9">
        <w:t>et 50,4</w:t>
      </w:r>
      <w:r w:rsidRPr="00367FB9">
        <w:noBreakHyphen/>
        <w:t>51,4 GHz (Terre vers espace), ou de parties de ces bandes de fréquences,</w:t>
      </w:r>
      <w:r w:rsidRPr="00367FB9">
        <w:rPr>
          <w:lang w:eastAsia="zh-CN"/>
        </w:rPr>
        <w:t xml:space="preserve"> </w:t>
      </w:r>
      <w:r w:rsidRPr="00367FB9">
        <w:rPr>
          <w:lang w:eastAsia="fr-CH"/>
        </w:rPr>
        <w:t xml:space="preserve">par les stations terriennes aéronautiques et maritimes en mouvement communiquant avec des stations spatiales géostationnaires et des stations spatiales non géostationnaires du service fixe par satellite, conformément à la Résolution </w:t>
      </w:r>
      <w:r w:rsidRPr="00367FB9">
        <w:rPr>
          <w:b/>
          <w:bCs/>
          <w:lang w:eastAsia="fr-CH"/>
        </w:rPr>
        <w:t>176 (Rév.CMR-23)</w:t>
      </w:r>
      <w:r w:rsidRPr="00367FB9">
        <w:rPr>
          <w:lang w:eastAsia="fr-CH"/>
        </w:rPr>
        <w:t>;</w:t>
      </w:r>
    </w:p>
    <w:p w14:paraId="4A75E13A" w14:textId="21E8DEF1" w:rsidR="0024733E" w:rsidRPr="00367FB9" w:rsidRDefault="0024733E" w:rsidP="0024733E">
      <w:r w:rsidRPr="00367FB9">
        <w:rPr>
          <w:lang w:eastAsia="fr-CH"/>
        </w:rPr>
        <w:lastRenderedPageBreak/>
        <w:t>1.2</w:t>
      </w:r>
      <w:r w:rsidRPr="00367FB9">
        <w:rPr>
          <w:lang w:eastAsia="fr-CH"/>
        </w:rPr>
        <w:tab/>
      </w:r>
      <w:r w:rsidRPr="00367FB9">
        <w:t>examiner la révision éventuelle des conditions de partage dans la bande de fréquences 13,75-14 GHz pour permettre l</w:t>
      </w:r>
      <w:r w:rsidR="009D3B9D" w:rsidRPr="00367FB9">
        <w:t>'</w:t>
      </w:r>
      <w:r w:rsidRPr="00367FB9">
        <w:t xml:space="preserve">utilisation des stations terriennes du service fixe par satellite en liaison montante avec des antennes de petite dimension, conformément à la Résolution </w:t>
      </w:r>
      <w:r w:rsidRPr="00367FB9">
        <w:rPr>
          <w:b/>
          <w:bCs/>
          <w:caps/>
        </w:rPr>
        <w:t>129 (CMR</w:t>
      </w:r>
      <w:r w:rsidRPr="00367FB9">
        <w:rPr>
          <w:b/>
          <w:bCs/>
          <w:caps/>
        </w:rPr>
        <w:noBreakHyphen/>
        <w:t>23)</w:t>
      </w:r>
      <w:r w:rsidRPr="00367FB9">
        <w:t>;</w:t>
      </w:r>
    </w:p>
    <w:p w14:paraId="274E5613" w14:textId="73D22A56" w:rsidR="0024733E" w:rsidRPr="00367FB9" w:rsidRDefault="0024733E" w:rsidP="0024733E">
      <w:r w:rsidRPr="00367FB9">
        <w:t>1.3</w:t>
      </w:r>
      <w:r w:rsidRPr="00367FB9">
        <w:tab/>
      </w:r>
      <w:r w:rsidRPr="00367FB9">
        <w:rPr>
          <w:rFonts w:eastAsiaTheme="minorHAnsi"/>
        </w:rPr>
        <w:t>examiner des études relatives à l</w:t>
      </w:r>
      <w:r w:rsidR="009D3B9D" w:rsidRPr="00367FB9">
        <w:rPr>
          <w:rFonts w:eastAsiaTheme="minorHAnsi"/>
        </w:rPr>
        <w:t>'</w:t>
      </w:r>
      <w:r w:rsidRPr="00367FB9">
        <w:rPr>
          <w:rFonts w:eastAsiaTheme="minorHAnsi"/>
        </w:rPr>
        <w:t xml:space="preserve">utilisation de la bande de fréquences 51,4-52,4 GHz pour en permettre </w:t>
      </w:r>
      <w:r w:rsidRPr="00367FB9">
        <w:t>l</w:t>
      </w:r>
      <w:r w:rsidR="009D3B9D" w:rsidRPr="00367FB9">
        <w:t>'</w:t>
      </w:r>
      <w:r w:rsidRPr="00367FB9">
        <w:t xml:space="preserve">utilisation </w:t>
      </w:r>
      <w:r w:rsidRPr="00367FB9">
        <w:rPr>
          <w:rFonts w:eastAsiaTheme="minorHAnsi"/>
        </w:rPr>
        <w:t>par les stations terriennes passerelles émettant vers des systèmes à satellites non géostationnaires du service fixe par satellite (Terre vers espace), conformément à la Résolution </w:t>
      </w:r>
      <w:r w:rsidRPr="00367FB9">
        <w:rPr>
          <w:b/>
          <w:bCs/>
        </w:rPr>
        <w:t>130 (CMR-23)</w:t>
      </w:r>
      <w:r w:rsidRPr="00367FB9">
        <w:t>;</w:t>
      </w:r>
    </w:p>
    <w:p w14:paraId="0348CEE1" w14:textId="77777777" w:rsidR="0024733E" w:rsidRPr="00367FB9" w:rsidRDefault="0024733E" w:rsidP="0024733E">
      <w:r w:rsidRPr="00367FB9">
        <w:t>1.4</w:t>
      </w:r>
      <w:r w:rsidRPr="00367FB9">
        <w:tab/>
        <w:t>examiner une nouvelle attribution éventuelle à titre primaire au service fixe par satellite (espace vers Terre) dans la bande de fréquences 17,3-17,7 GHz et une nouvelle attribution éventuelle à titre primaire au service de radiodiffusion par satellite (espace vers Terre) dans la bande de fréquences 17,3</w:t>
      </w:r>
      <w:r w:rsidRPr="00367FB9">
        <w:noBreakHyphen/>
        <w:t xml:space="preserve">17,8 GHz en Région 3, tout en assurant la protection des attributions existantes à titre primaire dans la même bande de fréquences et dans les bandes de fréquences adjacentes, et examiner des limites de puissance surfacique équivalente à appliquer dans les Régions 1 et 3 aux systèmes à satellites non géostationnaires du service fixe par satellite (espace vers Terre) dans la bande de fréquences 17,3-17,7 GHz, conformément à la Résolution </w:t>
      </w:r>
      <w:r w:rsidRPr="00367FB9">
        <w:rPr>
          <w:b/>
          <w:bCs/>
        </w:rPr>
        <w:t>726 (CMR-23)</w:t>
      </w:r>
      <w:r w:rsidRPr="00367FB9">
        <w:t>;</w:t>
      </w:r>
    </w:p>
    <w:p w14:paraId="1B353527" w14:textId="2379876E" w:rsidR="0024733E" w:rsidRPr="00367FB9" w:rsidRDefault="0024733E" w:rsidP="0024733E">
      <w:pPr>
        <w:rPr>
          <w:rFonts w:eastAsiaTheme="minorHAnsi"/>
        </w:rPr>
      </w:pPr>
      <w:r w:rsidRPr="00367FB9">
        <w:t>1.5</w:t>
      </w:r>
      <w:r w:rsidRPr="00367FB9">
        <w:tab/>
      </w:r>
      <w:r w:rsidRPr="00367FB9">
        <w:rPr>
          <w:rFonts w:eastAsiaTheme="minorHAnsi"/>
        </w:rPr>
        <w:t>étudier les mesures réglementaires, et la possibilité de mettre en œuvre ces mesures, pour limiter l</w:t>
      </w:r>
      <w:r w:rsidR="009D3B9D" w:rsidRPr="00367FB9">
        <w:rPr>
          <w:rFonts w:eastAsiaTheme="minorHAnsi"/>
        </w:rPr>
        <w:t>'</w:t>
      </w:r>
      <w:r w:rsidRPr="00367FB9">
        <w:rPr>
          <w:rFonts w:eastAsiaTheme="minorHAnsi"/>
        </w:rPr>
        <w:t>exploitation non autorisée de stations terriennes sur l</w:t>
      </w:r>
      <w:r w:rsidR="009D3B9D" w:rsidRPr="00367FB9">
        <w:rPr>
          <w:rFonts w:eastAsiaTheme="minorHAnsi"/>
        </w:rPr>
        <w:t>'</w:t>
      </w:r>
      <w:r w:rsidRPr="00367FB9">
        <w:rPr>
          <w:rFonts w:eastAsiaTheme="minorHAnsi"/>
        </w:rPr>
        <w:t xml:space="preserve">orbite des satellites non géostationnaires du service fixe par satellite et du service mobile par satellite, et examiner les questions </w:t>
      </w:r>
      <w:r w:rsidRPr="00367FB9">
        <w:t xml:space="preserve">connexes relatives </w:t>
      </w:r>
      <w:r w:rsidRPr="00367FB9">
        <w:rPr>
          <w:rFonts w:eastAsiaTheme="minorHAnsi"/>
        </w:rPr>
        <w:t>à la zone de service des systèmes à satellites non géostationnaires du service fixe par satellite et du service mobile par satellite, conformément à la Résolution </w:t>
      </w:r>
      <w:r w:rsidRPr="00367FB9">
        <w:rPr>
          <w:rFonts w:eastAsiaTheme="minorHAnsi"/>
          <w:b/>
          <w:bCs/>
        </w:rPr>
        <w:t>14 (CMR-23)</w:t>
      </w:r>
      <w:r w:rsidRPr="00367FB9">
        <w:rPr>
          <w:rFonts w:eastAsiaTheme="minorHAnsi"/>
        </w:rPr>
        <w:t>;</w:t>
      </w:r>
    </w:p>
    <w:p w14:paraId="6344E179" w14:textId="77777777" w:rsidR="0024733E" w:rsidRPr="00367FB9" w:rsidRDefault="0024733E" w:rsidP="0024733E">
      <w:pPr>
        <w:rPr>
          <w:rFonts w:eastAsiaTheme="minorHAnsi"/>
        </w:rPr>
      </w:pPr>
      <w:r w:rsidRPr="00367FB9">
        <w:rPr>
          <w:rFonts w:eastAsiaTheme="minorHAnsi"/>
        </w:rPr>
        <w:t>1.6</w:t>
      </w:r>
      <w:r w:rsidRPr="00367FB9">
        <w:rPr>
          <w:rFonts w:eastAsiaTheme="minorHAnsi"/>
        </w:rPr>
        <w:tab/>
        <w:t>examiner des mesures techniques et réglementaires relatives aux réseaux à satellite/systèmes à satellites du service fixe par satellite dans les bandes de fréquences 37,5</w:t>
      </w:r>
      <w:r w:rsidRPr="00367FB9">
        <w:rPr>
          <w:rFonts w:eastAsiaTheme="minorHAnsi"/>
        </w:rPr>
        <w:noBreakHyphen/>
        <w:t>42,5 GHz (espace vers Terre), 42,5-43,5 GHz (Terre vers espace), 47,2</w:t>
      </w:r>
      <w:r w:rsidRPr="00367FB9">
        <w:rPr>
          <w:rFonts w:eastAsiaTheme="minorHAnsi"/>
        </w:rPr>
        <w:noBreakHyphen/>
        <w:t>50,2 GHz (Terre vers espace) et 50,4</w:t>
      </w:r>
      <w:r w:rsidRPr="00367FB9">
        <w:rPr>
          <w:rFonts w:eastAsiaTheme="minorHAnsi"/>
        </w:rPr>
        <w:noBreakHyphen/>
        <w:t xml:space="preserve">51,4 GHz (Terre vers espace) pour garantir un accès équitable à ces bandes de fréquences, conformément à la Résolution </w:t>
      </w:r>
      <w:r w:rsidRPr="00367FB9">
        <w:rPr>
          <w:rFonts w:eastAsiaTheme="minorHAnsi"/>
          <w:b/>
          <w:bCs/>
        </w:rPr>
        <w:t>131 (CMR-23)</w:t>
      </w:r>
      <w:r w:rsidRPr="00367FB9">
        <w:rPr>
          <w:rFonts w:eastAsiaTheme="minorHAnsi"/>
        </w:rPr>
        <w:t>;</w:t>
      </w:r>
    </w:p>
    <w:p w14:paraId="648ADAA9" w14:textId="17DE544F" w:rsidR="0024733E" w:rsidRPr="00367FB9" w:rsidRDefault="0024733E" w:rsidP="0024733E">
      <w:r w:rsidRPr="00367FB9">
        <w:rPr>
          <w:rFonts w:eastAsiaTheme="minorEastAsia"/>
        </w:rPr>
        <w:t>1.7</w:t>
      </w:r>
      <w:r w:rsidRPr="00367FB9">
        <w:rPr>
          <w:rFonts w:eastAsiaTheme="minorEastAsia"/>
        </w:rPr>
        <w:tab/>
      </w:r>
      <w:r w:rsidRPr="00367FB9">
        <w:t>examiner des études de partage et de compatibilité et définir des conditions techniques en vue de l</w:t>
      </w:r>
      <w:r w:rsidR="009D3B9D" w:rsidRPr="00367FB9">
        <w:t>'</w:t>
      </w:r>
      <w:r w:rsidRPr="00367FB9">
        <w:t xml:space="preserve">utilisation des Télécommunications mobiles internationales (IMT) dans les bandes de fréquences 4 400-4 800 MHz, et 7 125-8 400 MHz (ou des parties de ces bandes de fréquences) et 14,8-15,35 GHz, compte tenu des services primaires existants fonctionnant dans ces bandes de fréquences et dans les bandes de fréquences adjacentes, conformément à la Résolution </w:t>
      </w:r>
      <w:r w:rsidRPr="00367FB9">
        <w:rPr>
          <w:b/>
        </w:rPr>
        <w:t>256 (CMR</w:t>
      </w:r>
      <w:r w:rsidRPr="00367FB9">
        <w:rPr>
          <w:b/>
        </w:rPr>
        <w:noBreakHyphen/>
        <w:t>23)</w:t>
      </w:r>
      <w:r w:rsidRPr="00367FB9">
        <w:t>;</w:t>
      </w:r>
    </w:p>
    <w:p w14:paraId="3DF38154" w14:textId="25192581" w:rsidR="0024733E" w:rsidRPr="00367FB9" w:rsidRDefault="0024733E" w:rsidP="0024733E">
      <w:r w:rsidRPr="00367FB9">
        <w:rPr>
          <w:rFonts w:eastAsiaTheme="minorEastAsia"/>
        </w:rPr>
        <w:t>1.8</w:t>
      </w:r>
      <w:r w:rsidRPr="00367FB9">
        <w:rPr>
          <w:rFonts w:eastAsiaTheme="minorEastAsia"/>
        </w:rPr>
        <w:tab/>
      </w:r>
      <w:r w:rsidRPr="00367FB9">
        <w:t>examiner des attributions de fréquences additionnelles éventuelles au service de radiolocalisation à titre primaire dans la gamme de fréquences 231,5-275 GHz et de nouvelles identifications éventuelles pour les applications du service de radiolocalisation dans les bandes de fréquences comprises dans la gamme de fréquences 275-700 GHz pour les systèmes d</w:t>
      </w:r>
      <w:r w:rsidR="009D3B9D" w:rsidRPr="00367FB9">
        <w:t>'</w:t>
      </w:r>
      <w:r w:rsidRPr="00367FB9">
        <w:t xml:space="preserve">imagerie en ondes millimétriques et submillimétriques, conformément à la Résolution </w:t>
      </w:r>
      <w:r w:rsidRPr="00367FB9">
        <w:rPr>
          <w:b/>
          <w:bCs/>
        </w:rPr>
        <w:t>663 (Rév.CMR-23)</w:t>
      </w:r>
      <w:r w:rsidRPr="00367FB9">
        <w:t>;</w:t>
      </w:r>
    </w:p>
    <w:p w14:paraId="41B537A0" w14:textId="6B08EDCA" w:rsidR="0024733E" w:rsidRPr="00367FB9" w:rsidRDefault="0024733E" w:rsidP="0024733E">
      <w:pPr>
        <w:rPr>
          <w:szCs w:val="24"/>
        </w:rPr>
      </w:pPr>
      <w:r w:rsidRPr="00367FB9">
        <w:rPr>
          <w:szCs w:val="24"/>
        </w:rPr>
        <w:t>1.9</w:t>
      </w:r>
      <w:r w:rsidRPr="00367FB9">
        <w:rPr>
          <w:szCs w:val="24"/>
        </w:rPr>
        <w:tab/>
      </w:r>
      <w:r w:rsidRPr="00367FB9">
        <w:t xml:space="preserve">examiner </w:t>
      </w:r>
      <w:r w:rsidRPr="00367FB9">
        <w:rPr>
          <w:szCs w:val="24"/>
        </w:rPr>
        <w:t>des mesures réglementaires appropriées pour mettre à jour l</w:t>
      </w:r>
      <w:r w:rsidR="009D3B9D" w:rsidRPr="00367FB9">
        <w:rPr>
          <w:szCs w:val="24"/>
        </w:rPr>
        <w:t>'</w:t>
      </w:r>
      <w:r w:rsidRPr="00367FB9">
        <w:rPr>
          <w:szCs w:val="24"/>
        </w:rPr>
        <w:t>Appendice </w:t>
      </w:r>
      <w:r w:rsidRPr="00367FB9">
        <w:rPr>
          <w:b/>
          <w:bCs/>
          <w:szCs w:val="24"/>
        </w:rPr>
        <w:t>26</w:t>
      </w:r>
      <w:r w:rsidRPr="00367FB9">
        <w:rPr>
          <w:szCs w:val="24"/>
        </w:rPr>
        <w:t xml:space="preserve"> du Règlement des radiocommunications </w:t>
      </w:r>
      <w:r w:rsidRPr="00367FB9">
        <w:t xml:space="preserve">en vue de permettre </w:t>
      </w:r>
      <w:r w:rsidRPr="00367FB9">
        <w:rPr>
          <w:szCs w:val="24"/>
        </w:rPr>
        <w:t xml:space="preserve">la modernisation </w:t>
      </w:r>
      <w:r w:rsidRPr="00367FB9">
        <w:t>de l</w:t>
      </w:r>
      <w:r w:rsidR="009D3B9D" w:rsidRPr="00367FB9">
        <w:t>'</w:t>
      </w:r>
      <w:r w:rsidRPr="00367FB9">
        <w:t>utilisation des bandes d</w:t>
      </w:r>
      <w:r w:rsidR="009D3B9D" w:rsidRPr="00367FB9">
        <w:t>'</w:t>
      </w:r>
      <w:r w:rsidRPr="00367FB9">
        <w:t xml:space="preserve">ondes décamétriques du service mobile aéronautique (OR), </w:t>
      </w:r>
      <w:r w:rsidRPr="00367FB9">
        <w:rPr>
          <w:szCs w:val="24"/>
        </w:rPr>
        <w:t xml:space="preserve">conformément à la Résolution </w:t>
      </w:r>
      <w:r w:rsidRPr="00367FB9">
        <w:rPr>
          <w:b/>
          <w:bCs/>
          <w:szCs w:val="24"/>
        </w:rPr>
        <w:t>411 (</w:t>
      </w:r>
      <w:r w:rsidRPr="00367FB9">
        <w:rPr>
          <w:b/>
          <w:szCs w:val="24"/>
        </w:rPr>
        <w:t>CMR</w:t>
      </w:r>
      <w:r w:rsidRPr="00367FB9">
        <w:rPr>
          <w:b/>
          <w:szCs w:val="24"/>
        </w:rPr>
        <w:noBreakHyphen/>
        <w:t>23)</w:t>
      </w:r>
      <w:r w:rsidRPr="00367FB9">
        <w:rPr>
          <w:szCs w:val="24"/>
        </w:rPr>
        <w:t>;</w:t>
      </w:r>
    </w:p>
    <w:p w14:paraId="6023D33C" w14:textId="552F2AA0" w:rsidR="0024733E" w:rsidRPr="00367FB9" w:rsidRDefault="0024733E" w:rsidP="0024733E">
      <w:r w:rsidRPr="00367FB9">
        <w:rPr>
          <w:szCs w:val="24"/>
        </w:rPr>
        <w:lastRenderedPageBreak/>
        <w:t>1.10</w:t>
      </w:r>
      <w:r w:rsidRPr="00367FB9">
        <w:rPr>
          <w:szCs w:val="24"/>
        </w:rPr>
        <w:tab/>
        <w:t xml:space="preserve">envisager de </w:t>
      </w:r>
      <w:r w:rsidRPr="00367FB9">
        <w:t>définir des limites de puissance surfacique et de puissance isotrope rayonnée équivalente à inclure dans l</w:t>
      </w:r>
      <w:r w:rsidR="009D3B9D" w:rsidRPr="00367FB9">
        <w:t>'</w:t>
      </w:r>
      <w:r w:rsidRPr="00367FB9">
        <w:t xml:space="preserve">Article </w:t>
      </w:r>
      <w:r w:rsidRPr="00367FB9">
        <w:rPr>
          <w:b/>
          <w:bCs/>
        </w:rPr>
        <w:t>21</w:t>
      </w:r>
      <w:r w:rsidRPr="00367FB9">
        <w:t xml:space="preserve"> du Règlement des radiocommunications pour les services fixe par satellite, mobile par satellite et de radiodiffusion par satellite aux fins de la protection des services fixe et mobile dans les bandes de fréquences 71</w:t>
      </w:r>
      <w:r w:rsidRPr="00367FB9">
        <w:noBreakHyphen/>
        <w:t>76 GHz et 81-86 GHz, conformément à la Résolution </w:t>
      </w:r>
      <w:r w:rsidRPr="00367FB9">
        <w:rPr>
          <w:b/>
          <w:bCs/>
        </w:rPr>
        <w:t>775 (Rév.CMR-23)</w:t>
      </w:r>
      <w:r w:rsidRPr="00367FB9">
        <w:t>;</w:t>
      </w:r>
    </w:p>
    <w:p w14:paraId="596B8408" w14:textId="77777777" w:rsidR="0024733E" w:rsidRPr="00367FB9" w:rsidRDefault="0024733E" w:rsidP="0024733E">
      <w:r w:rsidRPr="00367FB9">
        <w:t>1.11</w:t>
      </w:r>
      <w:r w:rsidRPr="00367FB9">
        <w:tab/>
        <w:t>examiner les questions techniques et opérationnelles ainsi que des dispositions réglementaires relatives aux liaisons espace-espace entre les satellites non géostationnaires et les satellites géostationnaires dans les bandes de fréquences 1 518-1 544 MHz, 1 545</w:t>
      </w:r>
      <w:r w:rsidRPr="00367FB9">
        <w:noBreakHyphen/>
        <w:t>1 559 MHz, 1 610</w:t>
      </w:r>
      <w:r w:rsidRPr="00367FB9">
        <w:noBreakHyphen/>
        <w:t>1 645,5 MHz, 1 646,5-1 660 MHz, 1 670-1 675 MHz et 2 483,5</w:t>
      </w:r>
      <w:r w:rsidRPr="00367FB9">
        <w:noBreakHyphen/>
        <w:t>2 500 MHz attribuées au service mobile par satellite, conformément à la Résolution </w:t>
      </w:r>
      <w:r w:rsidRPr="00367FB9">
        <w:rPr>
          <w:b/>
          <w:bCs/>
        </w:rPr>
        <w:t>249 (Rév.CMR-23)</w:t>
      </w:r>
      <w:r w:rsidRPr="00367FB9">
        <w:t>;</w:t>
      </w:r>
    </w:p>
    <w:p w14:paraId="0CB4FB94" w14:textId="78F71603" w:rsidR="0024733E" w:rsidRPr="00367FB9" w:rsidRDefault="0024733E" w:rsidP="0024733E">
      <w:r w:rsidRPr="00367FB9">
        <w:t>1.12</w:t>
      </w:r>
      <w:r w:rsidRPr="00367FB9">
        <w:tab/>
        <w:t>examiner, sur la base des résultats des études, de nouvelles attributions éventuelles au service mobile par satellite et d</w:t>
      </w:r>
      <w:r w:rsidR="009D3B9D" w:rsidRPr="00367FB9">
        <w:t>'</w:t>
      </w:r>
      <w:r w:rsidRPr="00367FB9">
        <w:t>éventuelles mesures réglementaires dans les bandes de fréquences 1 427-1 432 MHz (espace vers Terre), 1 645,5-1 646,5 MHz (espace vers Terre) (Terre vers espace), 1 880-1 920 MHz (espace vers Terre) (Terre vers espace) et 2 010</w:t>
      </w:r>
      <w:r w:rsidRPr="00367FB9">
        <w:noBreakHyphen/>
        <w:t>2 025 MHz (espace vers Terre) (Terre vers espace) nécessaires au développement futur des systèmes à satellites mobiles non géostationnaires à faible débit de données, conformément à la Résolution </w:t>
      </w:r>
      <w:r w:rsidRPr="00367FB9">
        <w:rPr>
          <w:b/>
          <w:bCs/>
        </w:rPr>
        <w:t>252 (CMR-23)</w:t>
      </w:r>
      <w:r w:rsidRPr="00367FB9">
        <w:t>;</w:t>
      </w:r>
    </w:p>
    <w:p w14:paraId="162419FC" w14:textId="3B5F9209" w:rsidR="0024733E" w:rsidRPr="00367FB9" w:rsidRDefault="0024733E" w:rsidP="0024733E">
      <w:r w:rsidRPr="00367FB9">
        <w:t>1.13</w:t>
      </w:r>
      <w:r w:rsidRPr="00367FB9">
        <w:tab/>
        <w:t>examiner les études concernant de nouvelles attributions éventuelles au service mobile par satellite pour permettre une connectivité directe entre les stations spatiales et les équipements d</w:t>
      </w:r>
      <w:r w:rsidR="009D3B9D" w:rsidRPr="00367FB9">
        <w:t>'</w:t>
      </w:r>
      <w:r w:rsidRPr="00367FB9">
        <w:t>utilisateur des Télécommunications mobiles internationales (IMT) afin de compléter la couverture des réseaux IMT de Terre, conformément à la Résolution </w:t>
      </w:r>
      <w:r w:rsidRPr="00367FB9">
        <w:rPr>
          <w:b/>
          <w:bCs/>
        </w:rPr>
        <w:t>253 (CMR</w:t>
      </w:r>
      <w:r w:rsidRPr="00367FB9">
        <w:rPr>
          <w:b/>
          <w:bCs/>
        </w:rPr>
        <w:noBreakHyphen/>
        <w:t>23)</w:t>
      </w:r>
      <w:r w:rsidRPr="00367FB9">
        <w:t>;</w:t>
      </w:r>
    </w:p>
    <w:p w14:paraId="02059B63" w14:textId="77777777" w:rsidR="0024733E" w:rsidRPr="00367FB9" w:rsidRDefault="0024733E" w:rsidP="0024733E">
      <w:pPr>
        <w:rPr>
          <w:bCs/>
        </w:rPr>
      </w:pPr>
      <w:r w:rsidRPr="00367FB9">
        <w:t>1.14</w:t>
      </w:r>
      <w:r w:rsidRPr="00367FB9">
        <w:tab/>
        <w:t xml:space="preserve">examiner des attributions additionnelles éventuelles au service mobile par satellite, conformément à la Résolution </w:t>
      </w:r>
      <w:r w:rsidRPr="00367FB9">
        <w:rPr>
          <w:b/>
        </w:rPr>
        <w:t>254 (CMR</w:t>
      </w:r>
      <w:r w:rsidRPr="00367FB9">
        <w:rPr>
          <w:b/>
        </w:rPr>
        <w:noBreakHyphen/>
        <w:t>23)</w:t>
      </w:r>
      <w:r w:rsidRPr="00367FB9">
        <w:rPr>
          <w:bCs/>
        </w:rPr>
        <w:t>;</w:t>
      </w:r>
    </w:p>
    <w:p w14:paraId="2C26D957" w14:textId="21ED7765" w:rsidR="0024733E" w:rsidRPr="00367FB9" w:rsidRDefault="0024733E" w:rsidP="0024733E">
      <w:pPr>
        <w:rPr>
          <w:rFonts w:eastAsiaTheme="minorHAnsi"/>
          <w:bCs/>
          <w:szCs w:val="24"/>
        </w:rPr>
      </w:pPr>
      <w:r w:rsidRPr="00367FB9">
        <w:rPr>
          <w:bCs/>
        </w:rPr>
        <w:t>1.15</w:t>
      </w:r>
      <w:r w:rsidRPr="00367FB9">
        <w:rPr>
          <w:bCs/>
        </w:rPr>
        <w:tab/>
      </w:r>
      <w:r w:rsidRPr="00367FB9">
        <w:rPr>
          <w:rFonts w:eastAsiaTheme="minorHAnsi"/>
          <w:bCs/>
          <w:szCs w:val="24"/>
        </w:rPr>
        <w:t>examiner des études sur les questions liées aux fréquences, y compris les éventuelles attributions, nouvelles ou modifiées au service de recherche spatiale (espace-espace) pour le développement futur des communications à la surface de la Lune et entre l</w:t>
      </w:r>
      <w:r w:rsidR="009D3B9D" w:rsidRPr="00367FB9">
        <w:rPr>
          <w:rFonts w:eastAsiaTheme="minorHAnsi"/>
          <w:bCs/>
          <w:szCs w:val="24"/>
        </w:rPr>
        <w:t>'</w:t>
      </w:r>
      <w:r w:rsidRPr="00367FB9">
        <w:rPr>
          <w:rFonts w:eastAsiaTheme="minorHAnsi"/>
          <w:bCs/>
          <w:szCs w:val="24"/>
        </w:rPr>
        <w:t xml:space="preserve">orbite lunaire et la surface de la Lune, conformément à la Résolution </w:t>
      </w:r>
      <w:r w:rsidRPr="00367FB9">
        <w:rPr>
          <w:rFonts w:eastAsiaTheme="minorHAnsi"/>
          <w:b/>
          <w:bCs/>
          <w:szCs w:val="24"/>
        </w:rPr>
        <w:t>680 (CMR-23)</w:t>
      </w:r>
      <w:r w:rsidRPr="00367FB9">
        <w:rPr>
          <w:rFonts w:eastAsiaTheme="minorHAnsi"/>
          <w:bCs/>
          <w:szCs w:val="24"/>
        </w:rPr>
        <w:t>;</w:t>
      </w:r>
    </w:p>
    <w:p w14:paraId="696CB72C" w14:textId="719B1BB4" w:rsidR="0024733E" w:rsidRPr="00367FB9" w:rsidRDefault="0024733E" w:rsidP="0024733E">
      <w:r w:rsidRPr="00367FB9">
        <w:rPr>
          <w:rFonts w:eastAsiaTheme="minorHAnsi"/>
          <w:bCs/>
          <w:szCs w:val="24"/>
        </w:rPr>
        <w:t>1.16</w:t>
      </w:r>
      <w:r w:rsidRPr="00367FB9">
        <w:rPr>
          <w:rFonts w:eastAsiaTheme="minorHAnsi"/>
          <w:bCs/>
          <w:szCs w:val="24"/>
        </w:rPr>
        <w:tab/>
      </w:r>
      <w:r w:rsidRPr="00367FB9">
        <w:rPr>
          <w:rFonts w:eastAsiaTheme="minorHAnsi"/>
          <w:bCs/>
        </w:rPr>
        <w:t>examiner les études sur les dispositions techniques et réglementaires nécessaires pour protéger le service de radioastronomie fonctionnant dans certaines zones de silence radioélectrique et, dans les bandes de fréquences attribuées à titre primaire au service de radioastronomie à l</w:t>
      </w:r>
      <w:r w:rsidR="009D3B9D" w:rsidRPr="00367FB9">
        <w:rPr>
          <w:rFonts w:eastAsiaTheme="minorHAnsi"/>
          <w:bCs/>
        </w:rPr>
        <w:t>'</w:t>
      </w:r>
      <w:r w:rsidRPr="00367FB9">
        <w:rPr>
          <w:rFonts w:eastAsiaTheme="minorHAnsi"/>
          <w:bCs/>
        </w:rPr>
        <w:t>échelle mondiale, contre les brouillages radioélectriques cumulatifs causés par des systèmes sur l</w:t>
      </w:r>
      <w:r w:rsidR="009D3B9D" w:rsidRPr="00367FB9">
        <w:rPr>
          <w:rFonts w:eastAsiaTheme="minorHAnsi"/>
          <w:bCs/>
        </w:rPr>
        <w:t>'</w:t>
      </w:r>
      <w:r w:rsidRPr="00367FB9">
        <w:rPr>
          <w:rFonts w:eastAsiaTheme="minorHAnsi"/>
          <w:bCs/>
        </w:rPr>
        <w:t>orbite des satellites non géostationnaires</w:t>
      </w:r>
      <w:r w:rsidRPr="00367FB9">
        <w:t xml:space="preserve">, conformément à la Résolution </w:t>
      </w:r>
      <w:r w:rsidRPr="00367FB9">
        <w:rPr>
          <w:b/>
          <w:bCs/>
        </w:rPr>
        <w:t>681 (CMR</w:t>
      </w:r>
      <w:r w:rsidRPr="00367FB9">
        <w:rPr>
          <w:b/>
          <w:bCs/>
        </w:rPr>
        <w:noBreakHyphen/>
        <w:t>23)</w:t>
      </w:r>
      <w:r w:rsidRPr="00367FB9">
        <w:t>;</w:t>
      </w:r>
    </w:p>
    <w:p w14:paraId="0ABBF84A" w14:textId="43059900" w:rsidR="0024733E" w:rsidRPr="00367FB9" w:rsidRDefault="0024733E" w:rsidP="0024733E">
      <w:pPr>
        <w:rPr>
          <w:rFonts w:eastAsiaTheme="minorHAnsi"/>
        </w:rPr>
      </w:pPr>
      <w:r w:rsidRPr="00367FB9">
        <w:t>1.17</w:t>
      </w:r>
      <w:r w:rsidRPr="00367FB9">
        <w:tab/>
      </w:r>
      <w:r w:rsidRPr="00367FB9">
        <w:rPr>
          <w:rFonts w:eastAsiaTheme="minorHAnsi"/>
          <w:bCs/>
        </w:rPr>
        <w:t>examiner des dispositions réglementaires concernant les capteurs de météorologie spatiale en mode réception seulement et leur protection dans le Règlement des radiocommunications, compte tenu des résultats des études menées par le Secteur des radiocommunications de l</w:t>
      </w:r>
      <w:r w:rsidR="009D3B9D" w:rsidRPr="00367FB9">
        <w:rPr>
          <w:rFonts w:eastAsiaTheme="minorHAnsi"/>
          <w:bCs/>
        </w:rPr>
        <w:t>'</w:t>
      </w:r>
      <w:r w:rsidRPr="00367FB9">
        <w:rPr>
          <w:rFonts w:eastAsiaTheme="minorHAnsi"/>
          <w:bCs/>
        </w:rPr>
        <w:t xml:space="preserve">UIT, conformément à la Résolution </w:t>
      </w:r>
      <w:r w:rsidRPr="00367FB9">
        <w:rPr>
          <w:rFonts w:eastAsiaTheme="minorHAnsi"/>
          <w:b/>
          <w:bCs/>
        </w:rPr>
        <w:t>682 (CMR-23)</w:t>
      </w:r>
      <w:r w:rsidRPr="00367FB9">
        <w:rPr>
          <w:rFonts w:eastAsiaTheme="minorHAnsi"/>
        </w:rPr>
        <w:t>;</w:t>
      </w:r>
    </w:p>
    <w:p w14:paraId="6830F889" w14:textId="7F6D3B03" w:rsidR="0024733E" w:rsidRPr="00367FB9" w:rsidRDefault="0024733E" w:rsidP="0024733E">
      <w:r w:rsidRPr="00367FB9">
        <w:rPr>
          <w:rFonts w:eastAsiaTheme="minorHAnsi"/>
        </w:rPr>
        <w:t>1.18</w:t>
      </w:r>
      <w:r w:rsidRPr="00367FB9">
        <w:rPr>
          <w:rFonts w:eastAsiaTheme="minorHAnsi"/>
        </w:rPr>
        <w:tab/>
      </w:r>
      <w:r w:rsidRPr="00367FB9">
        <w:rPr>
          <w:rFonts w:eastAsiaTheme="minorHAnsi"/>
          <w:bCs/>
        </w:rPr>
        <w:t>examiner, sur la base des résultats des études du Secteur des radiocommunications de l</w:t>
      </w:r>
      <w:r w:rsidR="009D3B9D" w:rsidRPr="00367FB9">
        <w:rPr>
          <w:rFonts w:eastAsiaTheme="minorHAnsi"/>
          <w:bCs/>
        </w:rPr>
        <w:t>'</w:t>
      </w:r>
      <w:r w:rsidRPr="00367FB9">
        <w:rPr>
          <w:rFonts w:eastAsiaTheme="minorHAnsi"/>
          <w:bCs/>
        </w:rPr>
        <w:t>UIT, les éventuelles mesures réglementaires à prendre concernant la protection du service d</w:t>
      </w:r>
      <w:r w:rsidR="009D3B9D" w:rsidRPr="00367FB9">
        <w:rPr>
          <w:rFonts w:eastAsiaTheme="minorHAnsi"/>
          <w:bCs/>
        </w:rPr>
        <w:t>'</w:t>
      </w:r>
      <w:r w:rsidRPr="00367FB9">
        <w:rPr>
          <w:rFonts w:eastAsiaTheme="minorHAnsi"/>
          <w:bCs/>
        </w:rPr>
        <w:t xml:space="preserve">exploration de la Terre par satellite (passive) et du service de radioastronomie dans certaines bandes de fréquences au-dessus de 76 GHz contre les rayonnements non désirés des services actifs, conformément à la Résolution </w:t>
      </w:r>
      <w:r w:rsidRPr="00367FB9">
        <w:rPr>
          <w:rFonts w:eastAsiaTheme="minorHAnsi"/>
          <w:b/>
        </w:rPr>
        <w:t>712 (CMR-23)</w:t>
      </w:r>
      <w:r w:rsidRPr="00367FB9">
        <w:rPr>
          <w:rFonts w:eastAsiaTheme="minorHAnsi"/>
          <w:bCs/>
        </w:rPr>
        <w:t>;</w:t>
      </w:r>
    </w:p>
    <w:p w14:paraId="39BB8ED0" w14:textId="2F5C28D9" w:rsidR="0024733E" w:rsidRPr="00367FB9" w:rsidRDefault="0024733E" w:rsidP="0024733E">
      <w:pPr>
        <w:rPr>
          <w:szCs w:val="24"/>
        </w:rPr>
      </w:pPr>
      <w:r w:rsidRPr="00367FB9">
        <w:rPr>
          <w:szCs w:val="24"/>
        </w:rPr>
        <w:lastRenderedPageBreak/>
        <w:t>1.19</w:t>
      </w:r>
      <w:r w:rsidRPr="00367FB9">
        <w:rPr>
          <w:szCs w:val="24"/>
        </w:rPr>
        <w:tab/>
        <w:t>examiner d</w:t>
      </w:r>
      <w:r w:rsidR="009D3B9D" w:rsidRPr="00367FB9">
        <w:rPr>
          <w:szCs w:val="24"/>
        </w:rPr>
        <w:t>'</w:t>
      </w:r>
      <w:r w:rsidRPr="00367FB9">
        <w:rPr>
          <w:szCs w:val="24"/>
        </w:rPr>
        <w:t>éventuelles attributions à titre primaire dans toutes les Régions au service d</w:t>
      </w:r>
      <w:r w:rsidR="009D3B9D" w:rsidRPr="00367FB9">
        <w:rPr>
          <w:szCs w:val="24"/>
        </w:rPr>
        <w:t>'</w:t>
      </w:r>
      <w:r w:rsidRPr="00367FB9">
        <w:rPr>
          <w:szCs w:val="24"/>
        </w:rPr>
        <w:t>exploration de la Terre par satellite (passive) dans les bandes de fréquences</w:t>
      </w:r>
      <w:r w:rsidR="008236FE" w:rsidRPr="00367FB9">
        <w:rPr>
          <w:szCs w:val="24"/>
        </w:rPr>
        <w:t> </w:t>
      </w:r>
      <w:r w:rsidRPr="00367FB9">
        <w:rPr>
          <w:szCs w:val="24"/>
        </w:rPr>
        <w:t>4 200</w:t>
      </w:r>
      <w:r w:rsidRPr="00367FB9">
        <w:rPr>
          <w:szCs w:val="24"/>
        </w:rPr>
        <w:noBreakHyphen/>
        <w:t>4 400 MHz et 8 400-8 500 MHz, conformément à la Résolution</w:t>
      </w:r>
      <w:r w:rsidR="00354A66" w:rsidRPr="00367FB9">
        <w:rPr>
          <w:szCs w:val="24"/>
        </w:rPr>
        <w:t> </w:t>
      </w:r>
      <w:r w:rsidRPr="00367FB9">
        <w:rPr>
          <w:b/>
          <w:bCs/>
          <w:szCs w:val="24"/>
        </w:rPr>
        <w:t>674</w:t>
      </w:r>
      <w:r w:rsidR="00354A66" w:rsidRPr="00367FB9">
        <w:rPr>
          <w:b/>
          <w:bCs/>
          <w:szCs w:val="24"/>
        </w:rPr>
        <w:t> </w:t>
      </w:r>
      <w:r w:rsidRPr="00367FB9">
        <w:rPr>
          <w:b/>
          <w:bCs/>
          <w:szCs w:val="24"/>
        </w:rPr>
        <w:t>(CMR</w:t>
      </w:r>
      <w:r w:rsidR="008236FE" w:rsidRPr="00367FB9">
        <w:rPr>
          <w:b/>
          <w:bCs/>
          <w:szCs w:val="24"/>
        </w:rPr>
        <w:noBreakHyphen/>
      </w:r>
      <w:r w:rsidRPr="00367FB9">
        <w:rPr>
          <w:b/>
          <w:bCs/>
          <w:szCs w:val="24"/>
        </w:rPr>
        <w:t>23)</w:t>
      </w:r>
      <w:r w:rsidRPr="00367FB9">
        <w:rPr>
          <w:szCs w:val="24"/>
        </w:rPr>
        <w:t>;</w:t>
      </w:r>
    </w:p>
    <w:p w14:paraId="6B62A2BE" w14:textId="4B68725A" w:rsidR="0024733E" w:rsidRPr="00367FB9" w:rsidRDefault="0024733E" w:rsidP="0024733E">
      <w:r w:rsidRPr="00367FB9">
        <w:t>2</w:t>
      </w:r>
      <w:r w:rsidRPr="00367FB9">
        <w:tab/>
        <w:t>examiner les Recommandations du Secteur des radiocommunications de l</w:t>
      </w:r>
      <w:r w:rsidR="009D3B9D" w:rsidRPr="00367FB9">
        <w:t>'</w:t>
      </w:r>
      <w:r w:rsidRPr="00367FB9">
        <w:t>UIT révisées et incorporées par référence dans le Règlement des radiocommunications, communiquées par l</w:t>
      </w:r>
      <w:r w:rsidR="009D3B9D" w:rsidRPr="00367FB9">
        <w:t>'</w:t>
      </w:r>
      <w:r w:rsidRPr="00367FB9">
        <w:t xml:space="preserve">Assemblée des radiocommunications, conformément au </w:t>
      </w:r>
      <w:r w:rsidRPr="00367FB9">
        <w:rPr>
          <w:i/>
        </w:rPr>
        <w:t>décide en outre</w:t>
      </w:r>
      <w:r w:rsidRPr="00367FB9">
        <w:t xml:space="preserve"> de la Résolution </w:t>
      </w:r>
      <w:r w:rsidRPr="00367FB9">
        <w:rPr>
          <w:b/>
          <w:bCs/>
        </w:rPr>
        <w:t>27</w:t>
      </w:r>
      <w:r w:rsidRPr="00367FB9">
        <w:t xml:space="preserve"> </w:t>
      </w:r>
      <w:r w:rsidRPr="00367FB9">
        <w:rPr>
          <w:b/>
          <w:bCs/>
        </w:rPr>
        <w:t>(Rév.CMR-19)</w:t>
      </w:r>
      <w:r w:rsidRPr="00367FB9">
        <w:t>, et décider s</w:t>
      </w:r>
      <w:r w:rsidR="009D3B9D" w:rsidRPr="00367FB9">
        <w:t>'</w:t>
      </w:r>
      <w:r w:rsidRPr="00367FB9">
        <w:t xml:space="preserve">il convient ou non de mettre à jour les références correspondantes dans le Règlement des radiocommunications, conformément aux principes énoncés dans le </w:t>
      </w:r>
      <w:r w:rsidRPr="00367FB9">
        <w:rPr>
          <w:i/>
        </w:rPr>
        <w:t>décide</w:t>
      </w:r>
      <w:r w:rsidRPr="00367FB9">
        <w:t xml:space="preserve"> de cette Résolution;</w:t>
      </w:r>
    </w:p>
    <w:p w14:paraId="420A436B" w14:textId="77777777" w:rsidR="0024733E" w:rsidRPr="00367FB9" w:rsidRDefault="0024733E" w:rsidP="0024733E">
      <w:r w:rsidRPr="00367FB9">
        <w:t>3</w:t>
      </w:r>
      <w:r w:rsidRPr="00367FB9">
        <w:tab/>
        <w:t>examiner les modifications et amendements à apporter éventuellement au Règlement des radiocommunications à la suite des décisions prises par la Conférence;</w:t>
      </w:r>
    </w:p>
    <w:p w14:paraId="1EC92508" w14:textId="77777777" w:rsidR="0024733E" w:rsidRPr="00367FB9" w:rsidRDefault="0024733E" w:rsidP="0024733E">
      <w:r w:rsidRPr="00367FB9">
        <w:t>4</w:t>
      </w:r>
      <w:r w:rsidRPr="00367FB9">
        <w:tab/>
        <w:t xml:space="preserve">conformément à la Résolution </w:t>
      </w:r>
      <w:r w:rsidRPr="00367FB9">
        <w:rPr>
          <w:b/>
          <w:bCs/>
        </w:rPr>
        <w:t>95 (Rév.CMR-19)</w:t>
      </w:r>
      <w:r w:rsidRPr="00367FB9">
        <w:t>, examiner les Résolutions et Recommandations des conférences précédentes en vue, le cas échéant, de les réviser, de les remplacer ou de les supprimer;</w:t>
      </w:r>
    </w:p>
    <w:p w14:paraId="259E707C" w14:textId="1D704329" w:rsidR="0024733E" w:rsidRPr="00367FB9" w:rsidRDefault="0024733E" w:rsidP="0024733E">
      <w:r w:rsidRPr="00367FB9">
        <w:t>5</w:t>
      </w:r>
      <w:r w:rsidRPr="00367FB9">
        <w:tab/>
        <w:t>examiner le Rapport de l</w:t>
      </w:r>
      <w:r w:rsidR="009D3B9D" w:rsidRPr="00367FB9">
        <w:t>'</w:t>
      </w:r>
      <w:r w:rsidRPr="00367FB9">
        <w:t>Assemblée des radiocommunications soumis conformément aux numéros 135 et 136 de la Convention de l</w:t>
      </w:r>
      <w:r w:rsidR="009D3B9D" w:rsidRPr="00367FB9">
        <w:t>'</w:t>
      </w:r>
      <w:r w:rsidRPr="00367FB9">
        <w:t>UIT et lui donner la suite voulue;</w:t>
      </w:r>
    </w:p>
    <w:p w14:paraId="4A4E10F3" w14:textId="1BC1714E" w:rsidR="0024733E" w:rsidRPr="00367FB9" w:rsidRDefault="0024733E" w:rsidP="0024733E">
      <w:r w:rsidRPr="00367FB9">
        <w:t>6</w:t>
      </w:r>
      <w:r w:rsidRPr="00367FB9">
        <w:tab/>
        <w:t>identifier les points auxquels les commissions d</w:t>
      </w:r>
      <w:r w:rsidR="009D3B9D" w:rsidRPr="00367FB9">
        <w:t>'</w:t>
      </w:r>
      <w:r w:rsidRPr="00367FB9">
        <w:t>études des radiocommunications doivent d</w:t>
      </w:r>
      <w:r w:rsidR="009D3B9D" w:rsidRPr="00367FB9">
        <w:t>'</w:t>
      </w:r>
      <w:r w:rsidRPr="00367FB9">
        <w:t>urgence donner suite, en vue de la conférence mondiale des radiocommunications suivante;</w:t>
      </w:r>
    </w:p>
    <w:p w14:paraId="2FED1431" w14:textId="16EA75D8" w:rsidR="0024733E" w:rsidRPr="00367FB9" w:rsidRDefault="0024733E" w:rsidP="0024733E">
      <w:r w:rsidRPr="00367FB9">
        <w:t>7</w:t>
      </w:r>
      <w:r w:rsidRPr="00367FB9">
        <w:tab/>
        <w:t>examiner d</w:t>
      </w:r>
      <w:r w:rsidR="009D3B9D" w:rsidRPr="00367FB9">
        <w:t>'</w:t>
      </w:r>
      <w:r w:rsidRPr="00367FB9">
        <w:t>éventuels changements à apporter en application de la Résolution 86 (Rév. Marrakech, 2002) de la Conférence de plénipotentiaires, intitulée «Procédures de publication anticipée, de coordination, de notification et d</w:t>
      </w:r>
      <w:r w:rsidR="009D3B9D" w:rsidRPr="00367FB9">
        <w:t>'</w:t>
      </w:r>
      <w:r w:rsidRPr="00367FB9">
        <w:t xml:space="preserve">inscription des assignations de fréquence relatives aux réseaux à satellite», conformément à la Résolution </w:t>
      </w:r>
      <w:r w:rsidRPr="00367FB9">
        <w:rPr>
          <w:b/>
          <w:bCs/>
        </w:rPr>
        <w:t>86 (Rév.CMR-07)</w:t>
      </w:r>
      <w:r w:rsidRPr="00367FB9">
        <w:t>, afin de faciliter l</w:t>
      </w:r>
      <w:r w:rsidR="009D3B9D" w:rsidRPr="00367FB9">
        <w:t>'</w:t>
      </w:r>
      <w:r w:rsidRPr="00367FB9">
        <w:t>utilisation rationnelle, efficace et économique des fréquences radioélectriques et des orbites associées, y compris de l</w:t>
      </w:r>
      <w:r w:rsidR="009D3B9D" w:rsidRPr="00367FB9">
        <w:t>'</w:t>
      </w:r>
      <w:r w:rsidRPr="00367FB9">
        <w:t>orbite des satellites géostationnaires;</w:t>
      </w:r>
    </w:p>
    <w:p w14:paraId="352C7471" w14:textId="10E86D69" w:rsidR="0024733E" w:rsidRPr="00367FB9" w:rsidRDefault="0024733E" w:rsidP="0024733E">
      <w:r w:rsidRPr="00367FB9">
        <w:t>8</w:t>
      </w:r>
      <w:r w:rsidRPr="00367FB9">
        <w:tab/>
        <w:t>examiner les demandes des administrations qui souhaitent supprimer des renvois relatifs à leur pays ou le nom de leur pays de certains renvois, s</w:t>
      </w:r>
      <w:r w:rsidR="009D3B9D" w:rsidRPr="00367FB9">
        <w:t>'</w:t>
      </w:r>
      <w:r w:rsidRPr="00367FB9">
        <w:t xml:space="preserve">ils ne sont plus nécessaires, compte tenu de la Résolution </w:t>
      </w:r>
      <w:r w:rsidRPr="00367FB9">
        <w:rPr>
          <w:b/>
          <w:bCs/>
        </w:rPr>
        <w:t>26 (Rév.CMR-23)</w:t>
      </w:r>
      <w:r w:rsidRPr="00367FB9">
        <w:t>, et prendre les mesures voulues à ce sujet;</w:t>
      </w:r>
    </w:p>
    <w:p w14:paraId="057BE853" w14:textId="03B21EBF" w:rsidR="0024733E" w:rsidRPr="00367FB9" w:rsidRDefault="0024733E" w:rsidP="0024733E">
      <w:r w:rsidRPr="00367FB9">
        <w:t>9</w:t>
      </w:r>
      <w:r w:rsidRPr="00367FB9">
        <w:tab/>
        <w:t>examiner et approuver le rapport du Directeur du Bureau des radiocommunications, conformément à l</w:t>
      </w:r>
      <w:r w:rsidR="009D3B9D" w:rsidRPr="00367FB9">
        <w:t>'</w:t>
      </w:r>
      <w:r w:rsidRPr="00367FB9">
        <w:t>article 7 de la Convention de l</w:t>
      </w:r>
      <w:r w:rsidR="009D3B9D" w:rsidRPr="00367FB9">
        <w:t>'</w:t>
      </w:r>
      <w:r w:rsidRPr="00367FB9">
        <w:t>UIT:</w:t>
      </w:r>
    </w:p>
    <w:p w14:paraId="7D8C6063" w14:textId="6519FF6B" w:rsidR="0024733E" w:rsidRPr="00367FB9" w:rsidRDefault="0024733E" w:rsidP="0024733E">
      <w:r w:rsidRPr="00367FB9">
        <w:t>9.1</w:t>
      </w:r>
      <w:r w:rsidRPr="00367FB9">
        <w:tab/>
        <w:t>sur les activités du Secteur des radiocommunications de l</w:t>
      </w:r>
      <w:r w:rsidR="009D3B9D" w:rsidRPr="00367FB9">
        <w:t>'</w:t>
      </w:r>
      <w:r w:rsidRPr="00367FB9">
        <w:t>UIT depuis la CMR</w:t>
      </w:r>
      <w:r w:rsidRPr="00367FB9">
        <w:noBreakHyphen/>
        <w:t>23</w:t>
      </w:r>
      <w:r w:rsidRPr="00367FB9">
        <w:rPr>
          <w:rStyle w:val="FootnoteReference"/>
        </w:rPr>
        <w:footnoteReference w:customMarkFollows="1" w:id="1"/>
        <w:t>1</w:t>
      </w:r>
      <w:r w:rsidRPr="00367FB9">
        <w:t>;</w:t>
      </w:r>
    </w:p>
    <w:p w14:paraId="0D5AA490" w14:textId="1708AD4D" w:rsidR="0024733E" w:rsidRPr="00367FB9" w:rsidRDefault="0024733E" w:rsidP="0024733E">
      <w:r w:rsidRPr="00367FB9">
        <w:lastRenderedPageBreak/>
        <w:t>9.2</w:t>
      </w:r>
      <w:r w:rsidRPr="00367FB9">
        <w:tab/>
        <w:t>sur les difficultés rencontrées ou les incohérences constatées dans l</w:t>
      </w:r>
      <w:r w:rsidR="009D3B9D" w:rsidRPr="00367FB9">
        <w:t>'</w:t>
      </w:r>
      <w:r w:rsidRPr="00367FB9">
        <w:t>application du Règlement des radiocommunications</w:t>
      </w:r>
      <w:r w:rsidRPr="00367FB9">
        <w:rPr>
          <w:rStyle w:val="FootnoteReference"/>
        </w:rPr>
        <w:footnoteReference w:customMarkFollows="1" w:id="2"/>
        <w:t>2</w:t>
      </w:r>
      <w:r w:rsidRPr="00367FB9">
        <w:t>; et</w:t>
      </w:r>
    </w:p>
    <w:p w14:paraId="6967DFAF" w14:textId="77777777" w:rsidR="0024733E" w:rsidRPr="00367FB9" w:rsidRDefault="0024733E" w:rsidP="0024733E">
      <w:r w:rsidRPr="00367FB9">
        <w:t>9.3</w:t>
      </w:r>
      <w:r w:rsidRPr="00367FB9">
        <w:tab/>
        <w:t xml:space="preserve">sur la suite donnée à la Résolution </w:t>
      </w:r>
      <w:r w:rsidRPr="00367FB9">
        <w:rPr>
          <w:b/>
          <w:bCs/>
        </w:rPr>
        <w:t>80 (Rév.CMR-07)</w:t>
      </w:r>
      <w:r w:rsidRPr="00367FB9">
        <w:t>;</w:t>
      </w:r>
    </w:p>
    <w:p w14:paraId="50FD1F54" w14:textId="37DA2657" w:rsidR="0024733E" w:rsidRPr="00367FB9" w:rsidRDefault="0024733E" w:rsidP="0024733E">
      <w:r w:rsidRPr="00367FB9">
        <w:t>10</w:t>
      </w:r>
      <w:r w:rsidRPr="00367FB9">
        <w:tab/>
        <w:t>recommander au Conseil de l</w:t>
      </w:r>
      <w:r w:rsidR="009D3B9D" w:rsidRPr="00367FB9">
        <w:t>'</w:t>
      </w:r>
      <w:r w:rsidRPr="00367FB9">
        <w:t>UIT des points à inscrire à l</w:t>
      </w:r>
      <w:r w:rsidR="009D3B9D" w:rsidRPr="00367FB9">
        <w:t>'</w:t>
      </w:r>
      <w:r w:rsidRPr="00367FB9">
        <w:t>ordre du jour de la Conférence mondiale des radiocommunications suivante et des points de l</w:t>
      </w:r>
      <w:r w:rsidR="009D3B9D" w:rsidRPr="00367FB9">
        <w:t>'</w:t>
      </w:r>
      <w:r w:rsidRPr="00367FB9">
        <w:t>ordre du jour préliminaire de conférences futures, conformément à l</w:t>
      </w:r>
      <w:r w:rsidR="009D3B9D" w:rsidRPr="00367FB9">
        <w:t>'</w:t>
      </w:r>
      <w:r w:rsidRPr="00367FB9">
        <w:t>article 7 de la Convention de l</w:t>
      </w:r>
      <w:r w:rsidR="009D3B9D" w:rsidRPr="00367FB9">
        <w:t>'</w:t>
      </w:r>
      <w:r w:rsidRPr="00367FB9">
        <w:t>UIT et à la Résolution </w:t>
      </w:r>
      <w:r w:rsidRPr="00367FB9">
        <w:rPr>
          <w:b/>
        </w:rPr>
        <w:t>804 (Rév.CMR-</w:t>
      </w:r>
      <w:r w:rsidRPr="00367FB9">
        <w:rPr>
          <w:b/>
          <w:bCs/>
          <w:iCs/>
        </w:rPr>
        <w:t>23</w:t>
      </w:r>
      <w:r w:rsidRPr="00367FB9">
        <w:rPr>
          <w:b/>
        </w:rPr>
        <w:t>)</w:t>
      </w:r>
      <w:r w:rsidRPr="00367FB9">
        <w:t>,</w:t>
      </w:r>
    </w:p>
    <w:p w14:paraId="19A7C2CB" w14:textId="77777777" w:rsidR="0024733E" w:rsidRPr="00367FB9" w:rsidRDefault="0024733E" w:rsidP="0024733E">
      <w:pPr>
        <w:pStyle w:val="Call"/>
      </w:pPr>
      <w:r w:rsidRPr="00367FB9">
        <w:t>décide en outre</w:t>
      </w:r>
    </w:p>
    <w:p w14:paraId="53E8A117" w14:textId="0E05EEA8" w:rsidR="0024733E" w:rsidRPr="00367FB9" w:rsidRDefault="0024733E" w:rsidP="0024733E">
      <w:pPr>
        <w:rPr>
          <w:szCs w:val="24"/>
        </w:rPr>
      </w:pPr>
      <w:r w:rsidRPr="00367FB9">
        <w:rPr>
          <w:szCs w:val="24"/>
        </w:rPr>
        <w:t>d</w:t>
      </w:r>
      <w:r w:rsidR="009D3B9D" w:rsidRPr="00367FB9">
        <w:rPr>
          <w:szCs w:val="24"/>
        </w:rPr>
        <w:t>'</w:t>
      </w:r>
      <w:r w:rsidRPr="00367FB9">
        <w:rPr>
          <w:szCs w:val="24"/>
        </w:rPr>
        <w:t>activer la Réunion de préparation à la Conférence (RPC),</w:t>
      </w:r>
    </w:p>
    <w:p w14:paraId="1E78C3CD" w14:textId="0F3DEB59" w:rsidR="0024733E" w:rsidRPr="00367FB9" w:rsidRDefault="0024733E" w:rsidP="0024733E">
      <w:pPr>
        <w:pStyle w:val="Call"/>
      </w:pPr>
      <w:r w:rsidRPr="00367FB9">
        <w:t>invite le Conseil de l</w:t>
      </w:r>
      <w:r w:rsidR="009D3B9D" w:rsidRPr="00367FB9">
        <w:t>'</w:t>
      </w:r>
      <w:r w:rsidRPr="00367FB9">
        <w:t>UIT</w:t>
      </w:r>
    </w:p>
    <w:p w14:paraId="19FC5E26" w14:textId="52CBED9D" w:rsidR="0024733E" w:rsidRPr="00367FB9" w:rsidRDefault="0024733E" w:rsidP="0024733E">
      <w:r w:rsidRPr="00367FB9">
        <w:t>à arrêter définitivement l</w:t>
      </w:r>
      <w:r w:rsidR="009D3B9D" w:rsidRPr="00367FB9">
        <w:t>'</w:t>
      </w:r>
      <w:r w:rsidRPr="00367FB9">
        <w:t>ordre du jour de la CMR</w:t>
      </w:r>
      <w:r w:rsidRPr="00367FB9">
        <w:noBreakHyphen/>
        <w:t>27, à prendre les dispositions nécessaires en vue de la convocation de cette Conférence, et à engager dès que possible les consultations nécessaires avec les États Membres,</w:t>
      </w:r>
    </w:p>
    <w:p w14:paraId="01B4A702" w14:textId="77777777" w:rsidR="0024733E" w:rsidRPr="00367FB9" w:rsidRDefault="0024733E" w:rsidP="0024733E">
      <w:pPr>
        <w:pStyle w:val="Call"/>
        <w:keepNext w:val="0"/>
        <w:keepLines w:val="0"/>
      </w:pPr>
      <w:r w:rsidRPr="00367FB9">
        <w:t>charge le Directeur du Bureau des radiocommunications</w:t>
      </w:r>
    </w:p>
    <w:p w14:paraId="0A77AAFB" w14:textId="72D4F50C" w:rsidR="0024733E" w:rsidRPr="00367FB9" w:rsidRDefault="0024733E" w:rsidP="0024733E">
      <w:r w:rsidRPr="00367FB9">
        <w:t>1</w:t>
      </w:r>
      <w:r w:rsidRPr="00367FB9">
        <w:tab/>
        <w:t>de prendre les dispositions voulues pour la convocation des sessions de la RPC et d</w:t>
      </w:r>
      <w:r w:rsidR="009D3B9D" w:rsidRPr="00367FB9">
        <w:t>'</w:t>
      </w:r>
      <w:r w:rsidRPr="00367FB9">
        <w:t>élaborer un rapport à l</w:t>
      </w:r>
      <w:r w:rsidR="009D3B9D" w:rsidRPr="00367FB9">
        <w:t>'</w:t>
      </w:r>
      <w:r w:rsidRPr="00367FB9">
        <w:t>intention de la CMR</w:t>
      </w:r>
      <w:r w:rsidRPr="00367FB9">
        <w:noBreakHyphen/>
        <w:t>27;</w:t>
      </w:r>
    </w:p>
    <w:p w14:paraId="2BE71BF4" w14:textId="53782B20" w:rsidR="0024733E" w:rsidRPr="00367FB9" w:rsidRDefault="0024733E" w:rsidP="0024733E">
      <w:r w:rsidRPr="00367FB9">
        <w:t>2</w:t>
      </w:r>
      <w:r w:rsidRPr="00367FB9">
        <w:tab/>
        <w:t>de soumettre à la seconde session de la RPC un projet du rapport sur les difficultés rencontrées ou les incohérences constatées dans l</w:t>
      </w:r>
      <w:r w:rsidR="009D3B9D" w:rsidRPr="00367FB9">
        <w:t>'</w:t>
      </w:r>
      <w:r w:rsidRPr="00367FB9">
        <w:t>application du Règlement des radiocommunications, comme indiqué au point 9.2 de l</w:t>
      </w:r>
      <w:r w:rsidR="009D3B9D" w:rsidRPr="00367FB9">
        <w:t>'</w:t>
      </w:r>
      <w:r w:rsidRPr="00367FB9">
        <w:t>ordre du jour et de soumettre le rapport final au moins cinq mois avant la CMR suivante,</w:t>
      </w:r>
    </w:p>
    <w:p w14:paraId="5C283606" w14:textId="77777777" w:rsidR="0024733E" w:rsidRPr="00367FB9" w:rsidRDefault="0024733E" w:rsidP="0024733E">
      <w:pPr>
        <w:pStyle w:val="Call"/>
      </w:pPr>
      <w:r w:rsidRPr="00367FB9">
        <w:t>charge le Secrétaire général</w:t>
      </w:r>
    </w:p>
    <w:p w14:paraId="0DAD5F55" w14:textId="77777777" w:rsidR="0024733E" w:rsidRPr="00367FB9" w:rsidRDefault="0024733E" w:rsidP="0024733E">
      <w:r w:rsidRPr="00367FB9">
        <w:t>de communiquer la présente Résolution aux organisations internationales ou régionales concernées.</w:t>
      </w:r>
    </w:p>
    <w:p w14:paraId="4F2F0543" w14:textId="77777777" w:rsidR="0024733E" w:rsidRPr="00367FB9" w:rsidRDefault="0024733E" w:rsidP="0024733E">
      <w:r w:rsidRPr="00367FB9">
        <w:br w:type="page"/>
      </w:r>
    </w:p>
    <w:p w14:paraId="56049838" w14:textId="77777777" w:rsidR="0024733E" w:rsidRPr="00367FB9" w:rsidRDefault="0024733E" w:rsidP="0024733E">
      <w:pPr>
        <w:pStyle w:val="AnnexNo"/>
      </w:pPr>
      <w:r w:rsidRPr="00367FB9">
        <w:lastRenderedPageBreak/>
        <w:t>ANNEXE B</w:t>
      </w:r>
    </w:p>
    <w:p w14:paraId="09507AD5" w14:textId="77777777" w:rsidR="0024733E" w:rsidRPr="00367FB9" w:rsidRDefault="0024733E" w:rsidP="0024733E">
      <w:pPr>
        <w:pStyle w:val="ResNo"/>
      </w:pPr>
      <w:r w:rsidRPr="00367FB9">
        <w:t>PROJET DE NOUVELLE RÉSOLUTION [...]</w:t>
      </w:r>
    </w:p>
    <w:p w14:paraId="6F84F2BA" w14:textId="77777777" w:rsidR="0024733E" w:rsidRPr="00367FB9" w:rsidRDefault="0024733E" w:rsidP="0024733E">
      <w:pPr>
        <w:pStyle w:val="Restitle"/>
      </w:pPr>
      <w:r w:rsidRPr="00367FB9">
        <w:t xml:space="preserve">Ordre du jour de la Conférence mondiale des </w:t>
      </w:r>
      <w:r w:rsidRPr="00367FB9">
        <w:br/>
        <w:t>radiocommunications de 2027 (CMR-27)</w:t>
      </w:r>
    </w:p>
    <w:p w14:paraId="5A60AFFF" w14:textId="68B63184" w:rsidR="0024733E" w:rsidRPr="00367FB9" w:rsidRDefault="0024733E" w:rsidP="0024733E">
      <w:pPr>
        <w:pStyle w:val="Normalaftertitle"/>
        <w:spacing w:before="360"/>
      </w:pPr>
      <w:r w:rsidRPr="00367FB9">
        <w:t>Le Conseil de l</w:t>
      </w:r>
      <w:r w:rsidR="009D3B9D" w:rsidRPr="00367FB9">
        <w:t>'</w:t>
      </w:r>
      <w:r w:rsidRPr="00367FB9">
        <w:t>UIT,</w:t>
      </w:r>
    </w:p>
    <w:p w14:paraId="4A4CAF2A" w14:textId="77777777" w:rsidR="0024733E" w:rsidRPr="00367FB9" w:rsidRDefault="0024733E" w:rsidP="0024733E">
      <w:pPr>
        <w:pStyle w:val="Call"/>
      </w:pPr>
      <w:r w:rsidRPr="00367FB9">
        <w:t>notant</w:t>
      </w:r>
    </w:p>
    <w:p w14:paraId="7AE8BCD0" w14:textId="77777777" w:rsidR="0024733E" w:rsidRPr="00367FB9" w:rsidRDefault="0024733E" w:rsidP="0024733E">
      <w:r w:rsidRPr="00367FB9">
        <w:t>que la Conférence mondiale des radiocommunications (Dubaï, 2023), dans sa Résolution 813:</w:t>
      </w:r>
    </w:p>
    <w:p w14:paraId="4DA0809B" w14:textId="19ABCAD0" w:rsidR="0024733E" w:rsidRPr="00367FB9" w:rsidRDefault="0024733E" w:rsidP="0024733E">
      <w:r w:rsidRPr="00367FB9">
        <w:rPr>
          <w:i/>
          <w:iCs/>
        </w:rPr>
        <w:t>a)</w:t>
      </w:r>
      <w:r w:rsidRPr="00367FB9">
        <w:tab/>
        <w:t>a décidé de recommander au Conseil de convoquer, en 2027, une conférence mondiale des radiocommunications d</w:t>
      </w:r>
      <w:r w:rsidR="009D3B9D" w:rsidRPr="00367FB9">
        <w:t>'</w:t>
      </w:r>
      <w:r w:rsidRPr="00367FB9">
        <w:t>une durée maximale de quatre semaines;</w:t>
      </w:r>
    </w:p>
    <w:p w14:paraId="21729CB1" w14:textId="30975D3C" w:rsidR="0024733E" w:rsidRPr="00367FB9" w:rsidRDefault="0024733E" w:rsidP="0024733E">
      <w:r w:rsidRPr="00367FB9">
        <w:rPr>
          <w:i/>
          <w:iCs/>
        </w:rPr>
        <w:t>b)</w:t>
      </w:r>
      <w:r w:rsidRPr="00367FB9">
        <w:tab/>
        <w:t>a recommandé des points à inscrire à l</w:t>
      </w:r>
      <w:r w:rsidR="009D3B9D" w:rsidRPr="00367FB9">
        <w:t>'</w:t>
      </w:r>
      <w:r w:rsidRPr="00367FB9">
        <w:t>ordre du jour de cette conférence et a invité le Conseil à arrêter définitivement cet ordre du jour, à prendre les dispositions nécessaires en vue de la convocation de la CMR-27 et à engager dès que possible les consultations nécessaires avec les États Membres,</w:t>
      </w:r>
    </w:p>
    <w:p w14:paraId="44F1F8BC" w14:textId="77777777" w:rsidR="0024733E" w:rsidRPr="00367FB9" w:rsidRDefault="0024733E" w:rsidP="0024733E">
      <w:pPr>
        <w:pStyle w:val="Call"/>
      </w:pPr>
      <w:r w:rsidRPr="00367FB9">
        <w:t>décide</w:t>
      </w:r>
    </w:p>
    <w:p w14:paraId="11E01440" w14:textId="786B6B4D" w:rsidR="0024733E" w:rsidRPr="00367FB9" w:rsidRDefault="0024733E" w:rsidP="0024733E">
      <w:r w:rsidRPr="00367FB9">
        <w:t>de convoquer en 2027 une Conférence mondiale des radiocommunications (CMR-27), précédée par une Assemblée des radiocommunications, dont l</w:t>
      </w:r>
      <w:r w:rsidR="009D3B9D" w:rsidRPr="00367FB9">
        <w:t>'</w:t>
      </w:r>
      <w:r w:rsidRPr="00367FB9">
        <w:t>ordre du jour sera le suivant:</w:t>
      </w:r>
    </w:p>
    <w:p w14:paraId="5C758775" w14:textId="77777777" w:rsidR="0024733E" w:rsidRPr="00367FB9" w:rsidRDefault="0024733E" w:rsidP="0024733E">
      <w:r w:rsidRPr="00367FB9">
        <w:t>1</w:t>
      </w:r>
      <w:r w:rsidRPr="00367FB9">
        <w:tab/>
        <w:t>sur la base des propositions des administrations, compte tenu des résultats de la CMR</w:t>
      </w:r>
      <w:r w:rsidRPr="00367FB9">
        <w:noBreakHyphen/>
        <w:t>23 ainsi que du Rapport de la Réunion de préparation à la Conférence et compte dûment tenu des besoins des services existants et futurs dans les bandes de fréquences considérées, examiner les points suivants et prendre les mesures appropriées:</w:t>
      </w:r>
    </w:p>
    <w:p w14:paraId="23DA73CA" w14:textId="38328666" w:rsidR="0024733E" w:rsidRPr="00367FB9" w:rsidRDefault="0024733E" w:rsidP="0024733E">
      <w:pPr>
        <w:rPr>
          <w:lang w:eastAsia="fr-CH"/>
        </w:rPr>
      </w:pPr>
      <w:r w:rsidRPr="00367FB9">
        <w:t>1.1</w:t>
      </w:r>
      <w:r w:rsidRPr="00367FB9">
        <w:tab/>
      </w:r>
      <w:r w:rsidRPr="00367FB9">
        <w:rPr>
          <w:lang w:eastAsia="fr-CH"/>
        </w:rPr>
        <w:t>examiner les conditions techniques et opérationnelles applicables à l</w:t>
      </w:r>
      <w:r w:rsidR="009D3B9D" w:rsidRPr="00367FB9">
        <w:rPr>
          <w:lang w:eastAsia="fr-CH"/>
        </w:rPr>
        <w:t>'</w:t>
      </w:r>
      <w:r w:rsidRPr="00367FB9">
        <w:rPr>
          <w:lang w:eastAsia="fr-CH"/>
        </w:rPr>
        <w:t>utilisation des bandes de fréquences 47,2-50,2 GHz (Terre vers espace) et 50,4-51,4 GHz (Terre vers espace), ou de parties de ces bandes de fréquences, par les stations terriennes aéronautiques et maritimes en mouvement communiquant avec des stations spatiales du service fixe par satellite et élaborer des mesures d</w:t>
      </w:r>
      <w:r w:rsidR="009D3B9D" w:rsidRPr="00367FB9">
        <w:rPr>
          <w:lang w:eastAsia="fr-CH"/>
        </w:rPr>
        <w:t>'</w:t>
      </w:r>
      <w:r w:rsidRPr="00367FB9">
        <w:rPr>
          <w:lang w:eastAsia="fr-CH"/>
        </w:rPr>
        <w:t>ordre réglementaire, selon le cas, pour faciliter l</w:t>
      </w:r>
      <w:r w:rsidR="009D3B9D" w:rsidRPr="00367FB9">
        <w:rPr>
          <w:lang w:eastAsia="fr-CH"/>
        </w:rPr>
        <w:t>'</w:t>
      </w:r>
      <w:r w:rsidRPr="00367FB9">
        <w:rPr>
          <w:lang w:eastAsia="fr-CH"/>
        </w:rPr>
        <w:t xml:space="preserve">utilisation des bandes de fréquences </w:t>
      </w:r>
      <w:r w:rsidRPr="00367FB9">
        <w:t>47,2</w:t>
      </w:r>
      <w:r w:rsidRPr="00367FB9">
        <w:noBreakHyphen/>
        <w:t xml:space="preserve">50,2 GHz </w:t>
      </w:r>
      <w:r w:rsidRPr="00367FB9">
        <w:rPr>
          <w:lang w:eastAsia="fr-CH"/>
        </w:rPr>
        <w:t xml:space="preserve">(Terre vers espace) </w:t>
      </w:r>
      <w:r w:rsidRPr="00367FB9">
        <w:t>et 50,4</w:t>
      </w:r>
      <w:r w:rsidRPr="00367FB9">
        <w:noBreakHyphen/>
        <w:t>51,4 GHz (Terre vers espace), ou de parties de ces bandes de fréquences,</w:t>
      </w:r>
      <w:r w:rsidRPr="00367FB9">
        <w:rPr>
          <w:lang w:eastAsia="zh-CN"/>
        </w:rPr>
        <w:t xml:space="preserve"> </w:t>
      </w:r>
      <w:r w:rsidRPr="00367FB9">
        <w:rPr>
          <w:lang w:eastAsia="fr-CH"/>
        </w:rPr>
        <w:t xml:space="preserve">par les stations terriennes aéronautiques et maritimes en mouvement communiquant avec des stations spatiales géostationnaires et des stations spatiales non géostationnaires du service fixe par satellite, conformément à la Résolution </w:t>
      </w:r>
      <w:r w:rsidRPr="00367FB9">
        <w:rPr>
          <w:b/>
          <w:bCs/>
          <w:lang w:eastAsia="fr-CH"/>
        </w:rPr>
        <w:t>176 (Rév.CMR-23)</w:t>
      </w:r>
      <w:r w:rsidRPr="00367FB9">
        <w:rPr>
          <w:lang w:eastAsia="fr-CH"/>
        </w:rPr>
        <w:t>;</w:t>
      </w:r>
    </w:p>
    <w:p w14:paraId="0E98CF86" w14:textId="0862EEFD" w:rsidR="0024733E" w:rsidRPr="00367FB9" w:rsidRDefault="0024733E" w:rsidP="0024733E">
      <w:r w:rsidRPr="00367FB9">
        <w:rPr>
          <w:lang w:eastAsia="fr-CH"/>
        </w:rPr>
        <w:t>1.2</w:t>
      </w:r>
      <w:r w:rsidRPr="00367FB9">
        <w:rPr>
          <w:lang w:eastAsia="fr-CH"/>
        </w:rPr>
        <w:tab/>
      </w:r>
      <w:r w:rsidRPr="00367FB9">
        <w:t>examiner la révision éventuelle des conditions de partage dans la bande de fréquences 13,75-14 GHz pour permettre l</w:t>
      </w:r>
      <w:r w:rsidR="009D3B9D" w:rsidRPr="00367FB9">
        <w:t>'</w:t>
      </w:r>
      <w:r w:rsidRPr="00367FB9">
        <w:t xml:space="preserve">utilisation des stations terriennes du service fixe par satellite en liaison montante avec des antennes de petite dimension, conformément à la Résolution </w:t>
      </w:r>
      <w:r w:rsidRPr="00367FB9">
        <w:rPr>
          <w:b/>
          <w:bCs/>
          <w:caps/>
        </w:rPr>
        <w:t>129 (CMR</w:t>
      </w:r>
      <w:r w:rsidRPr="00367FB9">
        <w:rPr>
          <w:b/>
          <w:bCs/>
          <w:caps/>
        </w:rPr>
        <w:noBreakHyphen/>
        <w:t>23)</w:t>
      </w:r>
      <w:r w:rsidRPr="00367FB9">
        <w:t>;</w:t>
      </w:r>
    </w:p>
    <w:p w14:paraId="175DF191" w14:textId="20795C34" w:rsidR="0024733E" w:rsidRPr="00367FB9" w:rsidRDefault="0024733E" w:rsidP="0024733E">
      <w:pPr>
        <w:keepNext/>
        <w:keepLines/>
      </w:pPr>
      <w:r w:rsidRPr="00367FB9">
        <w:lastRenderedPageBreak/>
        <w:t>1.3</w:t>
      </w:r>
      <w:r w:rsidRPr="00367FB9">
        <w:tab/>
      </w:r>
      <w:r w:rsidRPr="00367FB9">
        <w:rPr>
          <w:rFonts w:eastAsiaTheme="minorHAnsi"/>
        </w:rPr>
        <w:t>examiner des études relatives à l</w:t>
      </w:r>
      <w:r w:rsidR="009D3B9D" w:rsidRPr="00367FB9">
        <w:rPr>
          <w:rFonts w:eastAsiaTheme="minorHAnsi"/>
        </w:rPr>
        <w:t>'</w:t>
      </w:r>
      <w:r w:rsidRPr="00367FB9">
        <w:rPr>
          <w:rFonts w:eastAsiaTheme="minorHAnsi"/>
        </w:rPr>
        <w:t xml:space="preserve">utilisation de la bande de fréquences 51,4-52,4 GHz pour en permettre </w:t>
      </w:r>
      <w:r w:rsidRPr="00367FB9">
        <w:t>l</w:t>
      </w:r>
      <w:r w:rsidR="009D3B9D" w:rsidRPr="00367FB9">
        <w:t>'</w:t>
      </w:r>
      <w:r w:rsidRPr="00367FB9">
        <w:t xml:space="preserve">utilisation </w:t>
      </w:r>
      <w:r w:rsidRPr="00367FB9">
        <w:rPr>
          <w:rFonts w:eastAsiaTheme="minorHAnsi"/>
        </w:rPr>
        <w:t>par les stations terriennes passerelles émettant vers des systèmes à satellites non géostationnaires du service fixe par satellite (Terre vers espace), conformément à la Résolution </w:t>
      </w:r>
      <w:r w:rsidRPr="00367FB9">
        <w:rPr>
          <w:b/>
          <w:bCs/>
        </w:rPr>
        <w:t>130 (CMR-23)</w:t>
      </w:r>
      <w:r w:rsidRPr="00367FB9">
        <w:t>;</w:t>
      </w:r>
    </w:p>
    <w:p w14:paraId="0A090FC3" w14:textId="77777777" w:rsidR="0024733E" w:rsidRPr="00367FB9" w:rsidRDefault="0024733E" w:rsidP="0024733E">
      <w:r w:rsidRPr="00367FB9">
        <w:t>1.4</w:t>
      </w:r>
      <w:r w:rsidRPr="00367FB9">
        <w:tab/>
        <w:t>examiner une nouvelle attribution éventuelle à titre primaire au service fixe par satellite (espace vers Terre) dans la bande de fréquences 17,3-17,7 GHz et une nouvelle attribution éventuelle à titre primaire au service de radiodiffusion par satellite (espace vers Terre) dans la bande de fréquences 17,3</w:t>
      </w:r>
      <w:r w:rsidRPr="00367FB9">
        <w:noBreakHyphen/>
        <w:t xml:space="preserve">17,8 GHz en Région 3, tout en assurant la protection des attributions existantes à titre primaire dans la même bande de fréquences et dans les bandes de fréquences adjacentes, et examiner des limites de puissance surfacique équivalente à appliquer dans les Régions 1 et 3 aux systèmes à satellites non géostationnaires du service fixe par satellite (espace vers Terre) dans la bande de fréquences 17,3-17,7 GHz, conformément à la Résolution </w:t>
      </w:r>
      <w:r w:rsidRPr="00367FB9">
        <w:rPr>
          <w:b/>
          <w:bCs/>
        </w:rPr>
        <w:t>726 (CMR-23)</w:t>
      </w:r>
      <w:r w:rsidRPr="00367FB9">
        <w:t>;</w:t>
      </w:r>
    </w:p>
    <w:p w14:paraId="18AE5547" w14:textId="0DDD0280" w:rsidR="0024733E" w:rsidRPr="00367FB9" w:rsidRDefault="0024733E" w:rsidP="0024733E">
      <w:pPr>
        <w:rPr>
          <w:rFonts w:eastAsiaTheme="minorHAnsi"/>
        </w:rPr>
      </w:pPr>
      <w:r w:rsidRPr="00367FB9">
        <w:t>1.5</w:t>
      </w:r>
      <w:r w:rsidRPr="00367FB9">
        <w:tab/>
      </w:r>
      <w:r w:rsidRPr="00367FB9">
        <w:rPr>
          <w:rFonts w:eastAsiaTheme="minorHAnsi"/>
        </w:rPr>
        <w:t>étudier les mesures réglementaires, et la possibilité de mettre en œuvre ces mesures, pour limiter l</w:t>
      </w:r>
      <w:r w:rsidR="009D3B9D" w:rsidRPr="00367FB9">
        <w:rPr>
          <w:rFonts w:eastAsiaTheme="minorHAnsi"/>
        </w:rPr>
        <w:t>'</w:t>
      </w:r>
      <w:r w:rsidRPr="00367FB9">
        <w:rPr>
          <w:rFonts w:eastAsiaTheme="minorHAnsi"/>
        </w:rPr>
        <w:t>exploitation non autorisée de stations terriennes sur l</w:t>
      </w:r>
      <w:r w:rsidR="009D3B9D" w:rsidRPr="00367FB9">
        <w:rPr>
          <w:rFonts w:eastAsiaTheme="minorHAnsi"/>
        </w:rPr>
        <w:t>'</w:t>
      </w:r>
      <w:r w:rsidRPr="00367FB9">
        <w:rPr>
          <w:rFonts w:eastAsiaTheme="minorHAnsi"/>
        </w:rPr>
        <w:t xml:space="preserve">orbite des satellites non géostationnaires du service fixe par satellite et du service mobile par satellite, et examiner les questions </w:t>
      </w:r>
      <w:r w:rsidRPr="00367FB9">
        <w:t xml:space="preserve">connexes relatives </w:t>
      </w:r>
      <w:r w:rsidRPr="00367FB9">
        <w:rPr>
          <w:rFonts w:eastAsiaTheme="minorHAnsi"/>
        </w:rPr>
        <w:t>à la zone de service des systèmes à satellites non géostationnaires du service fixe par satellite et du service mobile par satellite, conformément à la Résolution </w:t>
      </w:r>
      <w:r w:rsidRPr="00367FB9">
        <w:rPr>
          <w:rFonts w:eastAsiaTheme="minorHAnsi"/>
          <w:b/>
          <w:bCs/>
        </w:rPr>
        <w:t>14 (CMR-23)</w:t>
      </w:r>
      <w:r w:rsidRPr="00367FB9">
        <w:rPr>
          <w:rFonts w:eastAsiaTheme="minorHAnsi"/>
        </w:rPr>
        <w:t>;</w:t>
      </w:r>
    </w:p>
    <w:p w14:paraId="730A496D" w14:textId="77777777" w:rsidR="0024733E" w:rsidRPr="00367FB9" w:rsidRDefault="0024733E" w:rsidP="0024733E">
      <w:pPr>
        <w:rPr>
          <w:rFonts w:eastAsiaTheme="minorHAnsi"/>
        </w:rPr>
      </w:pPr>
      <w:r w:rsidRPr="00367FB9">
        <w:rPr>
          <w:rFonts w:eastAsiaTheme="minorHAnsi"/>
        </w:rPr>
        <w:t>1.6</w:t>
      </w:r>
      <w:r w:rsidRPr="00367FB9">
        <w:rPr>
          <w:rFonts w:eastAsiaTheme="minorHAnsi"/>
        </w:rPr>
        <w:tab/>
        <w:t>examiner des mesures techniques et réglementaires relatives aux réseaux à satellite/systèmes à satellites du service fixe par satellite dans les bandes de fréquences 37,5</w:t>
      </w:r>
      <w:r w:rsidRPr="00367FB9">
        <w:rPr>
          <w:rFonts w:eastAsiaTheme="minorHAnsi"/>
        </w:rPr>
        <w:noBreakHyphen/>
        <w:t>42,5 GHz (espace vers Terre), 42,5-43,5 GHz (Terre vers espace), 47,2</w:t>
      </w:r>
      <w:r w:rsidRPr="00367FB9">
        <w:rPr>
          <w:rFonts w:eastAsiaTheme="minorHAnsi"/>
        </w:rPr>
        <w:noBreakHyphen/>
        <w:t>50,2 GHz (Terre vers espace) et 50,4</w:t>
      </w:r>
      <w:r w:rsidRPr="00367FB9">
        <w:rPr>
          <w:rFonts w:eastAsiaTheme="minorHAnsi"/>
        </w:rPr>
        <w:noBreakHyphen/>
        <w:t xml:space="preserve">51,4 GHz (Terre vers espace) pour garantir un accès équitable à ces bandes de fréquences, conformément à la Résolution </w:t>
      </w:r>
      <w:r w:rsidRPr="00367FB9">
        <w:rPr>
          <w:rFonts w:eastAsiaTheme="minorHAnsi"/>
          <w:b/>
          <w:bCs/>
        </w:rPr>
        <w:t>131 (CMR-23)</w:t>
      </w:r>
      <w:r w:rsidRPr="00367FB9">
        <w:rPr>
          <w:rFonts w:eastAsiaTheme="minorHAnsi"/>
        </w:rPr>
        <w:t>;</w:t>
      </w:r>
    </w:p>
    <w:p w14:paraId="6CAFC31F" w14:textId="3BD75B5F" w:rsidR="0024733E" w:rsidRPr="00367FB9" w:rsidRDefault="0024733E" w:rsidP="0024733E">
      <w:r w:rsidRPr="00367FB9">
        <w:rPr>
          <w:rFonts w:eastAsiaTheme="minorEastAsia"/>
        </w:rPr>
        <w:t>1.7</w:t>
      </w:r>
      <w:r w:rsidRPr="00367FB9">
        <w:rPr>
          <w:rFonts w:eastAsiaTheme="minorEastAsia"/>
        </w:rPr>
        <w:tab/>
      </w:r>
      <w:r w:rsidRPr="00367FB9">
        <w:t>examiner des études de partage et de compatibilité et définir des conditions techniques en vue de l</w:t>
      </w:r>
      <w:r w:rsidR="009D3B9D" w:rsidRPr="00367FB9">
        <w:t>'</w:t>
      </w:r>
      <w:r w:rsidRPr="00367FB9">
        <w:t xml:space="preserve">utilisation des Télécommunications mobiles internationales (IMT) dans les bandes de fréquences 4 400-4 800 MHz, et 7 125-8 400 MHz (ou des parties de ces bandes de fréquences) et 14,8-15,35 GHz, compte tenu des services primaires existants fonctionnant dans ces bandes de fréquences et dans les bandes de fréquences adjacentes, conformément à la Résolution </w:t>
      </w:r>
      <w:r w:rsidRPr="00367FB9">
        <w:rPr>
          <w:b/>
        </w:rPr>
        <w:t>256 (CMR</w:t>
      </w:r>
      <w:r w:rsidRPr="00367FB9">
        <w:rPr>
          <w:b/>
        </w:rPr>
        <w:noBreakHyphen/>
        <w:t>23)</w:t>
      </w:r>
      <w:r w:rsidRPr="00367FB9">
        <w:t>;</w:t>
      </w:r>
    </w:p>
    <w:p w14:paraId="2DDD6516" w14:textId="59B13166" w:rsidR="0024733E" w:rsidRPr="00367FB9" w:rsidRDefault="0024733E" w:rsidP="0024733E">
      <w:r w:rsidRPr="00367FB9">
        <w:rPr>
          <w:rFonts w:eastAsiaTheme="minorEastAsia"/>
        </w:rPr>
        <w:t>1.8</w:t>
      </w:r>
      <w:r w:rsidRPr="00367FB9">
        <w:rPr>
          <w:rFonts w:eastAsiaTheme="minorEastAsia"/>
        </w:rPr>
        <w:tab/>
      </w:r>
      <w:r w:rsidRPr="00367FB9">
        <w:t>examiner des attributions de fréquences additionnelles éventuelles au service de radiolocalisation à titre primaire dans la gamme de fréquences 231,5-275 GHz et de nouvelles identifications éventuelles pour les applications du service de radiolocalisation dans les bandes de fréquences comprises dans la gamme de fréquences 275-700 GHz pour les systèmes d</w:t>
      </w:r>
      <w:r w:rsidR="009D3B9D" w:rsidRPr="00367FB9">
        <w:t>'</w:t>
      </w:r>
      <w:r w:rsidRPr="00367FB9">
        <w:t xml:space="preserve">imagerie en ondes millimétriques et submillimétriques, conformément à la Résolution </w:t>
      </w:r>
      <w:r w:rsidRPr="00367FB9">
        <w:rPr>
          <w:b/>
          <w:bCs/>
        </w:rPr>
        <w:t>663 (Rév.CMR-23)</w:t>
      </w:r>
      <w:r w:rsidRPr="00367FB9">
        <w:t>;</w:t>
      </w:r>
    </w:p>
    <w:p w14:paraId="217BDB54" w14:textId="192A6161" w:rsidR="0024733E" w:rsidRPr="00367FB9" w:rsidRDefault="0024733E" w:rsidP="0024733E">
      <w:pPr>
        <w:rPr>
          <w:szCs w:val="24"/>
        </w:rPr>
      </w:pPr>
      <w:r w:rsidRPr="00367FB9">
        <w:rPr>
          <w:szCs w:val="24"/>
        </w:rPr>
        <w:t>1.9</w:t>
      </w:r>
      <w:r w:rsidRPr="00367FB9">
        <w:rPr>
          <w:szCs w:val="24"/>
        </w:rPr>
        <w:tab/>
      </w:r>
      <w:r w:rsidRPr="00367FB9">
        <w:t xml:space="preserve">examiner </w:t>
      </w:r>
      <w:r w:rsidRPr="00367FB9">
        <w:rPr>
          <w:szCs w:val="24"/>
        </w:rPr>
        <w:t>des mesures réglementaires appropriées pour mettre à jour l</w:t>
      </w:r>
      <w:r w:rsidR="009D3B9D" w:rsidRPr="00367FB9">
        <w:rPr>
          <w:szCs w:val="24"/>
        </w:rPr>
        <w:t>'</w:t>
      </w:r>
      <w:r w:rsidRPr="00367FB9">
        <w:rPr>
          <w:szCs w:val="24"/>
        </w:rPr>
        <w:t>Appendice </w:t>
      </w:r>
      <w:r w:rsidRPr="00367FB9">
        <w:rPr>
          <w:b/>
          <w:bCs/>
          <w:szCs w:val="24"/>
        </w:rPr>
        <w:t>26</w:t>
      </w:r>
      <w:r w:rsidRPr="00367FB9">
        <w:rPr>
          <w:szCs w:val="24"/>
        </w:rPr>
        <w:t xml:space="preserve"> du Règlement des radiocommunications </w:t>
      </w:r>
      <w:r w:rsidRPr="00367FB9">
        <w:t xml:space="preserve">en vue de permettre </w:t>
      </w:r>
      <w:r w:rsidRPr="00367FB9">
        <w:rPr>
          <w:szCs w:val="24"/>
        </w:rPr>
        <w:t xml:space="preserve">la modernisation </w:t>
      </w:r>
      <w:r w:rsidRPr="00367FB9">
        <w:t>de l</w:t>
      </w:r>
      <w:r w:rsidR="009D3B9D" w:rsidRPr="00367FB9">
        <w:t>'</w:t>
      </w:r>
      <w:r w:rsidRPr="00367FB9">
        <w:t>utilisation des bandes d</w:t>
      </w:r>
      <w:r w:rsidR="009D3B9D" w:rsidRPr="00367FB9">
        <w:t>'</w:t>
      </w:r>
      <w:r w:rsidRPr="00367FB9">
        <w:t xml:space="preserve">ondes décamétriques du service mobile aéronautique (OR), </w:t>
      </w:r>
      <w:r w:rsidRPr="00367FB9">
        <w:rPr>
          <w:szCs w:val="24"/>
        </w:rPr>
        <w:t xml:space="preserve">conformément à la Résolution </w:t>
      </w:r>
      <w:r w:rsidRPr="00367FB9">
        <w:rPr>
          <w:b/>
          <w:bCs/>
          <w:szCs w:val="24"/>
        </w:rPr>
        <w:t>411 (</w:t>
      </w:r>
      <w:r w:rsidRPr="00367FB9">
        <w:rPr>
          <w:b/>
          <w:szCs w:val="24"/>
        </w:rPr>
        <w:t>CMR</w:t>
      </w:r>
      <w:r w:rsidRPr="00367FB9">
        <w:rPr>
          <w:b/>
          <w:szCs w:val="24"/>
        </w:rPr>
        <w:noBreakHyphen/>
        <w:t>23)</w:t>
      </w:r>
      <w:r w:rsidRPr="00367FB9">
        <w:rPr>
          <w:szCs w:val="24"/>
        </w:rPr>
        <w:t>;</w:t>
      </w:r>
    </w:p>
    <w:p w14:paraId="2799F34B" w14:textId="690EFC34" w:rsidR="0024733E" w:rsidRPr="00367FB9" w:rsidRDefault="0024733E" w:rsidP="0024733E">
      <w:pPr>
        <w:keepNext/>
        <w:keepLines/>
      </w:pPr>
      <w:r w:rsidRPr="00367FB9">
        <w:rPr>
          <w:szCs w:val="24"/>
        </w:rPr>
        <w:lastRenderedPageBreak/>
        <w:t>1.10</w:t>
      </w:r>
      <w:r w:rsidRPr="00367FB9">
        <w:rPr>
          <w:szCs w:val="24"/>
        </w:rPr>
        <w:tab/>
        <w:t xml:space="preserve">envisager de </w:t>
      </w:r>
      <w:r w:rsidRPr="00367FB9">
        <w:t>définir des limites de puissance surfacique et de puissance isotrope rayonnée équivalente à inclure dans l</w:t>
      </w:r>
      <w:r w:rsidR="009D3B9D" w:rsidRPr="00367FB9">
        <w:t>'</w:t>
      </w:r>
      <w:r w:rsidRPr="00367FB9">
        <w:t xml:space="preserve">Article </w:t>
      </w:r>
      <w:r w:rsidRPr="00367FB9">
        <w:rPr>
          <w:b/>
          <w:bCs/>
        </w:rPr>
        <w:t>21</w:t>
      </w:r>
      <w:r w:rsidRPr="00367FB9">
        <w:t xml:space="preserve"> du Règlement des radiocommunications pour les services fixe par satellite, mobile par satellite et de radiodiffusion par satellite aux fins de la protection des services fixe et mobile dans les bandes de fréquences 71</w:t>
      </w:r>
      <w:r w:rsidRPr="00367FB9">
        <w:noBreakHyphen/>
        <w:t>76 GHz et 81-86 GHz, conformément à la Résolution </w:t>
      </w:r>
      <w:r w:rsidRPr="00367FB9">
        <w:rPr>
          <w:b/>
          <w:bCs/>
        </w:rPr>
        <w:t>775 (Rév.CMR-23)</w:t>
      </w:r>
      <w:r w:rsidRPr="00367FB9">
        <w:t>;</w:t>
      </w:r>
    </w:p>
    <w:p w14:paraId="58174C8D" w14:textId="77777777" w:rsidR="0024733E" w:rsidRPr="00367FB9" w:rsidRDefault="0024733E" w:rsidP="0024733E">
      <w:r w:rsidRPr="00367FB9">
        <w:t>1.11</w:t>
      </w:r>
      <w:r w:rsidRPr="00367FB9">
        <w:tab/>
        <w:t>examiner les questions techniques et opérationnelles ainsi que des dispositions réglementaires relatives aux liaisons espace-espace entre les satellites non géostationnaires et les satellites géostationnaires dans les bandes de fréquences 1 518-1 544 MHz, 1 545</w:t>
      </w:r>
      <w:r w:rsidRPr="00367FB9">
        <w:noBreakHyphen/>
        <w:t>1 559 MHz, 1 610</w:t>
      </w:r>
      <w:r w:rsidRPr="00367FB9">
        <w:noBreakHyphen/>
        <w:t>1 645,5 MHz, 1 646,5-1 660 MHz, 1 670-1 675 MHz et 2 483,5</w:t>
      </w:r>
      <w:r w:rsidRPr="00367FB9">
        <w:noBreakHyphen/>
        <w:t xml:space="preserve">2 500 MHz attribuées au service mobile par satellite, conformément à la Résolution </w:t>
      </w:r>
      <w:r w:rsidRPr="00367FB9">
        <w:rPr>
          <w:b/>
          <w:bCs/>
        </w:rPr>
        <w:t>249 (Rév.CMR-23)</w:t>
      </w:r>
      <w:r w:rsidRPr="00367FB9">
        <w:t>;</w:t>
      </w:r>
    </w:p>
    <w:p w14:paraId="10E0A1EE" w14:textId="15BBA5FC" w:rsidR="0024733E" w:rsidRPr="00367FB9" w:rsidRDefault="0024733E" w:rsidP="0024733E">
      <w:r w:rsidRPr="00367FB9">
        <w:t>1.12</w:t>
      </w:r>
      <w:r w:rsidRPr="00367FB9">
        <w:tab/>
        <w:t>examiner, sur la base des résultats des études, de nouvelles attributions éventuelles au service mobile par satellite et d</w:t>
      </w:r>
      <w:r w:rsidR="009D3B9D" w:rsidRPr="00367FB9">
        <w:t>'</w:t>
      </w:r>
      <w:r w:rsidRPr="00367FB9">
        <w:t>éventuelles mesures réglementaires dans les bandes de fréquences 1 427-1 432 MHz (espace vers Terre), 1 645,5-1 646,5 MHz (espace vers Terre) (Terre vers espace), 1 880-1 920 MHz (espace vers Terre) (Terre vers espace) et 2 010</w:t>
      </w:r>
      <w:r w:rsidRPr="00367FB9">
        <w:noBreakHyphen/>
        <w:t>2 025 MHz (espace vers Terre) (Terre vers espace) nécessaires au développement futur des systèmes à satellites mobiles non géostationnaires à faible débit de données, conformément à la Résolution </w:t>
      </w:r>
      <w:r w:rsidRPr="00367FB9">
        <w:rPr>
          <w:b/>
          <w:bCs/>
        </w:rPr>
        <w:t>252 (CMR-23)</w:t>
      </w:r>
      <w:r w:rsidRPr="00367FB9">
        <w:t>;</w:t>
      </w:r>
    </w:p>
    <w:p w14:paraId="14B0DFBC" w14:textId="2E8E7BB7" w:rsidR="0024733E" w:rsidRPr="00367FB9" w:rsidRDefault="0024733E" w:rsidP="0024733E">
      <w:r w:rsidRPr="00367FB9">
        <w:t>1.13</w:t>
      </w:r>
      <w:r w:rsidRPr="00367FB9">
        <w:tab/>
        <w:t>examiner les études concernant de nouvelles attributions éventuelles au service mobile par satellite pour permettre une connectivité directe entre les stations spatiales et les équipements d</w:t>
      </w:r>
      <w:r w:rsidR="009D3B9D" w:rsidRPr="00367FB9">
        <w:t>'</w:t>
      </w:r>
      <w:r w:rsidRPr="00367FB9">
        <w:t xml:space="preserve">utilisateur des Télécommunications mobiles internationales (IMT) afin de compléter la couverture des réseaux IMT de Terre, conformément à la Résolution </w:t>
      </w:r>
      <w:r w:rsidRPr="00367FB9">
        <w:rPr>
          <w:b/>
          <w:bCs/>
        </w:rPr>
        <w:t>253 (CMR</w:t>
      </w:r>
      <w:r w:rsidRPr="00367FB9">
        <w:rPr>
          <w:b/>
          <w:bCs/>
        </w:rPr>
        <w:noBreakHyphen/>
        <w:t>23)</w:t>
      </w:r>
      <w:r w:rsidRPr="00367FB9">
        <w:t>;</w:t>
      </w:r>
    </w:p>
    <w:p w14:paraId="6083F295" w14:textId="77777777" w:rsidR="0024733E" w:rsidRPr="00367FB9" w:rsidRDefault="0024733E" w:rsidP="0024733E">
      <w:pPr>
        <w:rPr>
          <w:bCs/>
        </w:rPr>
      </w:pPr>
      <w:r w:rsidRPr="00367FB9">
        <w:t>1.14</w:t>
      </w:r>
      <w:r w:rsidRPr="00367FB9">
        <w:tab/>
        <w:t xml:space="preserve">examiner des attributions additionnelles éventuelles au service mobile par satellite, conformément à la Résolution </w:t>
      </w:r>
      <w:r w:rsidRPr="00367FB9">
        <w:rPr>
          <w:b/>
        </w:rPr>
        <w:t>254 (CMR</w:t>
      </w:r>
      <w:r w:rsidRPr="00367FB9">
        <w:rPr>
          <w:b/>
        </w:rPr>
        <w:noBreakHyphen/>
        <w:t>23)</w:t>
      </w:r>
      <w:r w:rsidRPr="00367FB9">
        <w:rPr>
          <w:bCs/>
        </w:rPr>
        <w:t>;</w:t>
      </w:r>
    </w:p>
    <w:p w14:paraId="40FE1C50" w14:textId="7436FA34" w:rsidR="0024733E" w:rsidRPr="00367FB9" w:rsidRDefault="0024733E" w:rsidP="0024733E">
      <w:pPr>
        <w:rPr>
          <w:rFonts w:eastAsiaTheme="minorHAnsi"/>
          <w:bCs/>
          <w:szCs w:val="24"/>
        </w:rPr>
      </w:pPr>
      <w:r w:rsidRPr="00367FB9">
        <w:rPr>
          <w:bCs/>
        </w:rPr>
        <w:t>1.15</w:t>
      </w:r>
      <w:r w:rsidRPr="00367FB9">
        <w:rPr>
          <w:bCs/>
        </w:rPr>
        <w:tab/>
      </w:r>
      <w:r w:rsidRPr="00367FB9">
        <w:rPr>
          <w:rFonts w:eastAsiaTheme="minorHAnsi"/>
          <w:bCs/>
          <w:szCs w:val="24"/>
        </w:rPr>
        <w:t>examiner des études sur les questions liées aux fréquences, y compris les éventuelles attributions, nouvelles ou modifiées au service de recherche spatiale (espace-espace) pour le développement futur des communications à la surface de la Lune et entre l</w:t>
      </w:r>
      <w:r w:rsidR="009D3B9D" w:rsidRPr="00367FB9">
        <w:rPr>
          <w:rFonts w:eastAsiaTheme="minorHAnsi"/>
          <w:bCs/>
          <w:szCs w:val="24"/>
        </w:rPr>
        <w:t>'</w:t>
      </w:r>
      <w:r w:rsidRPr="00367FB9">
        <w:rPr>
          <w:rFonts w:eastAsiaTheme="minorHAnsi"/>
          <w:bCs/>
          <w:szCs w:val="24"/>
        </w:rPr>
        <w:t xml:space="preserve">orbite lunaire et la surface de la Lune, conformément à la Résolution </w:t>
      </w:r>
      <w:r w:rsidRPr="00367FB9">
        <w:rPr>
          <w:rFonts w:eastAsiaTheme="minorHAnsi"/>
          <w:b/>
          <w:bCs/>
          <w:szCs w:val="24"/>
        </w:rPr>
        <w:t>680 (CMR-23)</w:t>
      </w:r>
      <w:r w:rsidRPr="00367FB9">
        <w:rPr>
          <w:rFonts w:eastAsiaTheme="minorHAnsi"/>
          <w:bCs/>
          <w:szCs w:val="24"/>
        </w:rPr>
        <w:t>;</w:t>
      </w:r>
    </w:p>
    <w:p w14:paraId="6F910F43" w14:textId="4C487733" w:rsidR="0024733E" w:rsidRPr="00367FB9" w:rsidRDefault="0024733E" w:rsidP="0024733E">
      <w:r w:rsidRPr="00367FB9">
        <w:rPr>
          <w:rFonts w:eastAsiaTheme="minorHAnsi"/>
          <w:bCs/>
          <w:szCs w:val="24"/>
        </w:rPr>
        <w:t>1.16</w:t>
      </w:r>
      <w:r w:rsidRPr="00367FB9">
        <w:rPr>
          <w:rFonts w:eastAsiaTheme="minorHAnsi"/>
          <w:bCs/>
          <w:szCs w:val="24"/>
        </w:rPr>
        <w:tab/>
      </w:r>
      <w:r w:rsidRPr="00367FB9">
        <w:rPr>
          <w:rFonts w:eastAsiaTheme="minorHAnsi"/>
          <w:bCs/>
        </w:rPr>
        <w:t>examiner les études sur les dispositions techniques et réglementaires nécessaires pour protéger le service de radioastronomie fonctionnant dans certaines zones de silence radioélectrique et, dans les bandes de fréquences attribuées à titre primaire au service de radioastronomie à l</w:t>
      </w:r>
      <w:r w:rsidR="009D3B9D" w:rsidRPr="00367FB9">
        <w:rPr>
          <w:rFonts w:eastAsiaTheme="minorHAnsi"/>
          <w:bCs/>
        </w:rPr>
        <w:t>'</w:t>
      </w:r>
      <w:r w:rsidRPr="00367FB9">
        <w:rPr>
          <w:rFonts w:eastAsiaTheme="minorHAnsi"/>
          <w:bCs/>
        </w:rPr>
        <w:t>échelle mondiale, contre les brouillages radioélectriques cumulatifs causés par des systèmes sur l</w:t>
      </w:r>
      <w:r w:rsidR="009D3B9D" w:rsidRPr="00367FB9">
        <w:rPr>
          <w:rFonts w:eastAsiaTheme="minorHAnsi"/>
          <w:bCs/>
        </w:rPr>
        <w:t>'</w:t>
      </w:r>
      <w:r w:rsidRPr="00367FB9">
        <w:rPr>
          <w:rFonts w:eastAsiaTheme="minorHAnsi"/>
          <w:bCs/>
        </w:rPr>
        <w:t>orbite des satellites non géostationnaires</w:t>
      </w:r>
      <w:r w:rsidRPr="00367FB9">
        <w:t xml:space="preserve">, conformément à la Résolution </w:t>
      </w:r>
      <w:r w:rsidRPr="00367FB9">
        <w:rPr>
          <w:b/>
          <w:bCs/>
        </w:rPr>
        <w:t>681 (CMR</w:t>
      </w:r>
      <w:r w:rsidRPr="00367FB9">
        <w:rPr>
          <w:b/>
          <w:bCs/>
        </w:rPr>
        <w:noBreakHyphen/>
        <w:t>23)</w:t>
      </w:r>
      <w:r w:rsidRPr="00367FB9">
        <w:t>;</w:t>
      </w:r>
    </w:p>
    <w:p w14:paraId="2B037441" w14:textId="292C6664" w:rsidR="0024733E" w:rsidRPr="00367FB9" w:rsidRDefault="0024733E" w:rsidP="0024733E">
      <w:pPr>
        <w:rPr>
          <w:rFonts w:eastAsiaTheme="minorHAnsi"/>
        </w:rPr>
      </w:pPr>
      <w:r w:rsidRPr="00367FB9">
        <w:t>1.17</w:t>
      </w:r>
      <w:r w:rsidRPr="00367FB9">
        <w:tab/>
      </w:r>
      <w:r w:rsidRPr="00367FB9">
        <w:rPr>
          <w:rFonts w:eastAsiaTheme="minorHAnsi"/>
          <w:bCs/>
        </w:rPr>
        <w:t>examiner des dispositions réglementaires concernant les capteurs de météorologie spatiale en mode réception seulement et leur protection dans le Règlement des radiocommunications, compte tenu des résultats des études menées par le Secteur des radiocommunications de l</w:t>
      </w:r>
      <w:r w:rsidR="009D3B9D" w:rsidRPr="00367FB9">
        <w:rPr>
          <w:rFonts w:eastAsiaTheme="minorHAnsi"/>
          <w:bCs/>
        </w:rPr>
        <w:t>'</w:t>
      </w:r>
      <w:r w:rsidRPr="00367FB9">
        <w:rPr>
          <w:rFonts w:eastAsiaTheme="minorHAnsi"/>
          <w:bCs/>
        </w:rPr>
        <w:t xml:space="preserve">UIT, conformément à la Résolution </w:t>
      </w:r>
      <w:r w:rsidRPr="00367FB9">
        <w:rPr>
          <w:rFonts w:eastAsiaTheme="minorHAnsi"/>
          <w:b/>
          <w:bCs/>
        </w:rPr>
        <w:t>682 (CMR-23)</w:t>
      </w:r>
      <w:r w:rsidRPr="00367FB9">
        <w:rPr>
          <w:rFonts w:eastAsiaTheme="minorHAnsi"/>
        </w:rPr>
        <w:t>;</w:t>
      </w:r>
    </w:p>
    <w:p w14:paraId="3E8F9F48" w14:textId="773A41F3" w:rsidR="0024733E" w:rsidRPr="00367FB9" w:rsidRDefault="0024733E" w:rsidP="0024733E">
      <w:r w:rsidRPr="00367FB9">
        <w:rPr>
          <w:rFonts w:eastAsiaTheme="minorHAnsi"/>
        </w:rPr>
        <w:t>1.18</w:t>
      </w:r>
      <w:r w:rsidRPr="00367FB9">
        <w:rPr>
          <w:rFonts w:eastAsiaTheme="minorHAnsi"/>
        </w:rPr>
        <w:tab/>
      </w:r>
      <w:r w:rsidRPr="00367FB9">
        <w:rPr>
          <w:rFonts w:eastAsiaTheme="minorHAnsi"/>
          <w:bCs/>
        </w:rPr>
        <w:t>examiner, sur la base des résultats des études du Secteur des radiocommunications de l</w:t>
      </w:r>
      <w:r w:rsidR="009D3B9D" w:rsidRPr="00367FB9">
        <w:rPr>
          <w:rFonts w:eastAsiaTheme="minorHAnsi"/>
          <w:bCs/>
        </w:rPr>
        <w:t>'</w:t>
      </w:r>
      <w:r w:rsidRPr="00367FB9">
        <w:rPr>
          <w:rFonts w:eastAsiaTheme="minorHAnsi"/>
          <w:bCs/>
        </w:rPr>
        <w:t>UIT, les éventuelles mesures réglementaires à prendre concernant la protection du service d</w:t>
      </w:r>
      <w:r w:rsidR="009D3B9D" w:rsidRPr="00367FB9">
        <w:rPr>
          <w:rFonts w:eastAsiaTheme="minorHAnsi"/>
          <w:bCs/>
        </w:rPr>
        <w:t>'</w:t>
      </w:r>
      <w:r w:rsidRPr="00367FB9">
        <w:rPr>
          <w:rFonts w:eastAsiaTheme="minorHAnsi"/>
          <w:bCs/>
        </w:rPr>
        <w:t xml:space="preserve">exploration de la Terre par satellite (passive) et du service de radioastronomie dans certaines bandes de fréquences au-dessus de 76 GHz contre les rayonnements non désirés des services actifs, conformément à la Résolution </w:t>
      </w:r>
      <w:r w:rsidRPr="00367FB9">
        <w:rPr>
          <w:rFonts w:eastAsiaTheme="minorHAnsi"/>
          <w:b/>
        </w:rPr>
        <w:t>712 (CMR-23)</w:t>
      </w:r>
      <w:r w:rsidRPr="00367FB9">
        <w:rPr>
          <w:rFonts w:eastAsiaTheme="minorHAnsi"/>
          <w:bCs/>
        </w:rPr>
        <w:t>;</w:t>
      </w:r>
    </w:p>
    <w:p w14:paraId="26DE5371" w14:textId="001CF670" w:rsidR="0024733E" w:rsidRPr="00367FB9" w:rsidRDefault="0024733E" w:rsidP="0024733E">
      <w:pPr>
        <w:rPr>
          <w:szCs w:val="24"/>
        </w:rPr>
      </w:pPr>
      <w:r w:rsidRPr="00367FB9">
        <w:rPr>
          <w:szCs w:val="24"/>
        </w:rPr>
        <w:lastRenderedPageBreak/>
        <w:t>1.19</w:t>
      </w:r>
      <w:r w:rsidRPr="00367FB9">
        <w:rPr>
          <w:szCs w:val="24"/>
        </w:rPr>
        <w:tab/>
        <w:t>examiner d</w:t>
      </w:r>
      <w:r w:rsidR="009D3B9D" w:rsidRPr="00367FB9">
        <w:rPr>
          <w:szCs w:val="24"/>
        </w:rPr>
        <w:t>'</w:t>
      </w:r>
      <w:r w:rsidRPr="00367FB9">
        <w:rPr>
          <w:szCs w:val="24"/>
        </w:rPr>
        <w:t>éventuelles attributions à titre primaire dans toutes les Régions au service d</w:t>
      </w:r>
      <w:r w:rsidR="009D3B9D" w:rsidRPr="00367FB9">
        <w:rPr>
          <w:szCs w:val="24"/>
        </w:rPr>
        <w:t>'</w:t>
      </w:r>
      <w:r w:rsidRPr="00367FB9">
        <w:rPr>
          <w:szCs w:val="24"/>
        </w:rPr>
        <w:t>exploration de la Terre par satellite (passive) dans les bandes de fréquences 4 200</w:t>
      </w:r>
      <w:r w:rsidRPr="00367FB9">
        <w:rPr>
          <w:szCs w:val="24"/>
        </w:rPr>
        <w:noBreakHyphen/>
        <w:t xml:space="preserve">4 400 MHz et 8 400-8 500 MHz, conformément à la Résolution </w:t>
      </w:r>
      <w:r w:rsidRPr="00367FB9">
        <w:rPr>
          <w:b/>
          <w:bCs/>
          <w:szCs w:val="24"/>
        </w:rPr>
        <w:t>674 (CMR-23)</w:t>
      </w:r>
      <w:r w:rsidRPr="00367FB9">
        <w:rPr>
          <w:szCs w:val="24"/>
        </w:rPr>
        <w:t>;</w:t>
      </w:r>
    </w:p>
    <w:p w14:paraId="3A33D810" w14:textId="23C42863" w:rsidR="0024733E" w:rsidRPr="00367FB9" w:rsidRDefault="0024733E" w:rsidP="0024733E">
      <w:r w:rsidRPr="00367FB9">
        <w:t>2</w:t>
      </w:r>
      <w:r w:rsidRPr="00367FB9">
        <w:tab/>
        <w:t>examiner les Recommandations du Secteur des radiocommunications de l</w:t>
      </w:r>
      <w:r w:rsidR="009D3B9D" w:rsidRPr="00367FB9">
        <w:t>'</w:t>
      </w:r>
      <w:r w:rsidRPr="00367FB9">
        <w:t>UIT révisées et incorporées par référence dans le Règlement des radiocommunications, communiquées par l</w:t>
      </w:r>
      <w:r w:rsidR="009D3B9D" w:rsidRPr="00367FB9">
        <w:t>'</w:t>
      </w:r>
      <w:r w:rsidRPr="00367FB9">
        <w:t xml:space="preserve">Assemblée des radiocommunications, conformément au </w:t>
      </w:r>
      <w:r w:rsidRPr="00367FB9">
        <w:rPr>
          <w:i/>
        </w:rPr>
        <w:t>décide en outre</w:t>
      </w:r>
      <w:r w:rsidRPr="00367FB9">
        <w:t xml:space="preserve"> de la Résolution </w:t>
      </w:r>
      <w:r w:rsidRPr="00367FB9">
        <w:rPr>
          <w:b/>
          <w:bCs/>
        </w:rPr>
        <w:t>27</w:t>
      </w:r>
      <w:r w:rsidRPr="00367FB9">
        <w:t xml:space="preserve"> </w:t>
      </w:r>
      <w:r w:rsidRPr="00367FB9">
        <w:rPr>
          <w:b/>
          <w:bCs/>
        </w:rPr>
        <w:t>(Rév.CMR-19)</w:t>
      </w:r>
      <w:r w:rsidRPr="00367FB9">
        <w:t>, et décider s</w:t>
      </w:r>
      <w:r w:rsidR="009D3B9D" w:rsidRPr="00367FB9">
        <w:t>'</w:t>
      </w:r>
      <w:r w:rsidRPr="00367FB9">
        <w:t xml:space="preserve">il convient ou non de mettre à jour les références correspondantes dans le Règlement des radiocommunications, conformément aux principes énoncés dans le </w:t>
      </w:r>
      <w:r w:rsidRPr="00367FB9">
        <w:rPr>
          <w:i/>
        </w:rPr>
        <w:t>décide</w:t>
      </w:r>
      <w:r w:rsidRPr="00367FB9">
        <w:t xml:space="preserve"> de cette Résolution;</w:t>
      </w:r>
    </w:p>
    <w:p w14:paraId="71F4B89F" w14:textId="77777777" w:rsidR="0024733E" w:rsidRPr="00367FB9" w:rsidRDefault="0024733E" w:rsidP="0024733E">
      <w:r w:rsidRPr="00367FB9">
        <w:t>3</w:t>
      </w:r>
      <w:r w:rsidRPr="00367FB9">
        <w:tab/>
        <w:t>examiner les modifications et amendements à apporter éventuellement au Règlement des radiocommunications à la suite des décisions prises par la Conférence;</w:t>
      </w:r>
    </w:p>
    <w:p w14:paraId="545BB1A8" w14:textId="77777777" w:rsidR="0024733E" w:rsidRPr="00367FB9" w:rsidRDefault="0024733E" w:rsidP="0024733E">
      <w:r w:rsidRPr="00367FB9">
        <w:t>4</w:t>
      </w:r>
      <w:r w:rsidRPr="00367FB9">
        <w:tab/>
        <w:t xml:space="preserve">conformément à la Résolution </w:t>
      </w:r>
      <w:r w:rsidRPr="00367FB9">
        <w:rPr>
          <w:b/>
          <w:bCs/>
        </w:rPr>
        <w:t>95 (Rév.CMR-19)</w:t>
      </w:r>
      <w:r w:rsidRPr="00367FB9">
        <w:t>, examiner les Résolutions et Recommandations des conférences précédentes en vue, le cas échéant, de les réviser, de les remplacer ou de les supprimer;</w:t>
      </w:r>
    </w:p>
    <w:p w14:paraId="5CBB6AA6" w14:textId="5A2E6E4F" w:rsidR="0024733E" w:rsidRPr="00367FB9" w:rsidRDefault="0024733E" w:rsidP="0024733E">
      <w:r w:rsidRPr="00367FB9">
        <w:t>5</w:t>
      </w:r>
      <w:r w:rsidRPr="00367FB9">
        <w:tab/>
        <w:t>examiner le Rapport de l</w:t>
      </w:r>
      <w:r w:rsidR="009D3B9D" w:rsidRPr="00367FB9">
        <w:t>'</w:t>
      </w:r>
      <w:r w:rsidRPr="00367FB9">
        <w:t>Assemblée des radiocommunications soumis conformément aux numéros 135 et 136 de la Convention de l</w:t>
      </w:r>
      <w:r w:rsidR="009D3B9D" w:rsidRPr="00367FB9">
        <w:t>'</w:t>
      </w:r>
      <w:r w:rsidRPr="00367FB9">
        <w:t>UIT et lui donner la suite voulue;</w:t>
      </w:r>
    </w:p>
    <w:p w14:paraId="1CF73C5F" w14:textId="45C70D25" w:rsidR="0024733E" w:rsidRPr="00367FB9" w:rsidRDefault="0024733E" w:rsidP="0024733E">
      <w:r w:rsidRPr="00367FB9">
        <w:t>6</w:t>
      </w:r>
      <w:r w:rsidRPr="00367FB9">
        <w:tab/>
        <w:t>identifier les points auxquels les commissions d</w:t>
      </w:r>
      <w:r w:rsidR="009D3B9D" w:rsidRPr="00367FB9">
        <w:t>'</w:t>
      </w:r>
      <w:r w:rsidRPr="00367FB9">
        <w:t>études des radiocommunications doivent d</w:t>
      </w:r>
      <w:r w:rsidR="009D3B9D" w:rsidRPr="00367FB9">
        <w:t>'</w:t>
      </w:r>
      <w:r w:rsidRPr="00367FB9">
        <w:t>urgence donner suite, en vue de la conférence mondiale des radiocommunications suivante;</w:t>
      </w:r>
    </w:p>
    <w:p w14:paraId="53D3C8B9" w14:textId="7903FF8A" w:rsidR="0024733E" w:rsidRPr="00367FB9" w:rsidRDefault="0024733E" w:rsidP="0024733E">
      <w:r w:rsidRPr="00367FB9">
        <w:t>7</w:t>
      </w:r>
      <w:r w:rsidRPr="00367FB9">
        <w:tab/>
        <w:t>examiner d</w:t>
      </w:r>
      <w:r w:rsidR="009D3B9D" w:rsidRPr="00367FB9">
        <w:t>'</w:t>
      </w:r>
      <w:r w:rsidRPr="00367FB9">
        <w:t>éventuels changements à apporter en application de la Résolution 86 (Rév. Marrakech, 2002) de la Conférence de plénipotentiaires, intitulée «Procédures de publication anticipée, de coordination, de notification et d</w:t>
      </w:r>
      <w:r w:rsidR="009D3B9D" w:rsidRPr="00367FB9">
        <w:t>'</w:t>
      </w:r>
      <w:r w:rsidRPr="00367FB9">
        <w:t xml:space="preserve">inscription des assignations de fréquence relatives aux réseaux à satellite», conformément à la Résolution </w:t>
      </w:r>
      <w:r w:rsidRPr="00367FB9">
        <w:rPr>
          <w:b/>
          <w:bCs/>
        </w:rPr>
        <w:t>86 (Rév.CMR-07)</w:t>
      </w:r>
      <w:r w:rsidRPr="00367FB9">
        <w:t>, afin de faciliter l</w:t>
      </w:r>
      <w:r w:rsidR="009D3B9D" w:rsidRPr="00367FB9">
        <w:t>'</w:t>
      </w:r>
      <w:r w:rsidRPr="00367FB9">
        <w:t>utilisation rationnelle, efficace et économique des fréquences radioélectriques et des orbites associées, y compris de l</w:t>
      </w:r>
      <w:r w:rsidR="009D3B9D" w:rsidRPr="00367FB9">
        <w:t>'</w:t>
      </w:r>
      <w:r w:rsidRPr="00367FB9">
        <w:t>orbite des satellites géostationnaires;</w:t>
      </w:r>
    </w:p>
    <w:p w14:paraId="7EC85498" w14:textId="2B208990" w:rsidR="0024733E" w:rsidRPr="00367FB9" w:rsidRDefault="0024733E" w:rsidP="0024733E">
      <w:r w:rsidRPr="00367FB9">
        <w:t>8</w:t>
      </w:r>
      <w:r w:rsidRPr="00367FB9">
        <w:tab/>
        <w:t>examiner les demandes des administrations qui souhaitent supprimer des renvois relatifs à leur pays ou le nom de leur pays de certains renvois, s</w:t>
      </w:r>
      <w:r w:rsidR="009D3B9D" w:rsidRPr="00367FB9">
        <w:t>'</w:t>
      </w:r>
      <w:r w:rsidRPr="00367FB9">
        <w:t xml:space="preserve">ils ne sont plus nécessaires, compte tenu de la Résolution </w:t>
      </w:r>
      <w:r w:rsidRPr="00367FB9">
        <w:rPr>
          <w:b/>
          <w:bCs/>
        </w:rPr>
        <w:t>26 (Rév.CMR-23)</w:t>
      </w:r>
      <w:r w:rsidRPr="00367FB9">
        <w:t>, et prendre les mesures voulues à ce sujet;</w:t>
      </w:r>
    </w:p>
    <w:p w14:paraId="666240EE" w14:textId="13FE479F" w:rsidR="0024733E" w:rsidRPr="00367FB9" w:rsidRDefault="0024733E" w:rsidP="0024733E">
      <w:r w:rsidRPr="00367FB9">
        <w:t>9</w:t>
      </w:r>
      <w:r w:rsidRPr="00367FB9">
        <w:tab/>
        <w:t>examiner et approuver le rapport du Directeur du Bureau des radiocommunications, conformément à l</w:t>
      </w:r>
      <w:r w:rsidR="009D3B9D" w:rsidRPr="00367FB9">
        <w:t>'</w:t>
      </w:r>
      <w:r w:rsidRPr="00367FB9">
        <w:t>article 7 de la Convention de l</w:t>
      </w:r>
      <w:r w:rsidR="009D3B9D" w:rsidRPr="00367FB9">
        <w:t>'</w:t>
      </w:r>
      <w:r w:rsidRPr="00367FB9">
        <w:t>UIT:</w:t>
      </w:r>
    </w:p>
    <w:p w14:paraId="6261D216" w14:textId="4D837125" w:rsidR="0024733E" w:rsidRPr="00367FB9" w:rsidRDefault="0024733E" w:rsidP="0024733E">
      <w:r w:rsidRPr="00367FB9">
        <w:t>9.1</w:t>
      </w:r>
      <w:r w:rsidRPr="00367FB9">
        <w:tab/>
        <w:t>sur les activités du Secteur des radiocommunications de l</w:t>
      </w:r>
      <w:r w:rsidR="009D3B9D" w:rsidRPr="00367FB9">
        <w:t>'</w:t>
      </w:r>
      <w:r w:rsidRPr="00367FB9">
        <w:t>UIT depuis la CMR</w:t>
      </w:r>
      <w:r w:rsidRPr="00367FB9">
        <w:noBreakHyphen/>
        <w:t>23</w:t>
      </w:r>
      <w:r w:rsidRPr="00367FB9">
        <w:rPr>
          <w:rStyle w:val="FootnoteReference"/>
        </w:rPr>
        <w:footnoteReference w:customMarkFollows="1" w:id="3"/>
        <w:t>1</w:t>
      </w:r>
      <w:r w:rsidRPr="00367FB9">
        <w:t>;</w:t>
      </w:r>
    </w:p>
    <w:p w14:paraId="5DC577D9" w14:textId="629897FD" w:rsidR="0024733E" w:rsidRPr="00367FB9" w:rsidRDefault="0024733E" w:rsidP="0024733E">
      <w:r w:rsidRPr="00367FB9">
        <w:lastRenderedPageBreak/>
        <w:t>9.2</w:t>
      </w:r>
      <w:r w:rsidRPr="00367FB9">
        <w:tab/>
        <w:t>sur les difficultés rencontrées ou les incohérences constatées dans l</w:t>
      </w:r>
      <w:r w:rsidR="009D3B9D" w:rsidRPr="00367FB9">
        <w:t>'</w:t>
      </w:r>
      <w:r w:rsidRPr="00367FB9">
        <w:t>application du Règlement des radiocommunications</w:t>
      </w:r>
      <w:r w:rsidRPr="00367FB9">
        <w:rPr>
          <w:rStyle w:val="FootnoteReference"/>
        </w:rPr>
        <w:footnoteReference w:customMarkFollows="1" w:id="4"/>
        <w:t>2</w:t>
      </w:r>
      <w:r w:rsidRPr="00367FB9">
        <w:t>; et</w:t>
      </w:r>
    </w:p>
    <w:p w14:paraId="7B93A236" w14:textId="77777777" w:rsidR="0024733E" w:rsidRPr="00367FB9" w:rsidRDefault="0024733E" w:rsidP="0024733E">
      <w:r w:rsidRPr="00367FB9">
        <w:t>9.3</w:t>
      </w:r>
      <w:r w:rsidRPr="00367FB9">
        <w:tab/>
        <w:t xml:space="preserve">sur la suite donnée à la Résolution </w:t>
      </w:r>
      <w:r w:rsidRPr="00367FB9">
        <w:rPr>
          <w:b/>
          <w:bCs/>
        </w:rPr>
        <w:t>80 (Rév.CMR-07)</w:t>
      </w:r>
      <w:r w:rsidRPr="00367FB9">
        <w:t>;</w:t>
      </w:r>
    </w:p>
    <w:p w14:paraId="69C2DE69" w14:textId="7385ECB4" w:rsidR="0024733E" w:rsidRPr="00367FB9" w:rsidRDefault="0024733E" w:rsidP="0024733E">
      <w:r w:rsidRPr="00367FB9">
        <w:t>10</w:t>
      </w:r>
      <w:r w:rsidRPr="00367FB9">
        <w:tab/>
        <w:t>recommander au Conseil de l</w:t>
      </w:r>
      <w:r w:rsidR="009D3B9D" w:rsidRPr="00367FB9">
        <w:t>'</w:t>
      </w:r>
      <w:r w:rsidRPr="00367FB9">
        <w:t>UIT des points à inscrire à l</w:t>
      </w:r>
      <w:r w:rsidR="009D3B9D" w:rsidRPr="00367FB9">
        <w:t>'</w:t>
      </w:r>
      <w:r w:rsidRPr="00367FB9">
        <w:t>ordre du jour de la Conférence mondiale des radiocommunications suivante et des points de l</w:t>
      </w:r>
      <w:r w:rsidR="009D3B9D" w:rsidRPr="00367FB9">
        <w:t>'</w:t>
      </w:r>
      <w:r w:rsidRPr="00367FB9">
        <w:t>ordre du jour préliminaire de conférences futures, conformément à l</w:t>
      </w:r>
      <w:r w:rsidR="009D3B9D" w:rsidRPr="00367FB9">
        <w:t>'</w:t>
      </w:r>
      <w:r w:rsidRPr="00367FB9">
        <w:t>article 7 de la Convention de l</w:t>
      </w:r>
      <w:r w:rsidR="009D3B9D" w:rsidRPr="00367FB9">
        <w:t>'</w:t>
      </w:r>
      <w:r w:rsidRPr="00367FB9">
        <w:t>UIT et à la Résolution </w:t>
      </w:r>
      <w:r w:rsidRPr="00367FB9">
        <w:rPr>
          <w:b/>
        </w:rPr>
        <w:t>804 (Rév.CMR-</w:t>
      </w:r>
      <w:r w:rsidRPr="00367FB9">
        <w:rPr>
          <w:b/>
          <w:bCs/>
          <w:iCs/>
        </w:rPr>
        <w:t>23</w:t>
      </w:r>
      <w:r w:rsidRPr="00367FB9">
        <w:rPr>
          <w:b/>
        </w:rPr>
        <w:t>)</w:t>
      </w:r>
      <w:r w:rsidRPr="00367FB9">
        <w:t>.</w:t>
      </w:r>
    </w:p>
    <w:p w14:paraId="6C8FF788" w14:textId="3C3F2F6F" w:rsidR="0024733E" w:rsidRPr="00367FB9" w:rsidRDefault="0024733E">
      <w:pPr>
        <w:tabs>
          <w:tab w:val="clear" w:pos="567"/>
          <w:tab w:val="clear" w:pos="1134"/>
          <w:tab w:val="clear" w:pos="1701"/>
          <w:tab w:val="clear" w:pos="2268"/>
          <w:tab w:val="clear" w:pos="2835"/>
        </w:tabs>
        <w:overflowPunct/>
        <w:autoSpaceDE/>
        <w:autoSpaceDN/>
        <w:adjustRightInd/>
        <w:spacing w:before="0"/>
        <w:textAlignment w:val="auto"/>
      </w:pPr>
      <w:r w:rsidRPr="00367FB9">
        <w:br w:type="page"/>
      </w:r>
    </w:p>
    <w:p w14:paraId="2DAFEB5C" w14:textId="77777777" w:rsidR="00F37750" w:rsidRPr="00367FB9" w:rsidRDefault="00F37750" w:rsidP="00327CA4">
      <w:pPr>
        <w:pStyle w:val="AnnexNo"/>
        <w:spacing w:after="240"/>
      </w:pPr>
      <w:bookmarkStart w:id="0" w:name="AnnexeC"/>
      <w:bookmarkEnd w:id="0"/>
      <w:r w:rsidRPr="00367FB9">
        <w:lastRenderedPageBreak/>
        <w:t>ANNEXE C</w:t>
      </w:r>
    </w:p>
    <w:p w14:paraId="50E4E424" w14:textId="1C7661B8" w:rsidR="00F37750" w:rsidRPr="00367FB9" w:rsidRDefault="00327CA4" w:rsidP="00327CA4">
      <w:pPr>
        <w:tabs>
          <w:tab w:val="clear" w:pos="567"/>
          <w:tab w:val="clear" w:pos="1134"/>
          <w:tab w:val="clear" w:pos="1701"/>
          <w:tab w:val="clear" w:pos="2268"/>
          <w:tab w:val="clear" w:pos="2835"/>
        </w:tabs>
        <w:overflowPunct/>
        <w:autoSpaceDE/>
        <w:autoSpaceDN/>
        <w:adjustRightInd/>
        <w:spacing w:before="0"/>
        <w:jc w:val="center"/>
        <w:textAlignment w:val="auto"/>
      </w:pPr>
      <w:r w:rsidRPr="00367FB9">
        <w:rPr>
          <w:noProof/>
        </w:rPr>
        <w:drawing>
          <wp:inline distT="0" distB="0" distL="0" distR="0" wp14:anchorId="048F8F50" wp14:editId="7228902F">
            <wp:extent cx="889000" cy="947651"/>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8961" t="14309" r="5443" b="4081"/>
                    <a:stretch/>
                  </pic:blipFill>
                  <pic:spPr bwMode="auto">
                    <a:xfrm>
                      <a:off x="0" y="0"/>
                      <a:ext cx="889776" cy="948479"/>
                    </a:xfrm>
                    <a:prstGeom prst="rect">
                      <a:avLst/>
                    </a:prstGeom>
                    <a:ln>
                      <a:noFill/>
                    </a:ln>
                    <a:extLst>
                      <a:ext uri="{53640926-AAD7-44D8-BBD7-CCE9431645EC}">
                        <a14:shadowObscured xmlns:a14="http://schemas.microsoft.com/office/drawing/2010/main"/>
                      </a:ext>
                    </a:extLst>
                  </pic:spPr>
                </pic:pic>
              </a:graphicData>
            </a:graphic>
          </wp:inline>
        </w:drawing>
      </w:r>
    </w:p>
    <w:p w14:paraId="781109FF" w14:textId="77777777" w:rsidR="00F37750" w:rsidRPr="00367FB9" w:rsidRDefault="00F37750" w:rsidP="00327CA4">
      <w:pPr>
        <w:jc w:val="center"/>
        <w:rPr>
          <w:b/>
          <w:bCs/>
        </w:rPr>
      </w:pPr>
      <w:r w:rsidRPr="00367FB9">
        <w:rPr>
          <w:b/>
          <w:bCs/>
        </w:rPr>
        <w:t>République du Rwanda</w:t>
      </w:r>
    </w:p>
    <w:p w14:paraId="40B9826F" w14:textId="0B7DA286" w:rsidR="00F37750" w:rsidRPr="00367FB9" w:rsidRDefault="00F37750" w:rsidP="00327CA4">
      <w:pPr>
        <w:spacing w:before="0"/>
        <w:jc w:val="center"/>
        <w:rPr>
          <w:b/>
          <w:bCs/>
        </w:rPr>
      </w:pPr>
      <w:r w:rsidRPr="00367FB9">
        <w:rPr>
          <w:b/>
          <w:bCs/>
        </w:rPr>
        <w:t>Ministère des TIC et de l</w:t>
      </w:r>
      <w:r w:rsidR="009D3B9D" w:rsidRPr="00367FB9">
        <w:rPr>
          <w:b/>
          <w:bCs/>
        </w:rPr>
        <w:t>'</w:t>
      </w:r>
      <w:r w:rsidRPr="00367FB9">
        <w:rPr>
          <w:b/>
          <w:bCs/>
        </w:rPr>
        <w:t>innovation</w:t>
      </w:r>
    </w:p>
    <w:p w14:paraId="27CDAD79" w14:textId="77777777" w:rsidR="00F37750" w:rsidRPr="00367FB9" w:rsidRDefault="00F37750" w:rsidP="00327CA4">
      <w:pPr>
        <w:spacing w:before="360"/>
        <w:jc w:val="right"/>
        <w:rPr>
          <w:b/>
          <w:bCs/>
        </w:rPr>
      </w:pPr>
      <w:r w:rsidRPr="00367FB9">
        <w:rPr>
          <w:b/>
          <w:bCs/>
        </w:rPr>
        <w:t>Kigali, le 28 septembre 2022</w:t>
      </w:r>
    </w:p>
    <w:p w14:paraId="1884C9EF" w14:textId="77777777" w:rsidR="00F37750" w:rsidRPr="00367FB9" w:rsidRDefault="00F37750" w:rsidP="00D11C78">
      <w:pPr>
        <w:spacing w:before="0"/>
        <w:jc w:val="right"/>
        <w:rPr>
          <w:b/>
          <w:bCs/>
        </w:rPr>
      </w:pPr>
      <w:r w:rsidRPr="00367FB9">
        <w:rPr>
          <w:b/>
          <w:bCs/>
        </w:rPr>
        <w:t>Réf.: 307/MIN/2022</w:t>
      </w:r>
    </w:p>
    <w:p w14:paraId="39439A89" w14:textId="77777777" w:rsidR="00F37750" w:rsidRPr="00367FB9" w:rsidRDefault="00F37750" w:rsidP="00F37750">
      <w:pPr>
        <w:rPr>
          <w:b/>
          <w:bCs/>
        </w:rPr>
      </w:pPr>
      <w:r w:rsidRPr="00367FB9">
        <w:rPr>
          <w:b/>
          <w:bCs/>
        </w:rPr>
        <w:t>Secrétaire général</w:t>
      </w:r>
    </w:p>
    <w:p w14:paraId="718C42E6" w14:textId="5406D38F" w:rsidR="00F37750" w:rsidRPr="00367FB9" w:rsidRDefault="00F37750" w:rsidP="00D11C78">
      <w:pPr>
        <w:spacing w:before="0"/>
        <w:rPr>
          <w:b/>
          <w:bCs/>
        </w:rPr>
      </w:pPr>
      <w:r w:rsidRPr="00367FB9">
        <w:rPr>
          <w:b/>
          <w:bCs/>
        </w:rPr>
        <w:t>Union internationale des télécommunications</w:t>
      </w:r>
    </w:p>
    <w:p w14:paraId="2CEF562F" w14:textId="77777777" w:rsidR="00F37750" w:rsidRPr="00367FB9" w:rsidRDefault="00F37750" w:rsidP="00D11C78">
      <w:pPr>
        <w:spacing w:before="0"/>
        <w:rPr>
          <w:b/>
          <w:bCs/>
        </w:rPr>
      </w:pPr>
      <w:r w:rsidRPr="00367FB9">
        <w:rPr>
          <w:b/>
          <w:bCs/>
        </w:rPr>
        <w:t>Place des Nations</w:t>
      </w:r>
    </w:p>
    <w:p w14:paraId="74CA20D0" w14:textId="77777777" w:rsidR="00F37750" w:rsidRPr="00367FB9" w:rsidRDefault="00F37750" w:rsidP="00D11C78">
      <w:pPr>
        <w:spacing w:before="0"/>
        <w:rPr>
          <w:b/>
          <w:bCs/>
        </w:rPr>
      </w:pPr>
      <w:r w:rsidRPr="00367FB9">
        <w:rPr>
          <w:b/>
          <w:bCs/>
        </w:rPr>
        <w:t>CH-1211 Genève 20, Suisse</w:t>
      </w:r>
    </w:p>
    <w:p w14:paraId="0959C04E" w14:textId="57911146" w:rsidR="00F37750" w:rsidRPr="00367FB9" w:rsidRDefault="00F37750" w:rsidP="003A3A92">
      <w:pPr>
        <w:tabs>
          <w:tab w:val="clear" w:pos="1134"/>
          <w:tab w:val="left" w:pos="851"/>
        </w:tabs>
        <w:spacing w:before="360"/>
        <w:ind w:left="851" w:hanging="851"/>
        <w:rPr>
          <w:b/>
          <w:bCs/>
        </w:rPr>
      </w:pPr>
      <w:r w:rsidRPr="00367FB9">
        <w:rPr>
          <w:b/>
          <w:bCs/>
          <w:u w:val="single"/>
        </w:rPr>
        <w:t>Objet</w:t>
      </w:r>
      <w:r w:rsidRPr="00367FB9">
        <w:rPr>
          <w:b/>
          <w:bCs/>
        </w:rPr>
        <w:t>:</w:t>
      </w:r>
      <w:r w:rsidR="003A3A92" w:rsidRPr="00367FB9">
        <w:rPr>
          <w:b/>
          <w:bCs/>
        </w:rPr>
        <w:tab/>
      </w:r>
      <w:r w:rsidRPr="00367FB9">
        <w:rPr>
          <w:b/>
          <w:bCs/>
        </w:rPr>
        <w:t>Manifestation d</w:t>
      </w:r>
      <w:r w:rsidR="009D3B9D" w:rsidRPr="00367FB9">
        <w:rPr>
          <w:b/>
          <w:bCs/>
        </w:rPr>
        <w:t>'</w:t>
      </w:r>
      <w:r w:rsidRPr="00367FB9">
        <w:rPr>
          <w:b/>
          <w:bCs/>
        </w:rPr>
        <w:t>intérêt en vue d</w:t>
      </w:r>
      <w:r w:rsidR="009D3B9D" w:rsidRPr="00367FB9">
        <w:rPr>
          <w:b/>
          <w:bCs/>
        </w:rPr>
        <w:t>'</w:t>
      </w:r>
      <w:r w:rsidRPr="00367FB9">
        <w:rPr>
          <w:b/>
          <w:bCs/>
        </w:rPr>
        <w:t>accueillir la Conférence mondiale des radiocommunications de 2027 (CMR-27)</w:t>
      </w:r>
    </w:p>
    <w:p w14:paraId="533323D0" w14:textId="77777777" w:rsidR="00F37750" w:rsidRPr="00367FB9" w:rsidRDefault="00F37750" w:rsidP="00F37750">
      <w:pPr>
        <w:spacing w:before="240"/>
      </w:pPr>
      <w:r w:rsidRPr="00367FB9">
        <w:t>Monsieur le Secrétaire général,</w:t>
      </w:r>
    </w:p>
    <w:p w14:paraId="6BF1B43B" w14:textId="4CC914CB" w:rsidR="00F37750" w:rsidRPr="00367FB9" w:rsidRDefault="00F37750" w:rsidP="00F37750">
      <w:r w:rsidRPr="00367FB9">
        <w:t>Par la présente, la République du Rwanda manifeste son intérêt en vue d</w:t>
      </w:r>
      <w:r w:rsidR="009D3B9D" w:rsidRPr="00367FB9">
        <w:t>'</w:t>
      </w:r>
      <w:r w:rsidRPr="00367FB9">
        <w:t>accueillir la Conférence mondiale des radiocommunications de 2027 (CMR-27), ainsi que les manifestations qui lui sont associées, à savoir l</w:t>
      </w:r>
      <w:r w:rsidR="009D3B9D" w:rsidRPr="00367FB9">
        <w:t>'</w:t>
      </w:r>
      <w:r w:rsidRPr="00367FB9">
        <w:t>Assemblée des radiocommunications (AR) et la Réunion de préparation à la Conférence (RPC).</w:t>
      </w:r>
    </w:p>
    <w:p w14:paraId="329C3B30" w14:textId="47763D2E" w:rsidR="00F37750" w:rsidRPr="00367FB9" w:rsidRDefault="00F37750" w:rsidP="00F37750">
      <w:r w:rsidRPr="00367FB9">
        <w:t>Au fil des ans, le Rwanda a acquis une vaste expérience de l</w:t>
      </w:r>
      <w:r w:rsidR="009D3B9D" w:rsidRPr="00367FB9">
        <w:t>'</w:t>
      </w:r>
      <w:r w:rsidRPr="00367FB9">
        <w:t>organisation de manifestations d</w:t>
      </w:r>
      <w:r w:rsidR="009D3B9D" w:rsidRPr="00367FB9">
        <w:t>'</w:t>
      </w:r>
      <w:r w:rsidRPr="00367FB9">
        <w:t>une ampleur égale ou supérieure à celle de la CMR, tant par leur envergure que par la complexité des installations requises, et a fait construire des infrastructures à cette fin. La Conférence mondiale de développement des télécommunications (CMDT), qui a été organisée récemment avec succès, témoigne des capacités du Rwanda. Au lendemain de la</w:t>
      </w:r>
      <w:r w:rsidR="008236FE" w:rsidRPr="00367FB9">
        <w:t> </w:t>
      </w:r>
      <w:r w:rsidRPr="00367FB9">
        <w:t>CMDT-22 de l</w:t>
      </w:r>
      <w:r w:rsidR="009D3B9D" w:rsidRPr="00367FB9">
        <w:t>'</w:t>
      </w:r>
      <w:r w:rsidRPr="00367FB9">
        <w:t>UIT, le Rwanda a accueilli la réunion des chefs de gouvernement du Commonwealth, qui a rassemblé 6 374 délégués, parmi lesquels 29 chefs de gouvernement.</w:t>
      </w:r>
    </w:p>
    <w:p w14:paraId="2E976EBD" w14:textId="64E6109B" w:rsidR="00F37750" w:rsidRPr="00367FB9" w:rsidRDefault="00F37750" w:rsidP="00F37750">
      <w:r w:rsidRPr="00367FB9">
        <w:t>L</w:t>
      </w:r>
      <w:r w:rsidR="009D3B9D" w:rsidRPr="00367FB9">
        <w:t>'</w:t>
      </w:r>
      <w:r w:rsidRPr="00367FB9">
        <w:t>organisation de la CMR-27 au Rwanda sera une occasion unique de sensibiliser les pays, en particulier les pays en développement, aux questions relatives au spectre à l</w:t>
      </w:r>
      <w:r w:rsidR="009D3B9D" w:rsidRPr="00367FB9">
        <w:t>'</w:t>
      </w:r>
      <w:r w:rsidRPr="00367FB9">
        <w:t>échelle mondiale. Le Rwanda est déterminé à collaborer avec l</w:t>
      </w:r>
      <w:r w:rsidR="009D3B9D" w:rsidRPr="00367FB9">
        <w:t>'</w:t>
      </w:r>
      <w:r w:rsidRPr="00367FB9">
        <w:t>équipe de l</w:t>
      </w:r>
      <w:r w:rsidR="009D3B9D" w:rsidRPr="00367FB9">
        <w:t>'</w:t>
      </w:r>
      <w:r w:rsidRPr="00367FB9">
        <w:t>UIT, afin de mobiliser toutes les ressources et le personnel nécessaires pour faire en sorte que la CMR-27 se tienne dans un cadre des plus favorables.</w:t>
      </w:r>
    </w:p>
    <w:p w14:paraId="5F0B7E27" w14:textId="597D9F17" w:rsidR="00631B5F" w:rsidRPr="00367FB9" w:rsidRDefault="00F37750" w:rsidP="00F37750">
      <w:r w:rsidRPr="00367FB9">
        <w:t>Veuillez agréer, Monsieur le Secrétaire général, l</w:t>
      </w:r>
      <w:r w:rsidR="009D3B9D" w:rsidRPr="00367FB9">
        <w:t>'</w:t>
      </w:r>
      <w:r w:rsidRPr="00367FB9">
        <w:t>assurance de ma considération distinguée.</w:t>
      </w:r>
    </w:p>
    <w:p w14:paraId="2ADEE96F" w14:textId="77777777" w:rsidR="00D11C78" w:rsidRPr="00367FB9" w:rsidRDefault="00D11C78" w:rsidP="00D11C78">
      <w:pPr>
        <w:spacing w:before="480"/>
      </w:pPr>
      <w:r w:rsidRPr="00367FB9">
        <w:rPr>
          <w:color w:val="000000"/>
        </w:rPr>
        <w:t>(</w:t>
      </w:r>
      <w:r w:rsidRPr="00367FB9">
        <w:rPr>
          <w:i/>
          <w:iCs/>
          <w:color w:val="000000"/>
        </w:rPr>
        <w:t>signé</w:t>
      </w:r>
      <w:r w:rsidRPr="00367FB9">
        <w:rPr>
          <w:color w:val="000000"/>
        </w:rPr>
        <w:t>)</w:t>
      </w:r>
    </w:p>
    <w:p w14:paraId="24B4C9E7" w14:textId="77777777" w:rsidR="00F27268" w:rsidRPr="00367FB9" w:rsidRDefault="00D11C78" w:rsidP="00D11C78">
      <w:pPr>
        <w:keepNext/>
        <w:keepLines/>
        <w:widowControl w:val="0"/>
        <w:spacing w:before="480"/>
        <w:rPr>
          <w:b/>
          <w:bCs/>
        </w:rPr>
      </w:pPr>
      <w:r w:rsidRPr="00367FB9">
        <w:rPr>
          <w:b/>
          <w:bCs/>
        </w:rPr>
        <w:t>Mme Paula INGABIRE</w:t>
      </w:r>
    </w:p>
    <w:p w14:paraId="44AE15ED" w14:textId="7F2CF8BF" w:rsidR="00D11C78" w:rsidRPr="00367FB9" w:rsidRDefault="00D11C78" w:rsidP="005C5114">
      <w:pPr>
        <w:widowControl w:val="0"/>
        <w:spacing w:before="0"/>
        <w:rPr>
          <w:b/>
          <w:bCs/>
        </w:rPr>
      </w:pPr>
      <w:r w:rsidRPr="00367FB9">
        <w:rPr>
          <w:b/>
          <w:bCs/>
        </w:rPr>
        <w:t>Ministre des TIC et de l</w:t>
      </w:r>
      <w:r w:rsidR="009D3B9D" w:rsidRPr="00367FB9">
        <w:rPr>
          <w:b/>
          <w:bCs/>
        </w:rPr>
        <w:t>'</w:t>
      </w:r>
      <w:r w:rsidRPr="00367FB9">
        <w:rPr>
          <w:b/>
          <w:bCs/>
        </w:rPr>
        <w:t>innovation</w:t>
      </w:r>
    </w:p>
    <w:p w14:paraId="658BED54" w14:textId="77777777" w:rsidR="00D11C78" w:rsidRPr="00367FB9" w:rsidRDefault="00D11C78" w:rsidP="00D11C78">
      <w:pPr>
        <w:keepNext/>
        <w:keepLines/>
        <w:widowControl w:val="0"/>
        <w:rPr>
          <w:b/>
          <w:bCs/>
          <w:szCs w:val="24"/>
        </w:rPr>
      </w:pPr>
      <w:r w:rsidRPr="00367FB9">
        <w:rPr>
          <w:b/>
          <w:bCs/>
          <w:szCs w:val="24"/>
        </w:rPr>
        <w:lastRenderedPageBreak/>
        <w:t>Copie:</w:t>
      </w:r>
    </w:p>
    <w:p w14:paraId="441C8D40" w14:textId="77777777" w:rsidR="00D11C78" w:rsidRPr="00367FB9" w:rsidRDefault="00D11C78" w:rsidP="00D11C78">
      <w:pPr>
        <w:pStyle w:val="enumlev1"/>
        <w:rPr>
          <w:b/>
          <w:bCs/>
          <w:szCs w:val="24"/>
        </w:rPr>
      </w:pPr>
      <w:r w:rsidRPr="00367FB9">
        <w:rPr>
          <w:szCs w:val="24"/>
        </w:rPr>
        <w:t>–</w:t>
      </w:r>
      <w:r w:rsidRPr="00367FB9">
        <w:rPr>
          <w:b/>
          <w:bCs/>
          <w:szCs w:val="24"/>
        </w:rPr>
        <w:tab/>
        <w:t>À son Excellence, Monsieur le Premier Ministre du Rwanda</w:t>
      </w:r>
    </w:p>
    <w:p w14:paraId="1663B302" w14:textId="24EF0951" w:rsidR="00D11C78" w:rsidRPr="00367FB9" w:rsidRDefault="00D11C78" w:rsidP="00D11C78">
      <w:pPr>
        <w:pStyle w:val="enumlev1"/>
        <w:rPr>
          <w:b/>
          <w:bCs/>
          <w:szCs w:val="24"/>
        </w:rPr>
      </w:pPr>
      <w:r w:rsidRPr="00367FB9">
        <w:rPr>
          <w:szCs w:val="24"/>
        </w:rPr>
        <w:t>–</w:t>
      </w:r>
      <w:r w:rsidRPr="00367FB9">
        <w:rPr>
          <w:b/>
          <w:bCs/>
          <w:szCs w:val="24"/>
        </w:rPr>
        <w:tab/>
        <w:t>À son Excellence, Monsieur le Ministre des affaires étrangères et de la coopération internationale</w:t>
      </w:r>
    </w:p>
    <w:p w14:paraId="09D716A4" w14:textId="3A040778" w:rsidR="00D11C78" w:rsidRPr="00367FB9" w:rsidRDefault="00D11C78" w:rsidP="00D11C78">
      <w:pPr>
        <w:pStyle w:val="enumlev1"/>
        <w:rPr>
          <w:b/>
          <w:bCs/>
          <w:szCs w:val="24"/>
        </w:rPr>
      </w:pPr>
      <w:r w:rsidRPr="00367FB9">
        <w:rPr>
          <w:szCs w:val="24"/>
        </w:rPr>
        <w:t>–</w:t>
      </w:r>
      <w:r w:rsidRPr="00367FB9">
        <w:rPr>
          <w:b/>
          <w:bCs/>
          <w:szCs w:val="24"/>
        </w:rPr>
        <w:tab/>
        <w:t>Au Directeur du Bureau des radiocommunications de l</w:t>
      </w:r>
      <w:r w:rsidR="009D3B9D" w:rsidRPr="00367FB9">
        <w:rPr>
          <w:b/>
          <w:bCs/>
          <w:szCs w:val="24"/>
        </w:rPr>
        <w:t>'</w:t>
      </w:r>
      <w:r w:rsidRPr="00367FB9">
        <w:rPr>
          <w:b/>
          <w:bCs/>
          <w:szCs w:val="24"/>
        </w:rPr>
        <w:t>UIT</w:t>
      </w:r>
    </w:p>
    <w:p w14:paraId="1B8C4CED" w14:textId="7F0865B7" w:rsidR="00D11C78" w:rsidRPr="00367FB9" w:rsidRDefault="00D11C78" w:rsidP="00D11C78">
      <w:pPr>
        <w:keepNext/>
        <w:keepLines/>
        <w:widowControl w:val="0"/>
        <w:spacing w:before="600"/>
        <w:jc w:val="center"/>
        <w:rPr>
          <w:sz w:val="18"/>
          <w:szCs w:val="18"/>
        </w:rPr>
      </w:pPr>
      <w:r w:rsidRPr="00367FB9">
        <w:rPr>
          <w:sz w:val="18"/>
          <w:szCs w:val="18"/>
        </w:rPr>
        <w:t>KN 3rd Road, Sopetrad | P.O Box 3882 Kigali</w:t>
      </w:r>
      <w:r w:rsidRPr="00367FB9">
        <w:rPr>
          <w:sz w:val="18"/>
          <w:szCs w:val="18"/>
        </w:rPr>
        <w:br/>
        <w:t>Téléphone: +250-786791388 | Site web: http://www.minict.gov.rw</w:t>
      </w:r>
      <w:r w:rsidRPr="00367FB9">
        <w:rPr>
          <w:sz w:val="18"/>
          <w:szCs w:val="18"/>
        </w:rPr>
        <w:br/>
        <w:t>Fa</w:t>
      </w:r>
      <w:r w:rsidR="008236FE" w:rsidRPr="00367FB9">
        <w:rPr>
          <w:sz w:val="18"/>
          <w:szCs w:val="18"/>
        </w:rPr>
        <w:t>c</w:t>
      </w:r>
      <w:r w:rsidRPr="00367FB9">
        <w:rPr>
          <w:sz w:val="18"/>
          <w:szCs w:val="18"/>
        </w:rPr>
        <w:t>ebook |Twitter | Google+: RwandaICT | Courriel:info@minict.gov.rw</w:t>
      </w:r>
    </w:p>
    <w:p w14:paraId="5E4AC8D0" w14:textId="77777777" w:rsidR="00D11C78" w:rsidRPr="00367FB9" w:rsidRDefault="00D11C78">
      <w:pPr>
        <w:tabs>
          <w:tab w:val="clear" w:pos="567"/>
          <w:tab w:val="clear" w:pos="1134"/>
          <w:tab w:val="clear" w:pos="1701"/>
          <w:tab w:val="clear" w:pos="2268"/>
          <w:tab w:val="clear" w:pos="2835"/>
        </w:tabs>
        <w:overflowPunct/>
        <w:autoSpaceDE/>
        <w:autoSpaceDN/>
        <w:adjustRightInd/>
        <w:spacing w:before="0"/>
        <w:textAlignment w:val="auto"/>
      </w:pPr>
      <w:r w:rsidRPr="00367FB9">
        <w:br w:type="page"/>
      </w:r>
    </w:p>
    <w:p w14:paraId="5F02973C" w14:textId="2F688662" w:rsidR="00D11C78" w:rsidRPr="00367FB9" w:rsidRDefault="00295A67" w:rsidP="006B620D">
      <w:pPr>
        <w:pStyle w:val="AnnexNo"/>
        <w:spacing w:before="600" w:after="360"/>
      </w:pPr>
      <w:bookmarkStart w:id="1" w:name="AnnexeD"/>
      <w:bookmarkEnd w:id="1"/>
      <w:r w:rsidRPr="00367FB9">
        <w:lastRenderedPageBreak/>
        <w:t>ANNEXE D</w:t>
      </w:r>
    </w:p>
    <w:tbl>
      <w:tblPr>
        <w:tblStyle w:val="TableGrid"/>
        <w:tblW w:w="0" w:type="auto"/>
        <w:tblLook w:val="04A0" w:firstRow="1" w:lastRow="0" w:firstColumn="1" w:lastColumn="0" w:noHBand="0" w:noVBand="1"/>
      </w:tblPr>
      <w:tblGrid>
        <w:gridCol w:w="9061"/>
      </w:tblGrid>
      <w:tr w:rsidR="006B620D" w:rsidRPr="00367FB9" w14:paraId="4A66BF80" w14:textId="77777777" w:rsidTr="000A5329">
        <w:tc>
          <w:tcPr>
            <w:tcW w:w="9061" w:type="dxa"/>
            <w:tcBorders>
              <w:top w:val="nil"/>
              <w:left w:val="nil"/>
              <w:right w:val="nil"/>
            </w:tcBorders>
          </w:tcPr>
          <w:p w14:paraId="22BDA79F" w14:textId="77777777" w:rsidR="006B620D" w:rsidRPr="00367FB9" w:rsidRDefault="006B620D" w:rsidP="000A5329">
            <w:pPr>
              <w:pStyle w:val="Title3"/>
              <w:spacing w:before="0"/>
            </w:pPr>
            <w:r w:rsidRPr="00367FB9">
              <w:rPr>
                <w:rFonts w:ascii="MS Gothic" w:eastAsia="MS Gothic" w:hAnsi="MS Gothic" w:cs="MS Gothic"/>
              </w:rPr>
              <w:t>中</w:t>
            </w:r>
            <w:r w:rsidRPr="00367FB9">
              <w:t>华人民共和国工业和信息化部</w:t>
            </w:r>
          </w:p>
          <w:p w14:paraId="60D444F8" w14:textId="7809177C" w:rsidR="006B620D" w:rsidRPr="00367FB9" w:rsidRDefault="003A3A92" w:rsidP="000A5329">
            <w:pPr>
              <w:pStyle w:val="Title3"/>
              <w:spacing w:before="120" w:after="120"/>
            </w:pPr>
            <w:r w:rsidRPr="00367FB9">
              <w:t>MINISTÈRE DE L'INDUSTRIE ET DES TECHNOLOGIES DE L'INFORMATION</w:t>
            </w:r>
            <w:r w:rsidRPr="00367FB9">
              <w:br/>
              <w:t>RÉPUBLIQUE POPULAIRE DE CHINE</w:t>
            </w:r>
          </w:p>
        </w:tc>
      </w:tr>
    </w:tbl>
    <w:p w14:paraId="7960EE48" w14:textId="77777777" w:rsidR="00317720" w:rsidRPr="00367FB9" w:rsidRDefault="00317720" w:rsidP="00C80536">
      <w:pPr>
        <w:spacing w:before="360"/>
        <w:jc w:val="right"/>
      </w:pPr>
      <w:r w:rsidRPr="00367FB9">
        <w:t>29 mai 2024</w:t>
      </w:r>
    </w:p>
    <w:p w14:paraId="5CD91545" w14:textId="77777777" w:rsidR="00317720" w:rsidRPr="00367FB9" w:rsidRDefault="00317720" w:rsidP="00317720">
      <w:r w:rsidRPr="00367FB9">
        <w:rPr>
          <w:b/>
          <w:bCs/>
        </w:rPr>
        <w:t>À:</w:t>
      </w:r>
      <w:r w:rsidRPr="00367FB9">
        <w:t xml:space="preserve"> Mme Doreen BOGDAN-MARTIN</w:t>
      </w:r>
    </w:p>
    <w:p w14:paraId="438D7643" w14:textId="2ADDC03C" w:rsidR="00317720" w:rsidRPr="00367FB9" w:rsidRDefault="00317720" w:rsidP="00317720">
      <w:pPr>
        <w:spacing w:before="0"/>
      </w:pPr>
      <w:r w:rsidRPr="00367FB9">
        <w:t>Secrétaire générale de l</w:t>
      </w:r>
      <w:r w:rsidR="009D3B9D" w:rsidRPr="00367FB9">
        <w:t>'</w:t>
      </w:r>
      <w:r w:rsidRPr="00367FB9">
        <w:t>Union internationale des télécommunications</w:t>
      </w:r>
    </w:p>
    <w:p w14:paraId="16A236B2" w14:textId="0DA6656B" w:rsidR="00317720" w:rsidRPr="00367FB9" w:rsidRDefault="00317720" w:rsidP="00317720">
      <w:pPr>
        <w:spacing w:before="0"/>
      </w:pPr>
      <w:r w:rsidRPr="00367FB9">
        <w:t>Genève (Suisse)</w:t>
      </w:r>
    </w:p>
    <w:p w14:paraId="1C5BD16C" w14:textId="77777777" w:rsidR="00317720" w:rsidRPr="00367FB9" w:rsidRDefault="00317720" w:rsidP="00317720">
      <w:r w:rsidRPr="00367FB9">
        <w:rPr>
          <w:b/>
          <w:bCs/>
        </w:rPr>
        <w:t>De:</w:t>
      </w:r>
      <w:r w:rsidRPr="00367FB9">
        <w:t xml:space="preserve"> Zhuanglong JIN</w:t>
      </w:r>
    </w:p>
    <w:p w14:paraId="364F8EB0" w14:textId="501ABF34" w:rsidR="00317720" w:rsidRPr="00367FB9" w:rsidRDefault="00317720" w:rsidP="00317720">
      <w:pPr>
        <w:spacing w:before="0"/>
      </w:pPr>
      <w:r w:rsidRPr="00367FB9">
        <w:t>Ministre de l</w:t>
      </w:r>
      <w:r w:rsidR="009D3B9D" w:rsidRPr="00367FB9">
        <w:t>'</w:t>
      </w:r>
      <w:r w:rsidRPr="00367FB9">
        <w:t>industrie et des technologies de l</w:t>
      </w:r>
      <w:r w:rsidR="009D3B9D" w:rsidRPr="00367FB9">
        <w:t>'</w:t>
      </w:r>
      <w:r w:rsidRPr="00367FB9">
        <w:t>information de la République populaire de Chine</w:t>
      </w:r>
    </w:p>
    <w:p w14:paraId="0FC3B39A" w14:textId="267F288E" w:rsidR="00317720" w:rsidRPr="00367FB9" w:rsidRDefault="00317720" w:rsidP="00317720">
      <w:pPr>
        <w:spacing w:before="0"/>
      </w:pPr>
      <w:r w:rsidRPr="00367FB9">
        <w:t>13 Xichang</w:t>
      </w:r>
      <w:r w:rsidR="009D3B9D" w:rsidRPr="00367FB9">
        <w:t>'</w:t>
      </w:r>
      <w:r w:rsidRPr="00367FB9">
        <w:t>an Avenue</w:t>
      </w:r>
    </w:p>
    <w:p w14:paraId="68190BED" w14:textId="1B470CD3" w:rsidR="00317720" w:rsidRPr="00367FB9" w:rsidRDefault="00317720" w:rsidP="00317720">
      <w:pPr>
        <w:spacing w:before="0"/>
      </w:pPr>
      <w:r w:rsidRPr="00367FB9">
        <w:t>100804, Beijing</w:t>
      </w:r>
    </w:p>
    <w:p w14:paraId="23EB64F5" w14:textId="77777777" w:rsidR="00317720" w:rsidRPr="00367FB9" w:rsidRDefault="00317720" w:rsidP="00317720">
      <w:pPr>
        <w:spacing w:before="360"/>
      </w:pPr>
      <w:r w:rsidRPr="00367FB9">
        <w:t>Madame la Secrétaire générale,</w:t>
      </w:r>
    </w:p>
    <w:p w14:paraId="188CC706" w14:textId="5A2B4A53" w:rsidR="00317720" w:rsidRPr="00367FB9" w:rsidRDefault="00317720" w:rsidP="00317720">
      <w:r w:rsidRPr="00367FB9">
        <w:t>En début d</w:t>
      </w:r>
      <w:r w:rsidR="009D3B9D" w:rsidRPr="00367FB9">
        <w:t>'</w:t>
      </w:r>
      <w:r w:rsidRPr="00367FB9">
        <w:t>année, à l</w:t>
      </w:r>
      <w:r w:rsidR="009D3B9D" w:rsidRPr="00367FB9">
        <w:t>'</w:t>
      </w:r>
      <w:r w:rsidRPr="00367FB9">
        <w:t>occasion de votre visite en Chine, j</w:t>
      </w:r>
      <w:r w:rsidR="009D3B9D" w:rsidRPr="00367FB9">
        <w:t>'</w:t>
      </w:r>
      <w:r w:rsidRPr="00367FB9">
        <w:t>ai eu le plaisir d</w:t>
      </w:r>
      <w:r w:rsidR="009D3B9D" w:rsidRPr="00367FB9">
        <w:t>'</w:t>
      </w:r>
      <w:r w:rsidRPr="00367FB9">
        <w:t>échanger avec vous au sujet du renforcement de la coopération entre nos deux parties. L</w:t>
      </w:r>
      <w:r w:rsidR="009D3B9D" w:rsidRPr="00367FB9">
        <w:t>'</w:t>
      </w:r>
      <w:r w:rsidRPr="00367FB9">
        <w:t>Administration de la Chine a toujours attaché une grande importance aux travaux de l</w:t>
      </w:r>
      <w:r w:rsidR="009D3B9D" w:rsidRPr="00367FB9">
        <w:t>'</w:t>
      </w:r>
      <w:r w:rsidRPr="00367FB9">
        <w:t>Union internationale des télécommunications (UIT) et s</w:t>
      </w:r>
      <w:r w:rsidR="009D3B9D" w:rsidRPr="00367FB9">
        <w:t>'</w:t>
      </w:r>
      <w:r w:rsidRPr="00367FB9">
        <w:t>est efforcée de soutenir son rôle crucial dans la gestion des ressources mondiales que sont le spectre des fréquences radioélectriques et les orbites de satellites, dans l</w:t>
      </w:r>
      <w:r w:rsidR="009D3B9D" w:rsidRPr="00367FB9">
        <w:t>'</w:t>
      </w:r>
      <w:r w:rsidRPr="00367FB9">
        <w:t>élaboration de normes sur les technologies de télécommunication et dans la promotion du développement des télécommunications à l</w:t>
      </w:r>
      <w:r w:rsidR="009D3B9D" w:rsidRPr="00367FB9">
        <w:t>'</w:t>
      </w:r>
      <w:r w:rsidRPr="00367FB9">
        <w:t>échelle mondiale.</w:t>
      </w:r>
    </w:p>
    <w:p w14:paraId="6BBBF79C" w14:textId="7E9A1C7A" w:rsidR="00317720" w:rsidRPr="00367FB9" w:rsidRDefault="00317720" w:rsidP="00317720">
      <w:r w:rsidRPr="00367FB9">
        <w:t>Afin de mieux soutenir les travaux de l</w:t>
      </w:r>
      <w:r w:rsidR="009D3B9D" w:rsidRPr="00367FB9">
        <w:t>'</w:t>
      </w:r>
      <w:r w:rsidRPr="00367FB9">
        <w:t>UIT, je vous écris au nom du Ministère de l</w:t>
      </w:r>
      <w:r w:rsidR="009D3B9D" w:rsidRPr="00367FB9">
        <w:t>'</w:t>
      </w:r>
      <w:r w:rsidRPr="00367FB9">
        <w:t>industrie et des technologies de l</w:t>
      </w:r>
      <w:r w:rsidR="009D3B9D" w:rsidRPr="00367FB9">
        <w:t>'</w:t>
      </w:r>
      <w:r w:rsidRPr="00367FB9">
        <w:t>information de la République populaire de Chine (MIIT) pour vous faire part de la volonté de la Chine d</w:t>
      </w:r>
      <w:r w:rsidR="009D3B9D" w:rsidRPr="00367FB9">
        <w:t>'</w:t>
      </w:r>
      <w:r w:rsidRPr="00367FB9">
        <w:t>accueillir la Conférence mondiale des radiocommunications de 2027 (CMR-27), l</w:t>
      </w:r>
      <w:r w:rsidR="009D3B9D" w:rsidRPr="00367FB9">
        <w:t>'</w:t>
      </w:r>
      <w:r w:rsidRPr="00367FB9">
        <w:t>Assemblée des radiocommunications de 2027 (AR-27) et la première session de la Réunion de préparation à la Conférence en vue de la</w:t>
      </w:r>
      <w:r w:rsidR="008236FE" w:rsidRPr="00367FB9">
        <w:t> </w:t>
      </w:r>
      <w:r w:rsidRPr="00367FB9">
        <w:t>CMR-31 (RPC31-1) à Shanghai. La Chine s</w:t>
      </w:r>
      <w:r w:rsidR="009D3B9D" w:rsidRPr="00367FB9">
        <w:t>'</w:t>
      </w:r>
      <w:r w:rsidRPr="00367FB9">
        <w:t>acquittera de ses obligations en tant que pays hôte conformément aux règlements de l</w:t>
      </w:r>
      <w:r w:rsidR="009D3B9D" w:rsidRPr="00367FB9">
        <w:t>'</w:t>
      </w:r>
      <w:r w:rsidRPr="00367FB9">
        <w:t>UIT et des coûts supplémentaires nécessaires à la tenue de la Conférence et des réunions, et fournira un appui logistique pour ces manifestations. Nous vous invitons, ainsi que vos collègues de l</w:t>
      </w:r>
      <w:r w:rsidR="009D3B9D" w:rsidRPr="00367FB9">
        <w:t>'</w:t>
      </w:r>
      <w:r w:rsidRPr="00367FB9">
        <w:t>UIT, à vous rendre en Chine en temps utile.</w:t>
      </w:r>
    </w:p>
    <w:p w14:paraId="0119C332" w14:textId="5790CBA9" w:rsidR="00317720" w:rsidRPr="00367FB9" w:rsidRDefault="00317720" w:rsidP="00317720">
      <w:r w:rsidRPr="00367FB9">
        <w:t>Si l</w:t>
      </w:r>
      <w:r w:rsidR="009D3B9D" w:rsidRPr="00367FB9">
        <w:t>'</w:t>
      </w:r>
      <w:r w:rsidRPr="00367FB9">
        <w:t>organisation de la CMR-27 est confiée à la Chine, nous veillerons à renforcer la communication et la coopération avec le Secrétariat de l</w:t>
      </w:r>
      <w:r w:rsidR="009D3B9D" w:rsidRPr="00367FB9">
        <w:t>'</w:t>
      </w:r>
      <w:r w:rsidRPr="00367FB9">
        <w:t>UIT, à fournir au mieux des services et des garanties pour la Conférence et les réunions, et à travailler avec les membres de l</w:t>
      </w:r>
      <w:r w:rsidR="009D3B9D" w:rsidRPr="00367FB9">
        <w:t>'</w:t>
      </w:r>
      <w:r w:rsidRPr="00367FB9">
        <w:t>UIT en vue d</w:t>
      </w:r>
      <w:r w:rsidR="009D3B9D" w:rsidRPr="00367FB9">
        <w:t>'</w:t>
      </w:r>
      <w:r w:rsidRPr="00367FB9">
        <w:t>offrir au monde une manifestation remarquable dans le domaine des radiocommunications, placée sous le signe de la coopération, laquelle profitera à tous et offrira des résultats fructueux.</w:t>
      </w:r>
    </w:p>
    <w:p w14:paraId="5462160D" w14:textId="77777777" w:rsidR="00317720" w:rsidRPr="00367FB9" w:rsidRDefault="00317720" w:rsidP="00C9553D">
      <w:pPr>
        <w:pageBreakBefore/>
      </w:pPr>
      <w:r w:rsidRPr="00367FB9">
        <w:lastRenderedPageBreak/>
        <w:t>Je vous souhaite beaucoup de succès dans votre travail et une bonne santé!</w:t>
      </w:r>
    </w:p>
    <w:p w14:paraId="51F4D61A" w14:textId="405E3261" w:rsidR="00317720" w:rsidRPr="00367FB9" w:rsidRDefault="00317720" w:rsidP="00317720">
      <w:r w:rsidRPr="00367FB9">
        <w:t>Veuillez agréer, Madame la Secrétaire générale, l</w:t>
      </w:r>
      <w:r w:rsidR="009D3B9D" w:rsidRPr="00367FB9">
        <w:t>'</w:t>
      </w:r>
      <w:r w:rsidRPr="00367FB9">
        <w:t>expression de ma considération distinguée.</w:t>
      </w:r>
    </w:p>
    <w:p w14:paraId="38C67F88" w14:textId="77777777" w:rsidR="00317720" w:rsidRPr="00367FB9" w:rsidRDefault="00317720" w:rsidP="00317720">
      <w:pPr>
        <w:spacing w:before="480" w:after="480"/>
      </w:pPr>
      <w:r w:rsidRPr="00367FB9">
        <w:rPr>
          <w:i/>
          <w:iCs/>
        </w:rPr>
        <w:t>(signé)</w:t>
      </w:r>
    </w:p>
    <w:p w14:paraId="24142A6F" w14:textId="77777777" w:rsidR="00C9553D" w:rsidRPr="00367FB9" w:rsidRDefault="00317720" w:rsidP="00317720">
      <w:r w:rsidRPr="00367FB9">
        <w:t>Zhuanglong JIN</w:t>
      </w:r>
    </w:p>
    <w:p w14:paraId="2CB9E03F" w14:textId="77777777" w:rsidR="00C9553D" w:rsidRPr="00367FB9" w:rsidRDefault="00317720" w:rsidP="00C9553D">
      <w:pPr>
        <w:spacing w:before="0"/>
      </w:pPr>
      <w:r w:rsidRPr="00367FB9">
        <w:t>Ministre du MIIT</w:t>
      </w:r>
    </w:p>
    <w:p w14:paraId="32176750" w14:textId="5EE906E1" w:rsidR="00317720" w:rsidRPr="00367FB9" w:rsidRDefault="00317720" w:rsidP="00C9553D">
      <w:pPr>
        <w:spacing w:before="0"/>
      </w:pPr>
      <w:r w:rsidRPr="00367FB9">
        <w:t>République populaire de Chine</w:t>
      </w:r>
    </w:p>
    <w:sectPr w:rsidR="00317720" w:rsidRPr="00367FB9" w:rsidSect="00D72F49">
      <w:headerReference w:type="even" r:id="rId14"/>
      <w:footerReference w:type="even" r:id="rId15"/>
      <w:footerReference w:type="default" r:id="rId16"/>
      <w:headerReference w:type="first" r:id="rId17"/>
      <w:footerReference w:type="first" r:id="rId18"/>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5C4B" w14:textId="77777777" w:rsidR="00E51E83" w:rsidRDefault="00E51E83">
      <w:r>
        <w:separator/>
      </w:r>
    </w:p>
  </w:endnote>
  <w:endnote w:type="continuationSeparator" w:id="0">
    <w:p w14:paraId="058A2CCC" w14:textId="77777777" w:rsidR="00E51E83" w:rsidRDefault="00E5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3101" w14:textId="36F766D3" w:rsidR="00732045" w:rsidRPr="00367FB9" w:rsidRDefault="009D3B9D">
    <w:pPr>
      <w:pStyle w:val="Footer"/>
      <w:rPr>
        <w:lang w:val="en-US"/>
      </w:rPr>
    </w:pPr>
    <w:r>
      <w:fldChar w:fldCharType="begin"/>
    </w:r>
    <w:r w:rsidRPr="00367FB9">
      <w:rPr>
        <w:lang w:val="en-US"/>
      </w:rPr>
      <w:instrText xml:space="preserve"> FILENAME \p \* MERGEFORMAT </w:instrText>
    </w:r>
    <w:r>
      <w:fldChar w:fldCharType="separate"/>
    </w:r>
    <w:r w:rsidR="00367FB9" w:rsidRPr="00367FB9">
      <w:rPr>
        <w:lang w:val="en-US"/>
      </w:rPr>
      <w:t>P:\FRA\gDoc\SG\C24\24-00927F.docx</w:t>
    </w:r>
    <w:r>
      <w:fldChar w:fldCharType="end"/>
    </w:r>
    <w:r w:rsidR="00732045" w:rsidRPr="00367FB9">
      <w:rPr>
        <w:lang w:val="en-US"/>
      </w:rPr>
      <w:tab/>
    </w:r>
    <w:r w:rsidR="002F1B76">
      <w:fldChar w:fldCharType="begin"/>
    </w:r>
    <w:r w:rsidR="00732045">
      <w:instrText xml:space="preserve"> savedate \@ dd.MM.yy </w:instrText>
    </w:r>
    <w:r w:rsidR="002F1B76">
      <w:fldChar w:fldCharType="separate"/>
    </w:r>
    <w:r w:rsidR="003B7180">
      <w:t>04.06.24</w:t>
    </w:r>
    <w:r w:rsidR="002F1B76">
      <w:fldChar w:fldCharType="end"/>
    </w:r>
    <w:r w:rsidR="00732045" w:rsidRPr="00367FB9">
      <w:rPr>
        <w:lang w:val="en-US"/>
      </w:rPr>
      <w:tab/>
    </w:r>
    <w:r w:rsidR="002F1B76">
      <w:fldChar w:fldCharType="begin"/>
    </w:r>
    <w:r w:rsidR="00732045">
      <w:instrText xml:space="preserve"> printdate \@ dd.MM.yy </w:instrText>
    </w:r>
    <w:r w:rsidR="002F1B76">
      <w:fldChar w:fldCharType="separate"/>
    </w:r>
    <w:r w:rsidR="00367FB9">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2E1EA15" w14:textId="77777777" w:rsidTr="00E31DCE">
      <w:trPr>
        <w:jc w:val="center"/>
      </w:trPr>
      <w:tc>
        <w:tcPr>
          <w:tcW w:w="1803" w:type="dxa"/>
          <w:vAlign w:val="center"/>
        </w:tcPr>
        <w:p w14:paraId="7C220C31" w14:textId="090AEFD9" w:rsidR="00A51849" w:rsidRDefault="006138CF" w:rsidP="00A51849">
          <w:pPr>
            <w:pStyle w:val="Header"/>
            <w:jc w:val="left"/>
            <w:rPr>
              <w:noProof/>
            </w:rPr>
          </w:pPr>
          <w:r>
            <w:rPr>
              <w:noProof/>
            </w:rPr>
            <w:t>24-00927</w:t>
          </w:r>
        </w:p>
      </w:tc>
      <w:tc>
        <w:tcPr>
          <w:tcW w:w="8261" w:type="dxa"/>
        </w:tcPr>
        <w:p w14:paraId="413AABE9" w14:textId="2FB6E743" w:rsidR="00A51849" w:rsidRPr="00E06FD5" w:rsidRDefault="00A51849" w:rsidP="009736B8">
          <w:pPr>
            <w:pStyle w:val="Header"/>
            <w:tabs>
              <w:tab w:val="left" w:pos="6589"/>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6138CF">
            <w:rPr>
              <w:bCs/>
            </w:rPr>
            <w:t>64</w:t>
          </w:r>
          <w:r w:rsidR="009736B8">
            <w:rPr>
              <w:bCs/>
            </w:rPr>
            <w:t>(Rév.1)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2FDDD257" w14:textId="7A3A3629"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CBEE110" w14:textId="77777777" w:rsidTr="00E31DCE">
      <w:trPr>
        <w:jc w:val="center"/>
      </w:trPr>
      <w:tc>
        <w:tcPr>
          <w:tcW w:w="1803" w:type="dxa"/>
          <w:vAlign w:val="center"/>
        </w:tcPr>
        <w:p w14:paraId="31A1B386" w14:textId="77777777" w:rsidR="00A51849" w:rsidRPr="0082299A" w:rsidRDefault="003B7180"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2370E2F0" w14:textId="5F5E91EA" w:rsidR="00A51849" w:rsidRPr="00E06FD5" w:rsidRDefault="00A51849" w:rsidP="009736B8">
          <w:pPr>
            <w:pStyle w:val="Header"/>
            <w:tabs>
              <w:tab w:val="left" w:pos="6589"/>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6138CF">
            <w:rPr>
              <w:bCs/>
            </w:rPr>
            <w:t>64</w:t>
          </w:r>
          <w:r w:rsidR="009736B8">
            <w:rPr>
              <w:bCs/>
            </w:rPr>
            <w:t>(Rév.1)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01CCEE6B" w14:textId="6EC357D9"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D17ED" w14:textId="77777777" w:rsidR="00E51E83" w:rsidRDefault="00E51E83">
      <w:r>
        <w:t>____________________</w:t>
      </w:r>
    </w:p>
  </w:footnote>
  <w:footnote w:type="continuationSeparator" w:id="0">
    <w:p w14:paraId="01F2DCED" w14:textId="77777777" w:rsidR="00E51E83" w:rsidRDefault="00E51E83">
      <w:r>
        <w:continuationSeparator/>
      </w:r>
    </w:p>
  </w:footnote>
  <w:footnote w:id="1">
    <w:p w14:paraId="59E9BCD2" w14:textId="203964C6" w:rsidR="0024733E" w:rsidRPr="00935F69" w:rsidRDefault="0024733E" w:rsidP="0024733E">
      <w:pPr>
        <w:pStyle w:val="FootnoteText"/>
      </w:pPr>
      <w:r w:rsidRPr="00FE3D25">
        <w:rPr>
          <w:rStyle w:val="FootnoteReference"/>
        </w:rPr>
        <w:t>1</w:t>
      </w:r>
      <w:r w:rsidRPr="00FE3D25">
        <w:tab/>
      </w:r>
      <w:r w:rsidRPr="00935F69">
        <w:t>Ce sous-point de l</w:t>
      </w:r>
      <w:r w:rsidR="009D3B9D">
        <w:t>'</w:t>
      </w:r>
      <w:r w:rsidRPr="00935F69">
        <w:t>ordre du jour ne concerne que le rapport du Directeur du Bureau des radiocommunications sur les activités menées par le Secteur des radiocommunications de l</w:t>
      </w:r>
      <w:r w:rsidR="009D3B9D">
        <w:t>'</w:t>
      </w:r>
      <w:r w:rsidRPr="00935F69">
        <w:t>UIT-R depuis la conférence mondiale des radiocommunications précédente; toutes les questions ne relevant pas des points 1.1 à 1.19 comme indiqué ci-dessus doivent être strictement évitées, en particulier celles qui appellent des modifications/amendements du Règlement des radiocommunications.</w:t>
      </w:r>
    </w:p>
  </w:footnote>
  <w:footnote w:id="2">
    <w:p w14:paraId="76FDAA30" w14:textId="2E45B46C" w:rsidR="0024733E" w:rsidRPr="00FE3D25" w:rsidRDefault="0024733E" w:rsidP="0024733E">
      <w:pPr>
        <w:pStyle w:val="FootnoteText"/>
      </w:pPr>
      <w:r w:rsidRPr="00FE3D25">
        <w:rPr>
          <w:rStyle w:val="FootnoteReference"/>
        </w:rPr>
        <w:t>2</w:t>
      </w:r>
      <w:r w:rsidRPr="00FE3D25">
        <w:tab/>
        <w:t>Ce sous-point de l</w:t>
      </w:r>
      <w:r w:rsidR="009D3B9D">
        <w:t>'</w:t>
      </w:r>
      <w:r w:rsidRPr="00FE3D25">
        <w:t xml:space="preserve">ordre du jour ne concerne que le rapport du Directeur </w:t>
      </w:r>
      <w:r>
        <w:t xml:space="preserve">du Bureau des radiocommunications </w:t>
      </w:r>
      <w:r w:rsidRPr="00FE3D25">
        <w:t>sur les difficultés rencontrées ou les incohérences constatées dans l</w:t>
      </w:r>
      <w:r w:rsidR="009D3B9D">
        <w:t>'</w:t>
      </w:r>
      <w:r w:rsidRPr="00FE3D25">
        <w:t>application du Règlement des radiocommunications et les observations formulées par les administrations. Les administrations sont invitées à informer le Directeur toute difficulté rencontrée ou de toute incohérence constatée dans l</w:t>
      </w:r>
      <w:r w:rsidR="009D3B9D">
        <w:t>'</w:t>
      </w:r>
      <w:r w:rsidRPr="00FE3D25">
        <w:t>application du Règlement des radiocommunications.</w:t>
      </w:r>
    </w:p>
  </w:footnote>
  <w:footnote w:id="3">
    <w:p w14:paraId="73DB5874" w14:textId="3B261CAD" w:rsidR="0024733E" w:rsidRPr="00FE3D25" w:rsidRDefault="0024733E" w:rsidP="0024733E">
      <w:pPr>
        <w:pStyle w:val="FootnoteText"/>
      </w:pPr>
      <w:r w:rsidRPr="00FE3D25">
        <w:rPr>
          <w:rStyle w:val="FootnoteReference"/>
        </w:rPr>
        <w:t>1</w:t>
      </w:r>
      <w:r w:rsidRPr="00FE3D25">
        <w:tab/>
        <w:t>Ce sous-point de l</w:t>
      </w:r>
      <w:r w:rsidR="009D3B9D">
        <w:t>'</w:t>
      </w:r>
      <w:r w:rsidRPr="00FE3D25">
        <w:t xml:space="preserve">ordre du jour ne concerne que le rapport du Directeur </w:t>
      </w:r>
      <w:r>
        <w:t xml:space="preserve">du Bureau des radiocommunications </w:t>
      </w:r>
      <w:r w:rsidRPr="00FE3D25">
        <w:t xml:space="preserve">sur les activités menées par </w:t>
      </w:r>
      <w:r>
        <w:t xml:space="preserve">le Secteur des radiocommunications de </w:t>
      </w:r>
      <w:r w:rsidRPr="00FE3D25">
        <w:t>l</w:t>
      </w:r>
      <w:r w:rsidR="009D3B9D">
        <w:t>'</w:t>
      </w:r>
      <w:r w:rsidRPr="00FE3D25">
        <w:t xml:space="preserve">UIT-R depuis la </w:t>
      </w:r>
      <w:r>
        <w:t>c</w:t>
      </w:r>
      <w:r w:rsidRPr="00B14E7E">
        <w:t xml:space="preserve">onférence mondiale des radiocommunications </w:t>
      </w:r>
      <w:r>
        <w:t>précédente</w:t>
      </w:r>
      <w:r w:rsidRPr="00FE3D25">
        <w:t>;</w:t>
      </w:r>
      <w:r>
        <w:t xml:space="preserve"> </w:t>
      </w:r>
      <w:r w:rsidRPr="00FE3D25">
        <w:t xml:space="preserve">toutes les questions </w:t>
      </w:r>
      <w:r w:rsidRPr="00FE3D25">
        <w:rPr>
          <w:rStyle w:val="ui-provider"/>
        </w:rPr>
        <w:t>ne relevant pas des points 1.1 à 1.19</w:t>
      </w:r>
      <w:r w:rsidRPr="00FE3D25">
        <w:t xml:space="preserve"> comme indiqué ci-dessus doivent être strictement évitées, en particulier celles qui appellent des modifications/amendements du Règlement des radiocommunications.</w:t>
      </w:r>
    </w:p>
  </w:footnote>
  <w:footnote w:id="4">
    <w:p w14:paraId="40DD5313" w14:textId="6CD33904" w:rsidR="0024733E" w:rsidRPr="00FE3D25" w:rsidRDefault="0024733E" w:rsidP="0024733E">
      <w:pPr>
        <w:pStyle w:val="FootnoteText"/>
      </w:pPr>
      <w:r w:rsidRPr="00FE3D25">
        <w:rPr>
          <w:rStyle w:val="FootnoteReference"/>
        </w:rPr>
        <w:t>2</w:t>
      </w:r>
      <w:r w:rsidRPr="00FE3D25">
        <w:tab/>
        <w:t>Ce sous-point de l</w:t>
      </w:r>
      <w:r w:rsidR="009D3B9D">
        <w:t>'</w:t>
      </w:r>
      <w:r w:rsidRPr="00FE3D25">
        <w:t xml:space="preserve">ordre du jour ne concerne que le rapport du Directeur </w:t>
      </w:r>
      <w:r>
        <w:t xml:space="preserve">du Bureau des radiocommunications </w:t>
      </w:r>
      <w:r w:rsidRPr="00FE3D25">
        <w:t>sur les difficultés rencontrées ou les incohérences constatées dans l</w:t>
      </w:r>
      <w:r w:rsidR="009D3B9D">
        <w:t>'</w:t>
      </w:r>
      <w:r w:rsidRPr="00FE3D25">
        <w:t>application du Règlement des radiocommunications et les observations formulées par les administrations. Les administrations sont invitées à informer le Directeur toute difficulté rencontrée ou de toute incohérence constatée dans l</w:t>
      </w:r>
      <w:r w:rsidR="009D3B9D">
        <w:t>'</w:t>
      </w:r>
      <w:r w:rsidRPr="00FE3D25">
        <w:t>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030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1280F8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2942E20A" w14:textId="77777777" w:rsidTr="00E31DCE">
      <w:trPr>
        <w:trHeight w:val="1104"/>
        <w:jc w:val="center"/>
      </w:trPr>
      <w:tc>
        <w:tcPr>
          <w:tcW w:w="4390" w:type="dxa"/>
          <w:vAlign w:val="center"/>
        </w:tcPr>
        <w:p w14:paraId="4FBF35DE"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23923357" wp14:editId="3AC8643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75826BC6" w14:textId="77777777" w:rsidR="00A51849" w:rsidRDefault="00A51849" w:rsidP="00A51849">
          <w:pPr>
            <w:pStyle w:val="Header"/>
            <w:jc w:val="right"/>
            <w:rPr>
              <w:rFonts w:ascii="Arial" w:hAnsi="Arial" w:cs="Arial"/>
              <w:b/>
              <w:bCs/>
              <w:color w:val="009CD6"/>
              <w:szCs w:val="18"/>
            </w:rPr>
          </w:pPr>
        </w:p>
        <w:p w14:paraId="276D7AE0" w14:textId="77777777" w:rsidR="00A51849" w:rsidRDefault="00A51849" w:rsidP="00A51849">
          <w:pPr>
            <w:pStyle w:val="Header"/>
            <w:jc w:val="right"/>
            <w:rPr>
              <w:rFonts w:ascii="Arial" w:hAnsi="Arial" w:cs="Arial"/>
              <w:b/>
              <w:bCs/>
              <w:color w:val="009CD6"/>
              <w:szCs w:val="18"/>
            </w:rPr>
          </w:pPr>
        </w:p>
        <w:p w14:paraId="2E0FA53D"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5E65B0D"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4B9DF53" wp14:editId="59B931A4">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09E2B"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47A8"/>
    <w:rsid w:val="001378C0"/>
    <w:rsid w:val="0018694A"/>
    <w:rsid w:val="0019071A"/>
    <w:rsid w:val="001A3287"/>
    <w:rsid w:val="001A6508"/>
    <w:rsid w:val="001D4C31"/>
    <w:rsid w:val="001E4D21"/>
    <w:rsid w:val="00207CD1"/>
    <w:rsid w:val="00226657"/>
    <w:rsid w:val="0024733E"/>
    <w:rsid w:val="002477A2"/>
    <w:rsid w:val="00263A51"/>
    <w:rsid w:val="00267E02"/>
    <w:rsid w:val="00295A67"/>
    <w:rsid w:val="002A5D44"/>
    <w:rsid w:val="002E0BC4"/>
    <w:rsid w:val="002F1B76"/>
    <w:rsid w:val="00317720"/>
    <w:rsid w:val="00327CA4"/>
    <w:rsid w:val="0033568E"/>
    <w:rsid w:val="00354A66"/>
    <w:rsid w:val="00355FF5"/>
    <w:rsid w:val="00361350"/>
    <w:rsid w:val="00367FB9"/>
    <w:rsid w:val="003A3A92"/>
    <w:rsid w:val="003B7180"/>
    <w:rsid w:val="003C3FAE"/>
    <w:rsid w:val="003F50F9"/>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C5114"/>
    <w:rsid w:val="005F7BFE"/>
    <w:rsid w:val="00600017"/>
    <w:rsid w:val="006138CF"/>
    <w:rsid w:val="006235CA"/>
    <w:rsid w:val="00631B5F"/>
    <w:rsid w:val="006643AB"/>
    <w:rsid w:val="006A11AE"/>
    <w:rsid w:val="006B620D"/>
    <w:rsid w:val="006F0A53"/>
    <w:rsid w:val="007210CD"/>
    <w:rsid w:val="00732045"/>
    <w:rsid w:val="0073275D"/>
    <w:rsid w:val="007369DB"/>
    <w:rsid w:val="007956C2"/>
    <w:rsid w:val="007A187E"/>
    <w:rsid w:val="007C72C2"/>
    <w:rsid w:val="007D4436"/>
    <w:rsid w:val="007F257A"/>
    <w:rsid w:val="007F3665"/>
    <w:rsid w:val="00800037"/>
    <w:rsid w:val="0082299A"/>
    <w:rsid w:val="008236FE"/>
    <w:rsid w:val="0083391C"/>
    <w:rsid w:val="00861D73"/>
    <w:rsid w:val="008774B7"/>
    <w:rsid w:val="00897553"/>
    <w:rsid w:val="008A4E87"/>
    <w:rsid w:val="008D76E6"/>
    <w:rsid w:val="0092392D"/>
    <w:rsid w:val="0093234A"/>
    <w:rsid w:val="00956A78"/>
    <w:rsid w:val="0097363B"/>
    <w:rsid w:val="009736B8"/>
    <w:rsid w:val="00973F53"/>
    <w:rsid w:val="0098180D"/>
    <w:rsid w:val="009A6BAA"/>
    <w:rsid w:val="009C307F"/>
    <w:rsid w:val="009C353C"/>
    <w:rsid w:val="009D3B9D"/>
    <w:rsid w:val="00A0310C"/>
    <w:rsid w:val="00A11E34"/>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80536"/>
    <w:rsid w:val="00C9553D"/>
    <w:rsid w:val="00CA08ED"/>
    <w:rsid w:val="00CF183B"/>
    <w:rsid w:val="00D11C78"/>
    <w:rsid w:val="00D375CD"/>
    <w:rsid w:val="00D553A2"/>
    <w:rsid w:val="00D72F49"/>
    <w:rsid w:val="00D774D3"/>
    <w:rsid w:val="00D83497"/>
    <w:rsid w:val="00D904E8"/>
    <w:rsid w:val="00DA08C3"/>
    <w:rsid w:val="00DB5A3E"/>
    <w:rsid w:val="00DC22AA"/>
    <w:rsid w:val="00DF74DD"/>
    <w:rsid w:val="00E25AD0"/>
    <w:rsid w:val="00E4428F"/>
    <w:rsid w:val="00E51E83"/>
    <w:rsid w:val="00E607C3"/>
    <w:rsid w:val="00E65666"/>
    <w:rsid w:val="00E93668"/>
    <w:rsid w:val="00E95647"/>
    <w:rsid w:val="00EB6350"/>
    <w:rsid w:val="00F15B57"/>
    <w:rsid w:val="00F27268"/>
    <w:rsid w:val="00F35EF4"/>
    <w:rsid w:val="00F37750"/>
    <w:rsid w:val="00F37FE5"/>
    <w:rsid w:val="00F427DB"/>
    <w:rsid w:val="00F42BF0"/>
    <w:rsid w:val="00F67BC9"/>
    <w:rsid w:val="00F73BCA"/>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68C36"/>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Reference/ + Text 1,Footnote symbol,Style 12,(NECG) Footnote Reference,Style 124,Appel note de bas de p + 11 pt,Italic,Appel note de bas de p1,Appel note de bas de p2,Footnote,o,fr"/>
    <w:basedOn w:val="DefaultParagraphFont"/>
    <w:uiPriority w:val="99"/>
    <w:qFormat/>
    <w:rsid w:val="00732045"/>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qFormat/>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qFormat/>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98180D"/>
    <w:rPr>
      <w:color w:val="605E5C"/>
      <w:shd w:val="clear" w:color="auto" w:fill="E1DFDD"/>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24733E"/>
    <w:rPr>
      <w:rFonts w:ascii="Calibri" w:hAnsi="Calibri"/>
      <w:sz w:val="24"/>
      <w:lang w:val="fr-FR" w:eastAsia="en-US"/>
    </w:rPr>
  </w:style>
  <w:style w:type="character" w:customStyle="1" w:styleId="NormalaftertitleChar">
    <w:name w:val="Normal after title Char"/>
    <w:basedOn w:val="DefaultParagraphFont"/>
    <w:link w:val="Normalaftertitle"/>
    <w:locked/>
    <w:rsid w:val="0024733E"/>
    <w:rPr>
      <w:rFonts w:ascii="Calibri" w:hAnsi="Calibri"/>
      <w:sz w:val="24"/>
      <w:lang w:val="fr-FR" w:eastAsia="en-US"/>
    </w:rPr>
  </w:style>
  <w:style w:type="character" w:customStyle="1" w:styleId="CallChar">
    <w:name w:val="Call Char"/>
    <w:basedOn w:val="DefaultParagraphFont"/>
    <w:link w:val="Call"/>
    <w:locked/>
    <w:rsid w:val="0024733E"/>
    <w:rPr>
      <w:rFonts w:ascii="Calibri" w:hAnsi="Calibri"/>
      <w:i/>
      <w:sz w:val="24"/>
      <w:lang w:val="fr-FR" w:eastAsia="en-US"/>
    </w:rPr>
  </w:style>
  <w:style w:type="character" w:customStyle="1" w:styleId="ui-provider">
    <w:name w:val="ui-provider"/>
    <w:basedOn w:val="DefaultParagraphFont"/>
    <w:rsid w:val="0024733E"/>
  </w:style>
  <w:style w:type="paragraph" w:customStyle="1" w:styleId="mnor">
    <w:name w:val="mnor"/>
    <w:basedOn w:val="Reasons"/>
    <w:rsid w:val="00295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vention-F.pdf" TargetMode="Externa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tu.int/en/council/Documents/basic-texts/Convention-F.pdf" TargetMode="External"/><Relationship Id="rId12" Type="http://schemas.openxmlformats.org/officeDocument/2006/relationships/hyperlink" Target="https://www.itu.int/dms_pub/itu-r/opb/act/r-act-wrc.16-2024-pdf-f.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council/Documents/basic-texts/Convention-F.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en/council/Documents/basic-texts/Convention-F.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en/council/Documents/basic-texts/Convention-F.pdf"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856B9-2A7B-4238-BBFF-77961EE4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4978</Words>
  <Characters>29142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34052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Brouard, Ricarda</cp:lastModifiedBy>
  <cp:revision>2</cp:revision>
  <cp:lastPrinted>2000-07-18T08:55:00Z</cp:lastPrinted>
  <dcterms:created xsi:type="dcterms:W3CDTF">2024-06-05T07:01:00Z</dcterms:created>
  <dcterms:modified xsi:type="dcterms:W3CDTF">2024-06-05T07:01:00Z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