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123729" w14:paraId="71544969" w14:textId="77777777" w:rsidTr="0056270B">
        <w:trPr>
          <w:trHeight w:val="23"/>
        </w:trPr>
        <w:tc>
          <w:tcPr>
            <w:tcW w:w="3969" w:type="dxa"/>
            <w:vMerge w:val="restart"/>
            <w:tcMar>
              <w:left w:w="0" w:type="dxa"/>
            </w:tcMar>
          </w:tcPr>
          <w:p w14:paraId="19892EDD" w14:textId="6FEA999C" w:rsidR="00D72F49" w:rsidRPr="00123729" w:rsidRDefault="00D72F49" w:rsidP="00D72F49">
            <w:pPr>
              <w:tabs>
                <w:tab w:val="left" w:pos="851"/>
              </w:tabs>
              <w:spacing w:before="0" w:line="240" w:lineRule="atLeast"/>
              <w:rPr>
                <w:b/>
              </w:rPr>
            </w:pPr>
            <w:r w:rsidRPr="00123729">
              <w:rPr>
                <w:b/>
              </w:rPr>
              <w:t>Point de l</w:t>
            </w:r>
            <w:r w:rsidR="00931BAA" w:rsidRPr="00123729">
              <w:rPr>
                <w:b/>
              </w:rPr>
              <w:t>'</w:t>
            </w:r>
            <w:r w:rsidRPr="00123729">
              <w:rPr>
                <w:b/>
              </w:rPr>
              <w:t>ordre du jour:</w:t>
            </w:r>
            <w:r w:rsidR="008C7CBF" w:rsidRPr="00123729">
              <w:rPr>
                <w:b/>
              </w:rPr>
              <w:t xml:space="preserve"> ADM 3</w:t>
            </w:r>
          </w:p>
        </w:tc>
        <w:tc>
          <w:tcPr>
            <w:tcW w:w="5245" w:type="dxa"/>
          </w:tcPr>
          <w:p w14:paraId="3ED7A150" w14:textId="4C587F8C" w:rsidR="00D72F49" w:rsidRPr="00123729" w:rsidRDefault="00D72F49" w:rsidP="00D72F49">
            <w:pPr>
              <w:tabs>
                <w:tab w:val="left" w:pos="851"/>
              </w:tabs>
              <w:spacing w:before="0" w:line="240" w:lineRule="atLeast"/>
              <w:jc w:val="right"/>
              <w:rPr>
                <w:b/>
              </w:rPr>
            </w:pPr>
            <w:r w:rsidRPr="00123729">
              <w:rPr>
                <w:b/>
              </w:rPr>
              <w:t>Document C2</w:t>
            </w:r>
            <w:r w:rsidR="0073275D" w:rsidRPr="00123729">
              <w:rPr>
                <w:b/>
              </w:rPr>
              <w:t>4</w:t>
            </w:r>
            <w:r w:rsidRPr="00123729">
              <w:rPr>
                <w:b/>
              </w:rPr>
              <w:t>/</w:t>
            </w:r>
            <w:r w:rsidR="008C7CBF" w:rsidRPr="00123729">
              <w:rPr>
                <w:b/>
              </w:rPr>
              <w:t>61</w:t>
            </w:r>
            <w:r w:rsidRPr="00123729">
              <w:rPr>
                <w:b/>
              </w:rPr>
              <w:t>-F</w:t>
            </w:r>
          </w:p>
        </w:tc>
      </w:tr>
      <w:tr w:rsidR="00D72F49" w:rsidRPr="00123729" w14:paraId="1C0E3A78" w14:textId="77777777" w:rsidTr="0056270B">
        <w:tc>
          <w:tcPr>
            <w:tcW w:w="3969" w:type="dxa"/>
            <w:vMerge/>
          </w:tcPr>
          <w:p w14:paraId="499128B2" w14:textId="77777777" w:rsidR="00D72F49" w:rsidRPr="00123729" w:rsidRDefault="00D72F49" w:rsidP="00D72F49">
            <w:pPr>
              <w:tabs>
                <w:tab w:val="left" w:pos="851"/>
              </w:tabs>
              <w:spacing w:line="240" w:lineRule="atLeast"/>
              <w:rPr>
                <w:b/>
              </w:rPr>
            </w:pPr>
          </w:p>
        </w:tc>
        <w:tc>
          <w:tcPr>
            <w:tcW w:w="5245" w:type="dxa"/>
          </w:tcPr>
          <w:p w14:paraId="60D30FB3" w14:textId="3C862085" w:rsidR="00D72F49" w:rsidRPr="00123729" w:rsidRDefault="008C7CBF" w:rsidP="00D72F49">
            <w:pPr>
              <w:tabs>
                <w:tab w:val="left" w:pos="851"/>
              </w:tabs>
              <w:spacing w:before="0"/>
              <w:jc w:val="right"/>
              <w:rPr>
                <w:b/>
              </w:rPr>
            </w:pPr>
            <w:r w:rsidRPr="00123729">
              <w:rPr>
                <w:b/>
              </w:rPr>
              <w:t>6 mai</w:t>
            </w:r>
            <w:r w:rsidR="00D72F49" w:rsidRPr="00123729">
              <w:rPr>
                <w:b/>
              </w:rPr>
              <w:t xml:space="preserve"> 202</w:t>
            </w:r>
            <w:r w:rsidR="0073275D" w:rsidRPr="00123729">
              <w:rPr>
                <w:b/>
              </w:rPr>
              <w:t>4</w:t>
            </w:r>
          </w:p>
        </w:tc>
      </w:tr>
      <w:tr w:rsidR="00D72F49" w:rsidRPr="00123729" w14:paraId="2A2682EB" w14:textId="77777777" w:rsidTr="0056270B">
        <w:trPr>
          <w:trHeight w:val="23"/>
        </w:trPr>
        <w:tc>
          <w:tcPr>
            <w:tcW w:w="3969" w:type="dxa"/>
            <w:vMerge/>
          </w:tcPr>
          <w:p w14:paraId="68E5CB68" w14:textId="77777777" w:rsidR="00D72F49" w:rsidRPr="00123729" w:rsidRDefault="00D72F49" w:rsidP="00D72F49">
            <w:pPr>
              <w:tabs>
                <w:tab w:val="left" w:pos="851"/>
              </w:tabs>
              <w:spacing w:line="240" w:lineRule="atLeast"/>
              <w:rPr>
                <w:b/>
              </w:rPr>
            </w:pPr>
          </w:p>
        </w:tc>
        <w:tc>
          <w:tcPr>
            <w:tcW w:w="5245" w:type="dxa"/>
          </w:tcPr>
          <w:p w14:paraId="52B94F5D" w14:textId="77777777" w:rsidR="00D72F49" w:rsidRPr="00123729" w:rsidRDefault="00D72F49" w:rsidP="00D72F49">
            <w:pPr>
              <w:tabs>
                <w:tab w:val="left" w:pos="851"/>
              </w:tabs>
              <w:spacing w:before="0" w:line="240" w:lineRule="atLeast"/>
              <w:jc w:val="right"/>
              <w:rPr>
                <w:b/>
              </w:rPr>
            </w:pPr>
            <w:r w:rsidRPr="00123729">
              <w:rPr>
                <w:b/>
              </w:rPr>
              <w:t>Original: anglais</w:t>
            </w:r>
          </w:p>
        </w:tc>
      </w:tr>
      <w:tr w:rsidR="00D72F49" w:rsidRPr="00123729" w14:paraId="0734FBC3" w14:textId="77777777" w:rsidTr="0056270B">
        <w:trPr>
          <w:trHeight w:val="23"/>
        </w:trPr>
        <w:tc>
          <w:tcPr>
            <w:tcW w:w="3969" w:type="dxa"/>
          </w:tcPr>
          <w:p w14:paraId="22794CF0" w14:textId="77777777" w:rsidR="00D72F49" w:rsidRPr="00123729" w:rsidRDefault="00D72F49" w:rsidP="00D72F49">
            <w:pPr>
              <w:tabs>
                <w:tab w:val="left" w:pos="851"/>
              </w:tabs>
              <w:spacing w:line="240" w:lineRule="atLeast"/>
              <w:rPr>
                <w:b/>
              </w:rPr>
            </w:pPr>
          </w:p>
        </w:tc>
        <w:tc>
          <w:tcPr>
            <w:tcW w:w="5245" w:type="dxa"/>
          </w:tcPr>
          <w:p w14:paraId="22894551" w14:textId="77777777" w:rsidR="00D72F49" w:rsidRPr="00123729" w:rsidRDefault="00D72F49" w:rsidP="00D72F49">
            <w:pPr>
              <w:tabs>
                <w:tab w:val="left" w:pos="851"/>
              </w:tabs>
              <w:spacing w:before="0" w:line="240" w:lineRule="atLeast"/>
              <w:jc w:val="right"/>
              <w:rPr>
                <w:b/>
              </w:rPr>
            </w:pPr>
          </w:p>
        </w:tc>
      </w:tr>
      <w:tr w:rsidR="00D72F49" w:rsidRPr="00123729" w14:paraId="3CD0C945" w14:textId="77777777" w:rsidTr="0056270B">
        <w:tc>
          <w:tcPr>
            <w:tcW w:w="9214" w:type="dxa"/>
            <w:gridSpan w:val="2"/>
            <w:tcMar>
              <w:left w:w="0" w:type="dxa"/>
            </w:tcMar>
          </w:tcPr>
          <w:p w14:paraId="16AB1852" w14:textId="77777777" w:rsidR="00D72F49" w:rsidRPr="00123729" w:rsidRDefault="00D72F49" w:rsidP="00E90D93">
            <w:pPr>
              <w:pStyle w:val="Source"/>
              <w:spacing w:before="600"/>
              <w:jc w:val="left"/>
              <w:rPr>
                <w:sz w:val="34"/>
                <w:szCs w:val="34"/>
              </w:rPr>
            </w:pPr>
            <w:r w:rsidRPr="00123729">
              <w:rPr>
                <w:rFonts w:cstheme="minorHAnsi"/>
                <w:color w:val="000000"/>
                <w:sz w:val="34"/>
                <w:szCs w:val="34"/>
              </w:rPr>
              <w:t xml:space="preserve">Rapport </w:t>
            </w:r>
            <w:r w:rsidR="00E95647" w:rsidRPr="00123729">
              <w:rPr>
                <w:rFonts w:cstheme="minorHAnsi"/>
                <w:color w:val="000000"/>
                <w:sz w:val="34"/>
                <w:szCs w:val="34"/>
              </w:rPr>
              <w:t xml:space="preserve">de la </w:t>
            </w:r>
            <w:r w:rsidRPr="00123729">
              <w:rPr>
                <w:rFonts w:cstheme="minorHAnsi"/>
                <w:color w:val="000000"/>
                <w:sz w:val="34"/>
                <w:szCs w:val="34"/>
              </w:rPr>
              <w:t>Secrétaire général</w:t>
            </w:r>
            <w:r w:rsidR="00E95647" w:rsidRPr="00123729">
              <w:rPr>
                <w:rFonts w:cstheme="minorHAnsi"/>
                <w:color w:val="000000"/>
                <w:sz w:val="34"/>
                <w:szCs w:val="34"/>
              </w:rPr>
              <w:t>e</w:t>
            </w:r>
          </w:p>
        </w:tc>
      </w:tr>
      <w:tr w:rsidR="00D72F49" w:rsidRPr="00123729" w14:paraId="40B28412" w14:textId="77777777" w:rsidTr="0056270B">
        <w:tc>
          <w:tcPr>
            <w:tcW w:w="9214" w:type="dxa"/>
            <w:gridSpan w:val="2"/>
            <w:tcMar>
              <w:left w:w="0" w:type="dxa"/>
            </w:tcMar>
          </w:tcPr>
          <w:p w14:paraId="30C640D9" w14:textId="1F16954A" w:rsidR="00D72F49" w:rsidRPr="00E90D93" w:rsidRDefault="008C7CBF" w:rsidP="00D72F49">
            <w:pPr>
              <w:pStyle w:val="Subtitle"/>
              <w:framePr w:hSpace="0" w:wrap="auto" w:hAnchor="text" w:xAlign="left" w:yAlign="inline"/>
              <w:rPr>
                <w:sz w:val="32"/>
                <w:szCs w:val="32"/>
                <w:lang w:val="fr-FR"/>
              </w:rPr>
            </w:pPr>
            <w:r w:rsidRPr="00E90D93">
              <w:rPr>
                <w:rFonts w:cstheme="minorHAnsi"/>
                <w:sz w:val="32"/>
                <w:szCs w:val="32"/>
                <w:lang w:val="fr-FR"/>
              </w:rPr>
              <w:t xml:space="preserve">PARTICIPATION À DISTANCE CONFORMÉMENT À LA MISE EN </w:t>
            </w:r>
            <w:r w:rsidR="00C329A6" w:rsidRPr="00E90D93">
              <w:rPr>
                <w:sz w:val="32"/>
                <w:szCs w:val="32"/>
                <w:lang w:val="fr-FR"/>
              </w:rPr>
              <w:t xml:space="preserve">ŒUVRE </w:t>
            </w:r>
            <w:r w:rsidRPr="00E90D93">
              <w:rPr>
                <w:rFonts w:cstheme="minorHAnsi"/>
                <w:sz w:val="32"/>
                <w:szCs w:val="32"/>
                <w:lang w:val="fr-FR"/>
              </w:rPr>
              <w:t>DE LA RÉSOLUTION 167 (RÉV. BUCAREST, 2022)</w:t>
            </w:r>
          </w:p>
        </w:tc>
      </w:tr>
      <w:tr w:rsidR="00D72F49" w:rsidRPr="00123729" w14:paraId="04CAE93D" w14:textId="77777777" w:rsidTr="0056270B">
        <w:tc>
          <w:tcPr>
            <w:tcW w:w="9214" w:type="dxa"/>
            <w:gridSpan w:val="2"/>
            <w:tcBorders>
              <w:top w:val="single" w:sz="4" w:space="0" w:color="auto"/>
              <w:bottom w:val="single" w:sz="4" w:space="0" w:color="auto"/>
            </w:tcBorders>
            <w:tcMar>
              <w:left w:w="0" w:type="dxa"/>
            </w:tcMar>
          </w:tcPr>
          <w:p w14:paraId="1B818C12" w14:textId="77777777" w:rsidR="00D72F49" w:rsidRPr="00123729" w:rsidRDefault="00F37FE5" w:rsidP="00D72F49">
            <w:pPr>
              <w:spacing w:before="160"/>
              <w:rPr>
                <w:b/>
                <w:bCs/>
                <w:sz w:val="26"/>
                <w:szCs w:val="26"/>
              </w:rPr>
            </w:pPr>
            <w:r w:rsidRPr="00123729">
              <w:rPr>
                <w:b/>
                <w:bCs/>
                <w:sz w:val="26"/>
                <w:szCs w:val="26"/>
              </w:rPr>
              <w:t>Objet</w:t>
            </w:r>
          </w:p>
          <w:p w14:paraId="228C8070" w14:textId="3C03A83F" w:rsidR="008C7CBF" w:rsidRPr="00123729" w:rsidRDefault="008C7CBF" w:rsidP="008C7CBF">
            <w:r w:rsidRPr="00123729">
              <w:t>À sa session de 2023, le Conseil a conclu que la participation à distance était un outil inestimable pour les États Membres et a chargé la Secrétaire générale d</w:t>
            </w:r>
            <w:r w:rsidR="00931BAA" w:rsidRPr="00123729">
              <w:t>'</w:t>
            </w:r>
            <w:r w:rsidRPr="00123729">
              <w:t>élaborer une feuille de route destinée à harmoniser et à perfectionner les moyens et les capacités pour l</w:t>
            </w:r>
            <w:r w:rsidR="00931BAA" w:rsidRPr="00123729">
              <w:t>'</w:t>
            </w:r>
            <w:r w:rsidRPr="00123729">
              <w:t>organisation et la tenue de réunions entièrement virtuelles et de réunions physiques avec participation à distance, par voie électronique, pour les réunions de l</w:t>
            </w:r>
            <w:r w:rsidR="00931BAA" w:rsidRPr="00123729">
              <w:t>'</w:t>
            </w:r>
            <w:r w:rsidRPr="00123729">
              <w:t>Union, en vue de la soumettre au Conseil à sa session de 2024.</w:t>
            </w:r>
          </w:p>
          <w:p w14:paraId="0328011D" w14:textId="0168D31B" w:rsidR="008C7CBF" w:rsidRPr="00123729" w:rsidRDefault="008C7CBF" w:rsidP="008C7CBF">
            <w:r w:rsidRPr="00123729">
              <w:t xml:space="preserve">À ses 16ème et </w:t>
            </w:r>
            <w:proofErr w:type="gramStart"/>
            <w:r w:rsidRPr="00123729">
              <w:t>17ème réunions</w:t>
            </w:r>
            <w:proofErr w:type="gramEnd"/>
            <w:r w:rsidRPr="00123729">
              <w:t>, le Groupe de travail du Conseil sur les ressources financières et les ressources humaines (GTC-FHR) a examiné les avantages de la participation à distance, qui favorise l</w:t>
            </w:r>
            <w:r w:rsidR="00931BAA" w:rsidRPr="00123729">
              <w:t>'</w:t>
            </w:r>
            <w:r w:rsidRPr="00123729">
              <w:t>inclusion, la diversité et la participation aux travaux de l</w:t>
            </w:r>
            <w:r w:rsidR="00931BAA" w:rsidRPr="00123729">
              <w:t>'</w:t>
            </w:r>
            <w:r w:rsidRPr="00123729">
              <w:t>Union tout en réduisant les coûts de participation des États Membres. Il a été convenu que des lignes directrices claires sur le statut et les droits des participants à distance, y compris des présidents de réunion, devraient être coordonnées pour tous les types de réunions et de conférences dans l</w:t>
            </w:r>
            <w:r w:rsidR="00931BAA" w:rsidRPr="00123729">
              <w:t>'</w:t>
            </w:r>
            <w:r w:rsidRPr="00123729">
              <w:t>ensemble des Bureaux et du Secrétariat général.</w:t>
            </w:r>
          </w:p>
          <w:p w14:paraId="53E746BC" w14:textId="7DA2967A" w:rsidR="00D72F49" w:rsidRPr="00123729" w:rsidRDefault="008C7CBF" w:rsidP="008C7CBF">
            <w:r w:rsidRPr="00123729">
              <w:t xml:space="preserve">On trouvera dans le présent document un rapport sur le statut et le rôle des participants aux </w:t>
            </w:r>
            <w:r w:rsidRPr="00E90D93">
              <w:rPr>
                <w:spacing w:val="-4"/>
              </w:rPr>
              <w:t>réunions physiques avec participation à distance et aux réunions entièrement virtuelles à</w:t>
            </w:r>
            <w:r w:rsidR="00931BAA" w:rsidRPr="00E90D93">
              <w:rPr>
                <w:spacing w:val="-4"/>
              </w:rPr>
              <w:t> </w:t>
            </w:r>
            <w:r w:rsidRPr="00E90D93">
              <w:rPr>
                <w:spacing w:val="-4"/>
              </w:rPr>
              <w:t>l</w:t>
            </w:r>
            <w:r w:rsidR="00931BAA" w:rsidRPr="00E90D93">
              <w:rPr>
                <w:spacing w:val="-4"/>
              </w:rPr>
              <w:t>'</w:t>
            </w:r>
            <w:r w:rsidRPr="00E90D93">
              <w:rPr>
                <w:spacing w:val="-4"/>
              </w:rPr>
              <w:t>UIT.</w:t>
            </w:r>
          </w:p>
          <w:p w14:paraId="6A917CFA" w14:textId="77777777" w:rsidR="00D72F49" w:rsidRPr="00123729" w:rsidRDefault="00D72F49" w:rsidP="00D72F49">
            <w:pPr>
              <w:spacing w:before="160"/>
              <w:rPr>
                <w:b/>
                <w:bCs/>
                <w:sz w:val="26"/>
                <w:szCs w:val="26"/>
              </w:rPr>
            </w:pPr>
            <w:proofErr w:type="gramStart"/>
            <w:r w:rsidRPr="00123729">
              <w:rPr>
                <w:b/>
                <w:bCs/>
                <w:sz w:val="26"/>
                <w:szCs w:val="26"/>
              </w:rPr>
              <w:t>Suite à</w:t>
            </w:r>
            <w:proofErr w:type="gramEnd"/>
            <w:r w:rsidRPr="00123729">
              <w:rPr>
                <w:b/>
                <w:bCs/>
                <w:sz w:val="26"/>
                <w:szCs w:val="26"/>
              </w:rPr>
              <w:t xml:space="preserve"> donner par le Conseil</w:t>
            </w:r>
          </w:p>
          <w:p w14:paraId="6A746520" w14:textId="59F5FAD9" w:rsidR="00D72F49" w:rsidRPr="00123729" w:rsidRDefault="008C7CBF" w:rsidP="00D72F49">
            <w:r w:rsidRPr="00123729">
              <w:t xml:space="preserve">Le Conseil est invité à </w:t>
            </w:r>
            <w:r w:rsidRPr="00123729">
              <w:rPr>
                <w:b/>
                <w:bCs/>
              </w:rPr>
              <w:t>examiner</w:t>
            </w:r>
            <w:r w:rsidRPr="00123729">
              <w:t xml:space="preserve"> le présent document.</w:t>
            </w:r>
          </w:p>
          <w:p w14:paraId="0E586275" w14:textId="2D6AC8FE" w:rsidR="00D72F49" w:rsidRPr="00123729" w:rsidRDefault="00D72F49" w:rsidP="00D72F49">
            <w:pPr>
              <w:spacing w:before="160"/>
              <w:rPr>
                <w:b/>
                <w:bCs/>
                <w:sz w:val="26"/>
                <w:szCs w:val="26"/>
              </w:rPr>
            </w:pPr>
            <w:r w:rsidRPr="00123729">
              <w:rPr>
                <w:b/>
                <w:bCs/>
                <w:sz w:val="26"/>
                <w:szCs w:val="26"/>
              </w:rPr>
              <w:t xml:space="preserve">Lien pertinent avec le </w:t>
            </w:r>
            <w:r w:rsidR="00F37FE5" w:rsidRPr="00123729">
              <w:rPr>
                <w:b/>
                <w:bCs/>
                <w:sz w:val="26"/>
                <w:szCs w:val="26"/>
              </w:rPr>
              <w:t>p</w:t>
            </w:r>
            <w:r w:rsidRPr="00123729">
              <w:rPr>
                <w:b/>
                <w:bCs/>
                <w:sz w:val="26"/>
                <w:szCs w:val="26"/>
              </w:rPr>
              <w:t>lan stratégique</w:t>
            </w:r>
          </w:p>
          <w:p w14:paraId="6FC5D035" w14:textId="40C70801" w:rsidR="00D72F49" w:rsidRPr="00123729" w:rsidRDefault="008C7CBF" w:rsidP="00D72F49">
            <w:r w:rsidRPr="00123729">
              <w:t>Excellence en matière de ressources humaines et d</w:t>
            </w:r>
            <w:r w:rsidR="00931BAA" w:rsidRPr="00123729">
              <w:t>'</w:t>
            </w:r>
            <w:r w:rsidRPr="00123729">
              <w:t>innovation institutionnelle.</w:t>
            </w:r>
          </w:p>
          <w:p w14:paraId="12D179D1" w14:textId="752D9538" w:rsidR="00E95647" w:rsidRPr="00123729" w:rsidRDefault="00D72F49" w:rsidP="00D72F49">
            <w:pPr>
              <w:spacing w:before="160"/>
              <w:rPr>
                <w:b/>
                <w:bCs/>
                <w:sz w:val="26"/>
                <w:szCs w:val="26"/>
              </w:rPr>
            </w:pPr>
            <w:r w:rsidRPr="00123729">
              <w:rPr>
                <w:b/>
                <w:bCs/>
                <w:sz w:val="26"/>
                <w:szCs w:val="26"/>
              </w:rPr>
              <w:t>Incidences financières</w:t>
            </w:r>
          </w:p>
          <w:p w14:paraId="666C0ABA" w14:textId="77777777" w:rsidR="00D72F49" w:rsidRDefault="008C7CBF" w:rsidP="00E90D93">
            <w:pPr>
              <w:spacing w:after="120"/>
              <w:rPr>
                <w:szCs w:val="24"/>
              </w:rPr>
            </w:pPr>
            <w:r w:rsidRPr="00123729">
              <w:rPr>
                <w:szCs w:val="24"/>
              </w:rPr>
              <w:t>Dans les limites du budget alloué pour 2024-2025.</w:t>
            </w:r>
          </w:p>
          <w:p w14:paraId="06132FBC" w14:textId="77777777" w:rsidR="00E90D93" w:rsidRPr="00123729" w:rsidRDefault="00E90D93" w:rsidP="00E90D93">
            <w:pPr>
              <w:rPr>
                <w:b/>
                <w:bCs/>
                <w:sz w:val="26"/>
                <w:szCs w:val="26"/>
              </w:rPr>
            </w:pPr>
            <w:r w:rsidRPr="00123729">
              <w:rPr>
                <w:b/>
                <w:bCs/>
                <w:sz w:val="26"/>
                <w:szCs w:val="26"/>
              </w:rPr>
              <w:t>Références</w:t>
            </w:r>
          </w:p>
          <w:p w14:paraId="08CB92C9" w14:textId="291AE49D" w:rsidR="00E90D93" w:rsidRPr="00E90D93" w:rsidRDefault="00E90D93" w:rsidP="00E90D93">
            <w:pPr>
              <w:spacing w:after="120"/>
              <w:rPr>
                <w:sz w:val="22"/>
                <w:szCs w:val="22"/>
              </w:rPr>
            </w:pPr>
            <w:hyperlink r:id="rId7" w:history="1">
              <w:r w:rsidRPr="00E90D93">
                <w:rPr>
                  <w:rStyle w:val="Hyperlink"/>
                  <w:i/>
                  <w:iCs/>
                  <w:sz w:val="22"/>
                  <w:szCs w:val="22"/>
                </w:rPr>
                <w:t>Décision 5 (Rév. Bucarest, 2022)</w:t>
              </w:r>
            </w:hyperlink>
            <w:r w:rsidRPr="00E90D93">
              <w:rPr>
                <w:i/>
                <w:iCs/>
                <w:sz w:val="22"/>
                <w:szCs w:val="22"/>
              </w:rPr>
              <w:t xml:space="preserve"> et </w:t>
            </w:r>
            <w:hyperlink r:id="rId8" w:history="1">
              <w:r w:rsidRPr="00E90D93">
                <w:rPr>
                  <w:rStyle w:val="Hyperlink"/>
                  <w:i/>
                  <w:iCs/>
                  <w:sz w:val="22"/>
                  <w:szCs w:val="22"/>
                </w:rPr>
                <w:t>Résolution 167 (Rév. Bucarest, 2022)</w:t>
              </w:r>
            </w:hyperlink>
            <w:r w:rsidRPr="00E90D93">
              <w:rPr>
                <w:i/>
                <w:iCs/>
                <w:sz w:val="22"/>
                <w:szCs w:val="22"/>
              </w:rPr>
              <w:t xml:space="preserve"> de la Conférence de plénipotentiaires; Document </w:t>
            </w:r>
            <w:hyperlink r:id="rId9" w:history="1">
              <w:r w:rsidRPr="00E90D93">
                <w:rPr>
                  <w:rStyle w:val="Hyperlink"/>
                  <w:i/>
                  <w:iCs/>
                  <w:sz w:val="22"/>
                  <w:szCs w:val="22"/>
                </w:rPr>
                <w:t>CWG-FHR-17/INF/4</w:t>
              </w:r>
            </w:hyperlink>
            <w:r w:rsidRPr="00E90D93">
              <w:rPr>
                <w:i/>
                <w:iCs/>
                <w:sz w:val="22"/>
                <w:szCs w:val="22"/>
              </w:rPr>
              <w:t xml:space="preserve">; </w:t>
            </w:r>
            <w:hyperlink r:id="rId10" w:history="1">
              <w:r w:rsidRPr="00E90D93">
                <w:rPr>
                  <w:rStyle w:val="Hyperlink"/>
                  <w:i/>
                  <w:iCs/>
                  <w:sz w:val="22"/>
                  <w:szCs w:val="22"/>
                </w:rPr>
                <w:t>C24/INF/7</w:t>
              </w:r>
            </w:hyperlink>
          </w:p>
        </w:tc>
      </w:tr>
    </w:tbl>
    <w:p w14:paraId="2D642009" w14:textId="3D19FAF7" w:rsidR="0056270B" w:rsidRPr="00123729" w:rsidRDefault="0056270B">
      <w:pPr>
        <w:tabs>
          <w:tab w:val="clear" w:pos="567"/>
          <w:tab w:val="clear" w:pos="1134"/>
          <w:tab w:val="clear" w:pos="1701"/>
          <w:tab w:val="clear" w:pos="2268"/>
          <w:tab w:val="clear" w:pos="2835"/>
        </w:tabs>
        <w:overflowPunct/>
        <w:autoSpaceDE/>
        <w:autoSpaceDN/>
        <w:adjustRightInd/>
        <w:spacing w:before="0"/>
        <w:textAlignment w:val="auto"/>
      </w:pPr>
      <w:r w:rsidRPr="00123729">
        <w:br w:type="page"/>
      </w:r>
    </w:p>
    <w:p w14:paraId="27B58731" w14:textId="77777777" w:rsidR="0050014B" w:rsidRPr="00123729" w:rsidRDefault="0050014B" w:rsidP="0050014B">
      <w:pPr>
        <w:pStyle w:val="Headingb"/>
      </w:pPr>
      <w:r w:rsidRPr="00123729">
        <w:lastRenderedPageBreak/>
        <w:t>Introduction</w:t>
      </w:r>
    </w:p>
    <w:p w14:paraId="7A10252F" w14:textId="40A0D3F2" w:rsidR="0050014B" w:rsidRPr="00123729" w:rsidRDefault="0050014B" w:rsidP="0050014B">
      <w:r w:rsidRPr="00123729">
        <w:t>On trouvera dans le présent document un rapport sur le statut et le rôle des participants aux réunions physiques avec participation à distance et aux réunions entièrement virtuelles dans l</w:t>
      </w:r>
      <w:r w:rsidR="00931BAA" w:rsidRPr="00123729">
        <w:t>'</w:t>
      </w:r>
      <w:r w:rsidRPr="00123729">
        <w:t>ensemble de l</w:t>
      </w:r>
      <w:r w:rsidR="00931BAA" w:rsidRPr="00123729">
        <w:t>'</w:t>
      </w:r>
      <w:r w:rsidRPr="00123729">
        <w:t>UIT. Ce document porte sur toutes les réunions des Secteurs et du Secrétariat général, et ses dispositions ne sont pas contraires aux cadres réglementaires et aux méthodes de travail existants des Secteurs.</w:t>
      </w:r>
    </w:p>
    <w:p w14:paraId="586F79BA" w14:textId="6EDF8293" w:rsidR="0050014B" w:rsidRPr="00123729" w:rsidRDefault="0050014B" w:rsidP="0050014B">
      <w:pPr>
        <w:pStyle w:val="Heading1"/>
      </w:pPr>
      <w:r w:rsidRPr="00123729">
        <w:t>1</w:t>
      </w:r>
      <w:r w:rsidRPr="00123729">
        <w:tab/>
        <w:t>Catégories de réunions</w:t>
      </w:r>
    </w:p>
    <w:p w14:paraId="479DC5F0" w14:textId="708480DF" w:rsidR="0050014B" w:rsidRPr="00123729" w:rsidRDefault="0050014B" w:rsidP="0050014B">
      <w:r w:rsidRPr="00123729">
        <w:t>À l</w:t>
      </w:r>
      <w:r w:rsidR="00931BAA" w:rsidRPr="00123729">
        <w:t>'</w:t>
      </w:r>
      <w:r w:rsidRPr="00123729">
        <w:t>heure actuelle, les manifestations de l</w:t>
      </w:r>
      <w:r w:rsidR="00931BAA" w:rsidRPr="00123729">
        <w:t>'</w:t>
      </w:r>
      <w:r w:rsidRPr="00123729">
        <w:t>UIT comportent des séances relevant de l</w:t>
      </w:r>
      <w:r w:rsidR="00931BAA" w:rsidRPr="00123729">
        <w:t>'</w:t>
      </w:r>
      <w:r w:rsidRPr="00123729">
        <w:t>une des</w:t>
      </w:r>
      <w:r w:rsidR="00931BAA" w:rsidRPr="00123729">
        <w:t> </w:t>
      </w:r>
      <w:r w:rsidRPr="00123729">
        <w:t>trois catégories suivantes:</w:t>
      </w:r>
    </w:p>
    <w:p w14:paraId="0ABF5B36" w14:textId="7F944DAE" w:rsidR="0050014B" w:rsidRPr="00123729" w:rsidRDefault="0050014B" w:rsidP="0050014B">
      <w:pPr>
        <w:pStyle w:val="enumlev1"/>
      </w:pPr>
      <w:r w:rsidRPr="00123729">
        <w:t>a)</w:t>
      </w:r>
      <w:r w:rsidRPr="00123729">
        <w:tab/>
      </w:r>
      <w:r w:rsidRPr="00123729">
        <w:rPr>
          <w:b/>
          <w:bCs/>
        </w:rPr>
        <w:t>Réunion en présentiel</w:t>
      </w:r>
      <w:r w:rsidRPr="00123729">
        <w:t>: tous les participants sont présents physiquement dans la salle de réunion.</w:t>
      </w:r>
    </w:p>
    <w:p w14:paraId="6A1AE3FB" w14:textId="7585879B" w:rsidR="0050014B" w:rsidRPr="00123729" w:rsidRDefault="0050014B" w:rsidP="0050014B">
      <w:pPr>
        <w:pStyle w:val="enumlev1"/>
      </w:pPr>
      <w:r w:rsidRPr="00123729">
        <w:t>b)</w:t>
      </w:r>
      <w:r w:rsidRPr="00123729">
        <w:tab/>
      </w:r>
      <w:r w:rsidRPr="00123729">
        <w:rPr>
          <w:b/>
          <w:bCs/>
        </w:rPr>
        <w:t>Réunion entièrement virtuelle</w:t>
      </w:r>
      <w:r w:rsidRPr="00123729">
        <w:t>: tous les participants assistent à la réunion à distance depuis leurs emplacements respectifs, au moyen d</w:t>
      </w:r>
      <w:r w:rsidR="00931BAA" w:rsidRPr="00123729">
        <w:t>'</w:t>
      </w:r>
      <w:r w:rsidRPr="00123729">
        <w:t>une plate-forme de conférence sur le web.</w:t>
      </w:r>
    </w:p>
    <w:p w14:paraId="24A90B52" w14:textId="0DFA1E2A" w:rsidR="0050014B" w:rsidRPr="00123729" w:rsidRDefault="0050014B" w:rsidP="0050014B">
      <w:pPr>
        <w:pStyle w:val="enumlev1"/>
      </w:pPr>
      <w:r w:rsidRPr="00123729">
        <w:t>c)</w:t>
      </w:r>
      <w:r w:rsidRPr="00123729">
        <w:tab/>
      </w:r>
      <w:r w:rsidRPr="00123729">
        <w:rPr>
          <w:b/>
          <w:bCs/>
        </w:rPr>
        <w:t>Réunion en présentiel avec participation à distance (intervention)</w:t>
      </w:r>
      <w:r w:rsidRPr="00123729">
        <w:t>: la salle de réunion physique est connectée à une plate-forme de conférence sur le web. Les participants peuvent être présents sur place, dans la salle de réunion, ou participer activement au moyen d</w:t>
      </w:r>
      <w:r w:rsidR="00931BAA" w:rsidRPr="00123729">
        <w:t>'</w:t>
      </w:r>
      <w:r w:rsidRPr="00123729">
        <w:t>une plate-forme de conférence sur le web</w:t>
      </w:r>
      <w:r w:rsidRPr="00123729">
        <w:rPr>
          <w:rStyle w:val="FootnoteReference"/>
        </w:rPr>
        <w:footnoteReference w:id="1"/>
      </w:r>
      <w:r w:rsidRPr="00123729">
        <w:t>.</w:t>
      </w:r>
    </w:p>
    <w:p w14:paraId="04241B4A" w14:textId="502B1BB6" w:rsidR="0050014B" w:rsidRPr="00123729" w:rsidRDefault="0050014B" w:rsidP="0050014B">
      <w:pPr>
        <w:pStyle w:val="Heading1"/>
      </w:pPr>
      <w:r w:rsidRPr="00123729">
        <w:t>2</w:t>
      </w:r>
      <w:r w:rsidRPr="00123729">
        <w:tab/>
        <w:t>Statut des participants à distance aux réunions physiques avec participation à distance</w:t>
      </w:r>
    </w:p>
    <w:p w14:paraId="783798D5" w14:textId="725BA099" w:rsidR="0050014B" w:rsidRPr="00123729" w:rsidRDefault="0050014B" w:rsidP="0050014B">
      <w:r w:rsidRPr="00123729">
        <w:t xml:space="preserve">La Résolution 167 (Rév. Bucarest, 2022) de la Conférence de plénipotentiaires, intitulée </w:t>
      </w:r>
      <w:r w:rsidR="007E017C" w:rsidRPr="00123729">
        <w:t>"</w:t>
      </w:r>
      <w:r w:rsidRPr="00123729">
        <w:t>Renforcement et développement des capacités de l</w:t>
      </w:r>
      <w:r w:rsidR="00931BAA" w:rsidRPr="00123729">
        <w:t>'</w:t>
      </w:r>
      <w:r w:rsidRPr="00123729">
        <w:t>UIT pour les réunions électroniques et des moyens permettant de faire avancer les travaux de l</w:t>
      </w:r>
      <w:r w:rsidR="00931BAA" w:rsidRPr="00123729">
        <w:t>'</w:t>
      </w:r>
      <w:r w:rsidRPr="00123729">
        <w:t>Union</w:t>
      </w:r>
      <w:r w:rsidR="007E017C" w:rsidRPr="00123729">
        <w:t>"</w:t>
      </w:r>
      <w:r w:rsidRPr="00123729">
        <w:t>, souligne l</w:t>
      </w:r>
      <w:r w:rsidR="00931BAA" w:rsidRPr="00123729">
        <w:t>'</w:t>
      </w:r>
      <w:r w:rsidRPr="00123729">
        <w:t>importance de la participation à distance pour une participation diversifiée et inclusive, en particulier celle des femmes, et en définit le cadre juridique. La Constitution, la Convention et les Règles générales ne contiennent pas de dispositions particulières concernant la participation à distance.</w:t>
      </w:r>
    </w:p>
    <w:p w14:paraId="07EF1101" w14:textId="44C144F5" w:rsidR="0050014B" w:rsidRPr="00123729" w:rsidRDefault="0050014B" w:rsidP="0050014B">
      <w:r w:rsidRPr="00123729">
        <w:t xml:space="preserve">Plus spécifiquement, la Résolution 167, au point </w:t>
      </w:r>
      <w:r w:rsidRPr="00123729">
        <w:rPr>
          <w:i/>
          <w:iCs/>
        </w:rPr>
        <w:t>e)</w:t>
      </w:r>
      <w:r w:rsidRPr="00123729">
        <w:t xml:space="preserve"> du </w:t>
      </w:r>
      <w:r w:rsidRPr="00123729">
        <w:rPr>
          <w:i/>
          <w:iCs/>
        </w:rPr>
        <w:t>reconnaissant</w:t>
      </w:r>
      <w:r w:rsidRPr="00123729">
        <w:t>, indique qu</w:t>
      </w:r>
      <w:r w:rsidR="00931BAA" w:rsidRPr="00123729">
        <w:t>'</w:t>
      </w:r>
      <w:r w:rsidRPr="00123729">
        <w:t>à l</w:t>
      </w:r>
      <w:r w:rsidR="00931BAA" w:rsidRPr="00123729">
        <w:t>'</w:t>
      </w:r>
      <w:r w:rsidRPr="00123729">
        <w:t>heure actuelle, la participation à distance interactive (IRP) prend davantage la forme d</w:t>
      </w:r>
      <w:r w:rsidR="00931BAA" w:rsidRPr="00123729">
        <w:t>'</w:t>
      </w:r>
      <w:r w:rsidRPr="00123729">
        <w:t>une "intervention à distance" que d</w:t>
      </w:r>
      <w:r w:rsidR="00931BAA" w:rsidRPr="00123729">
        <w:t>'</w:t>
      </w:r>
      <w:r w:rsidRPr="00123729">
        <w:t>une "participation à distance", dans la mesure où un participant à distance ne peut prendre part aux décisions. Ce paragraphe a fait l</w:t>
      </w:r>
      <w:r w:rsidR="00931BAA" w:rsidRPr="00123729">
        <w:t>'</w:t>
      </w:r>
      <w:r w:rsidRPr="00123729">
        <w:t>objet d</w:t>
      </w:r>
      <w:r w:rsidR="00931BAA" w:rsidRPr="00123729">
        <w:t>'</w:t>
      </w:r>
      <w:r w:rsidRPr="00123729">
        <w:t>un débat approfondi lors de la dernière Conférence de plénipotentiaires, à l</w:t>
      </w:r>
      <w:r w:rsidR="00931BAA" w:rsidRPr="00123729">
        <w:t>'</w:t>
      </w:r>
      <w:r w:rsidRPr="00123729">
        <w:t>issue de laquelle il a été décidé de le maintenir tel quel, sans modification. Malgré cette prise de conscience accrue, la décision de conserver le libellé actuel indique que le législateur a délibérément décidé de maintenir le statu quo au moins jusqu</w:t>
      </w:r>
      <w:r w:rsidR="00931BAA" w:rsidRPr="00123729">
        <w:t>'</w:t>
      </w:r>
      <w:r w:rsidRPr="00123729">
        <w:t>à la prochaine Conférence de plénipotentiaires. En conséquence, par le choix à la Conférence de plénipotentiaires de ne pas étendre le champ d</w:t>
      </w:r>
      <w:r w:rsidR="00931BAA" w:rsidRPr="00123729">
        <w:t>'</w:t>
      </w:r>
      <w:r w:rsidRPr="00123729">
        <w:t>application de la participation à distance à la prise de décisions, une distinction a été effectivement établie entre "l</w:t>
      </w:r>
      <w:r w:rsidR="00931BAA" w:rsidRPr="00123729">
        <w:t>'</w:t>
      </w:r>
      <w:r w:rsidRPr="00123729">
        <w:t xml:space="preserve">intervention à distance", qui désigne la </w:t>
      </w:r>
      <w:r w:rsidRPr="00123729">
        <w:lastRenderedPageBreak/>
        <w:t>possibilité pour les participants à distance de contribuer aux débats, et la véritable "participation à distance", qui impliquerait un éventail plus large de droits de participation pouvant couvrir la capacité de décision, qui n</w:t>
      </w:r>
      <w:r w:rsidR="00931BAA" w:rsidRPr="00123729">
        <w:t>'</w:t>
      </w:r>
      <w:r w:rsidRPr="00123729">
        <w:t>est actuellement pas permise.</w:t>
      </w:r>
    </w:p>
    <w:p w14:paraId="796BFCF2" w14:textId="7463C16B" w:rsidR="0050014B" w:rsidRPr="00123729" w:rsidRDefault="0050014B" w:rsidP="0050014B">
      <w:r w:rsidRPr="00123729">
        <w:t xml:space="preserve">Compte tenu de ce qui précède, et conformément aux contributions sollicitées précédemment auprès du </w:t>
      </w:r>
      <w:r w:rsidR="00192DC9" w:rsidRPr="00123729">
        <w:t>S</w:t>
      </w:r>
      <w:r w:rsidRPr="00123729">
        <w:t>ecrétariat</w:t>
      </w:r>
      <w:r w:rsidRPr="00123729">
        <w:rPr>
          <w:rStyle w:val="FootnoteReference"/>
        </w:rPr>
        <w:footnoteReference w:id="2"/>
      </w:r>
      <w:r w:rsidRPr="00123729">
        <w:t xml:space="preserve"> sur cette question, les observations suivantes peuvent être formulées concernant le rôle des participants à distance dans les réunions physiques où la participation à distance est autorisée:</w:t>
      </w:r>
    </w:p>
    <w:p w14:paraId="3ED3C8D9" w14:textId="2CD03D0D" w:rsidR="0050014B" w:rsidRPr="00123729" w:rsidRDefault="0050014B" w:rsidP="00051E16">
      <w:pPr>
        <w:pStyle w:val="enumlev1"/>
      </w:pPr>
      <w:r w:rsidRPr="00123729">
        <w:t>a</w:t>
      </w:r>
      <w:r w:rsidR="00051E16" w:rsidRPr="00123729">
        <w:t>)</w:t>
      </w:r>
      <w:r w:rsidRPr="00123729">
        <w:tab/>
        <w:t>Les participants à distance ne jouissent pas des mêmes droits de participation au cours des réunions physiques avec participation à distance que les participants sur place.</w:t>
      </w:r>
    </w:p>
    <w:p w14:paraId="5DCD0D43" w14:textId="3EDFBFE0" w:rsidR="0050014B" w:rsidRPr="00123729" w:rsidRDefault="0050014B" w:rsidP="00051E16">
      <w:pPr>
        <w:pStyle w:val="enumlev1"/>
      </w:pPr>
      <w:r w:rsidRPr="00123729">
        <w:t>b</w:t>
      </w:r>
      <w:r w:rsidR="00051E16" w:rsidRPr="00123729">
        <w:t>)</w:t>
      </w:r>
      <w:r w:rsidRPr="00123729">
        <w:tab/>
        <w:t>Les participants à distance peuvent participer à des discussions et à des débats dans le cadre du processus de recherche d</w:t>
      </w:r>
      <w:r w:rsidR="00931BAA" w:rsidRPr="00123729">
        <w:t>'</w:t>
      </w:r>
      <w:r w:rsidRPr="00123729">
        <w:t>un consensus.</w:t>
      </w:r>
    </w:p>
    <w:p w14:paraId="1E82BAC7" w14:textId="6A5ED9C2" w:rsidR="0050014B" w:rsidRPr="00123729" w:rsidRDefault="0050014B" w:rsidP="00051E16">
      <w:pPr>
        <w:pStyle w:val="enumlev1"/>
      </w:pPr>
      <w:r w:rsidRPr="00123729">
        <w:t>c</w:t>
      </w:r>
      <w:r w:rsidR="00051E16" w:rsidRPr="00123729">
        <w:t>)</w:t>
      </w:r>
      <w:r w:rsidRPr="00123729">
        <w:tab/>
        <w:t>Les participants à distance ne peuvent pas prendre part au processus de prise de décision. Cela signifie que:</w:t>
      </w:r>
    </w:p>
    <w:p w14:paraId="18442C4D" w14:textId="6A50AA82" w:rsidR="0050014B" w:rsidRPr="00123729" w:rsidRDefault="0050014B" w:rsidP="00051E16">
      <w:pPr>
        <w:pStyle w:val="enumlev2"/>
      </w:pPr>
      <w:r w:rsidRPr="00123729">
        <w:t>i</w:t>
      </w:r>
      <w:r w:rsidR="00051E16" w:rsidRPr="00123729">
        <w:t>)</w:t>
      </w:r>
      <w:r w:rsidRPr="00123729">
        <w:tab/>
      </w:r>
      <w:r w:rsidR="00D24233" w:rsidRPr="00123729">
        <w:t>l</w:t>
      </w:r>
      <w:r w:rsidRPr="00123729">
        <w:t>es participants à distance n</w:t>
      </w:r>
      <w:r w:rsidR="00931BAA" w:rsidRPr="00123729">
        <w:t>'</w:t>
      </w:r>
      <w:r w:rsidRPr="00123729">
        <w:t>ont pas le droit de vote et ne sont pas pris en considération dans le calcul du quorum (voir les numéros 93 et 115 des Règles générales)</w:t>
      </w:r>
      <w:r w:rsidR="00D24233" w:rsidRPr="00123729">
        <w:t>;</w:t>
      </w:r>
    </w:p>
    <w:p w14:paraId="0A644ECE" w14:textId="22BBF0E3" w:rsidR="0050014B" w:rsidRPr="00123729" w:rsidRDefault="0050014B" w:rsidP="00051E16">
      <w:pPr>
        <w:pStyle w:val="enumlev2"/>
      </w:pPr>
      <w:r w:rsidRPr="00123729">
        <w:t>ii</w:t>
      </w:r>
      <w:r w:rsidR="00051E16" w:rsidRPr="00123729">
        <w:t>)</w:t>
      </w:r>
      <w:r w:rsidRPr="00123729">
        <w:tab/>
      </w:r>
      <w:r w:rsidR="00D24233" w:rsidRPr="00123729">
        <w:t>u</w:t>
      </w:r>
      <w:r w:rsidRPr="00123729">
        <w:t>ne décision peut être prise par consensus parmi les participants physiquement présents, même si les participants à distance ne sont pas d</w:t>
      </w:r>
      <w:r w:rsidR="00931BAA" w:rsidRPr="00123729">
        <w:t>'</w:t>
      </w:r>
      <w:r w:rsidRPr="00123729">
        <w:t>accord</w:t>
      </w:r>
      <w:r w:rsidR="00D24233" w:rsidRPr="00123729">
        <w:t>;</w:t>
      </w:r>
    </w:p>
    <w:p w14:paraId="452FFD97" w14:textId="04A4C597" w:rsidR="0050014B" w:rsidRPr="00123729" w:rsidRDefault="0050014B" w:rsidP="00051E16">
      <w:pPr>
        <w:pStyle w:val="enumlev2"/>
      </w:pPr>
      <w:r w:rsidRPr="00123729">
        <w:t>iii</w:t>
      </w:r>
      <w:r w:rsidR="00051E16" w:rsidRPr="00123729">
        <w:t>)</w:t>
      </w:r>
      <w:r w:rsidRPr="00123729">
        <w:tab/>
      </w:r>
      <w:r w:rsidR="00D24233" w:rsidRPr="00123729">
        <w:t>l</w:t>
      </w:r>
      <w:r w:rsidRPr="00123729">
        <w:t>es participants à distance ne peuvent pas soulever de points ni de motions d</w:t>
      </w:r>
      <w:r w:rsidR="00931BAA" w:rsidRPr="00123729">
        <w:t>'</w:t>
      </w:r>
      <w:r w:rsidRPr="00123729">
        <w:t>ordre.</w:t>
      </w:r>
    </w:p>
    <w:p w14:paraId="5D207201" w14:textId="0634B326" w:rsidR="0050014B" w:rsidRPr="00123729" w:rsidRDefault="0050014B" w:rsidP="00051E16">
      <w:pPr>
        <w:pStyle w:val="enumlev1"/>
      </w:pPr>
      <w:r w:rsidRPr="00123729">
        <w:t>d</w:t>
      </w:r>
      <w:r w:rsidR="00051E16" w:rsidRPr="00123729">
        <w:t>)</w:t>
      </w:r>
      <w:r w:rsidRPr="00123729">
        <w:tab/>
      </w:r>
      <w:r w:rsidR="00051E16" w:rsidRPr="00123729">
        <w:t>Étant</w:t>
      </w:r>
      <w:r w:rsidRPr="00123729">
        <w:t xml:space="preserve"> donné que le président d</w:t>
      </w:r>
      <w:r w:rsidR="00931BAA" w:rsidRPr="00123729">
        <w:t>'</w:t>
      </w:r>
      <w:r w:rsidRPr="00123729">
        <w:t>une réunion est chargé de conduire les débats, de faire appliquer les règles de procédure, de mettre les questions aux voix (voir le numéro</w:t>
      </w:r>
      <w:r w:rsidR="00931BAA" w:rsidRPr="00123729">
        <w:t> </w:t>
      </w:r>
      <w:r w:rsidRPr="00123729">
        <w:t>59 des Règles générales), ainsi que d</w:t>
      </w:r>
      <w:r w:rsidR="00931BAA" w:rsidRPr="00123729">
        <w:t>'</w:t>
      </w:r>
      <w:r w:rsidRPr="00123729">
        <w:t>exercer ses fonctions en dehors des réunions officielles, il serait raisonnable d</w:t>
      </w:r>
      <w:r w:rsidR="00931BAA" w:rsidRPr="00123729">
        <w:t>'</w:t>
      </w:r>
      <w:r w:rsidRPr="00123729">
        <w:t>exiger la présence physique d</w:t>
      </w:r>
      <w:r w:rsidR="00931BAA" w:rsidRPr="00123729">
        <w:t>'</w:t>
      </w:r>
      <w:r w:rsidRPr="00123729">
        <w:t>un président à toute réunion physique, y compris aux réunions avec participation à distance. En corollaire, il serait également souhaitable que les vice-présidents soient physiquement présents, étant donné qu</w:t>
      </w:r>
      <w:r w:rsidR="00931BAA" w:rsidRPr="00123729">
        <w:t>'</w:t>
      </w:r>
      <w:r w:rsidRPr="00123729">
        <w:t>ils peuvent être appelés à remplacer le président en cas d</w:t>
      </w:r>
      <w:r w:rsidR="00931BAA" w:rsidRPr="00123729">
        <w:t>'</w:t>
      </w:r>
      <w:r w:rsidRPr="00123729">
        <w:t>indisponibilité de celui-ci, ou à présider des sous-commissions ou des groupes ad</w:t>
      </w:r>
      <w:r w:rsidR="00D24233" w:rsidRPr="00123729">
        <w:t> </w:t>
      </w:r>
      <w:r w:rsidRPr="00123729">
        <w:t>hoc.</w:t>
      </w:r>
    </w:p>
    <w:p w14:paraId="40C27CA3" w14:textId="7DD578EE" w:rsidR="0050014B" w:rsidRPr="00123729" w:rsidRDefault="0050014B" w:rsidP="00D24233">
      <w:pPr>
        <w:pStyle w:val="Heading1"/>
      </w:pPr>
      <w:r w:rsidRPr="00123729">
        <w:t>3</w:t>
      </w:r>
      <w:r w:rsidRPr="00123729">
        <w:tab/>
        <w:t>Statut des participants aux réunions entièrement virtuelles</w:t>
      </w:r>
    </w:p>
    <w:p w14:paraId="00343EC1" w14:textId="73127B49" w:rsidR="0050014B" w:rsidRPr="00123729" w:rsidRDefault="0050014B" w:rsidP="0050014B">
      <w:r w:rsidRPr="00123729">
        <w:t>Depuis la PP-22, les réunions entièrement virtuelles sont expressément reconnues et acceptées comme forme de réunion dans le cadre réglementaire de l</w:t>
      </w:r>
      <w:r w:rsidR="00931BAA" w:rsidRPr="00123729">
        <w:t>'</w:t>
      </w:r>
      <w:r w:rsidRPr="00123729">
        <w:t>UIT (voir la Décision 5, la Résolution 25 et la Résolution 167). En particulier, la Résolution 167 (Rév. Bucarest, 2022) de la Conférence de plénipotentiaires de l</w:t>
      </w:r>
      <w:r w:rsidR="00931BAA" w:rsidRPr="00123729">
        <w:t>'</w:t>
      </w:r>
      <w:r w:rsidRPr="00123729">
        <w:t>UIT donne à l</w:t>
      </w:r>
      <w:r w:rsidR="00931BAA" w:rsidRPr="00123729">
        <w:t>'</w:t>
      </w:r>
      <w:r w:rsidRPr="00123729">
        <w:t>Union le mandat exhaustif de développer et de renforcer ses capacités d</w:t>
      </w:r>
      <w:r w:rsidR="00931BAA" w:rsidRPr="00123729">
        <w:t>'</w:t>
      </w:r>
      <w:r w:rsidRPr="00123729">
        <w:t xml:space="preserve">organisation et de conduite de réunions entièrement virtuelles. Néanmoins, compte tenu de la décision prise par la Conférence de plénipotentiaires de laisser tel quel le point </w:t>
      </w:r>
      <w:r w:rsidRPr="00123729">
        <w:rPr>
          <w:i/>
          <w:iCs/>
        </w:rPr>
        <w:t>e)</w:t>
      </w:r>
      <w:r w:rsidRPr="00123729">
        <w:t xml:space="preserve"> du </w:t>
      </w:r>
      <w:r w:rsidRPr="00123729">
        <w:rPr>
          <w:i/>
          <w:iCs/>
        </w:rPr>
        <w:t>reconnaissant</w:t>
      </w:r>
      <w:r w:rsidRPr="00123729">
        <w:t xml:space="preserve"> de la Résolution 167, le développement et le renforcement des réunions entièrement virtuelles à l</w:t>
      </w:r>
      <w:r w:rsidR="00931BAA" w:rsidRPr="00123729">
        <w:t>'</w:t>
      </w:r>
      <w:r w:rsidRPr="00123729">
        <w:t>UIT doivent s</w:t>
      </w:r>
      <w:r w:rsidR="00931BAA" w:rsidRPr="00123729">
        <w:t>'</w:t>
      </w:r>
      <w:r w:rsidRPr="00123729">
        <w:t>inscrire dans les limites fixées par le paragraphe susmentionné.</w:t>
      </w:r>
    </w:p>
    <w:p w14:paraId="6F5814CD" w14:textId="5F2A291D" w:rsidR="0050014B" w:rsidRPr="00123729" w:rsidRDefault="0050014B" w:rsidP="0050014B">
      <w:r w:rsidRPr="00123729">
        <w:lastRenderedPageBreak/>
        <w:t>Bien qu</w:t>
      </w:r>
      <w:r w:rsidR="00931BAA" w:rsidRPr="00123729">
        <w:t>'</w:t>
      </w:r>
      <w:r w:rsidRPr="00123729">
        <w:t xml:space="preserve">une interprétation littérale du point </w:t>
      </w:r>
      <w:r w:rsidRPr="00123729">
        <w:rPr>
          <w:i/>
          <w:iCs/>
        </w:rPr>
        <w:t>e)</w:t>
      </w:r>
      <w:r w:rsidRPr="00123729">
        <w:t xml:space="preserve"> du </w:t>
      </w:r>
      <w:r w:rsidRPr="00123729">
        <w:rPr>
          <w:i/>
          <w:iCs/>
        </w:rPr>
        <w:t>reconnaissant</w:t>
      </w:r>
      <w:r w:rsidRPr="00123729">
        <w:t xml:space="preserve"> suggère que les réunions virtuelles ne peuvent aboutir à aucune décision (étant donné qu</w:t>
      </w:r>
      <w:r w:rsidR="00931BAA" w:rsidRPr="00123729">
        <w:t>'</w:t>
      </w:r>
      <w:r w:rsidRPr="00123729">
        <w:t>aucun participant à une réunion entièrement virtuelle ne peut prendre de décision, car ils sont tous considérés comme des participants "à distance" aux fins de la Résolution 167), l</w:t>
      </w:r>
      <w:r w:rsidR="00931BAA" w:rsidRPr="00123729">
        <w:t>'</w:t>
      </w:r>
      <w:r w:rsidRPr="00123729">
        <w:t>expérience acquise par</w:t>
      </w:r>
      <w:r w:rsidR="007C0D6A" w:rsidRPr="00123729">
        <w:t> </w:t>
      </w:r>
      <w:r w:rsidRPr="00123729">
        <w:t>l</w:t>
      </w:r>
      <w:r w:rsidR="00931BAA" w:rsidRPr="00123729">
        <w:t>'</w:t>
      </w:r>
      <w:r w:rsidRPr="00123729">
        <w:t>UIT pendant la pandémie de COVID-19 et les objectifs de cette Résolution plaideraient en faveur d</w:t>
      </w:r>
      <w:r w:rsidR="00931BAA" w:rsidRPr="00123729">
        <w:t>'</w:t>
      </w:r>
      <w:r w:rsidRPr="00123729">
        <w:t>une interprétation plus souple. Plus précisément, l</w:t>
      </w:r>
      <w:r w:rsidR="00931BAA" w:rsidRPr="00123729">
        <w:t>'</w:t>
      </w:r>
      <w:r w:rsidRPr="00123729">
        <w:t>acceptation par les membres de</w:t>
      </w:r>
      <w:r w:rsidR="007C0D6A" w:rsidRPr="00123729">
        <w:t> </w:t>
      </w:r>
      <w:r w:rsidRPr="00123729">
        <w:t>l</w:t>
      </w:r>
      <w:r w:rsidR="00931BAA" w:rsidRPr="00123729">
        <w:t>'</w:t>
      </w:r>
      <w:r w:rsidRPr="00123729">
        <w:t>UIT de décisions prises par consensus dans le cadre de réunions entièrement virtuelles pendant la pandémie a abouti sur le plan légal à des résultats qui font désormais partie du mode opératoire de l</w:t>
      </w:r>
      <w:r w:rsidR="00931BAA" w:rsidRPr="00123729">
        <w:t>'</w:t>
      </w:r>
      <w:r w:rsidRPr="00123729">
        <w:t>UIT. Cette pratique témoigne d</w:t>
      </w:r>
      <w:r w:rsidR="00931BAA" w:rsidRPr="00123729">
        <w:t>'</w:t>
      </w:r>
      <w:r w:rsidRPr="00123729">
        <w:t>une compréhension et d</w:t>
      </w:r>
      <w:r w:rsidR="00931BAA" w:rsidRPr="00123729">
        <w:t>'</w:t>
      </w:r>
      <w:r w:rsidRPr="00123729">
        <w:t>une acceptation collectives du fait que, dans le contexte de réunions entièrement virtuelles, le consensus entre les participants est une forme légitime de prise de décision au sein de l</w:t>
      </w:r>
      <w:r w:rsidR="00931BAA" w:rsidRPr="00123729">
        <w:t>'</w:t>
      </w:r>
      <w:r w:rsidRPr="00123729">
        <w:t>Union. En outre, le fait que l</w:t>
      </w:r>
      <w:r w:rsidR="00931BAA" w:rsidRPr="00123729">
        <w:t>'</w:t>
      </w:r>
      <w:r w:rsidRPr="00123729">
        <w:t>organe suprême de l</w:t>
      </w:r>
      <w:r w:rsidR="00931BAA" w:rsidRPr="00123729">
        <w:t>'</w:t>
      </w:r>
      <w:r w:rsidRPr="00123729">
        <w:t>UIT, la Conférence de plénipotentiaires, n</w:t>
      </w:r>
      <w:r w:rsidR="00931BAA" w:rsidRPr="00123729">
        <w:t>'</w:t>
      </w:r>
      <w:r w:rsidRPr="00123729">
        <w:t>a pas remis cette pratique en question en septembre 2022 pourrait être perçu comme la validation de la légalité et de la reconnaissance de décisions prises par consensus lors de réunions virtuelles, non seulement pour le passé, mais aussi pour l</w:t>
      </w:r>
      <w:r w:rsidR="00931BAA" w:rsidRPr="00123729">
        <w:t>'</w:t>
      </w:r>
      <w:r w:rsidRPr="00123729">
        <w:t>avenir.</w:t>
      </w:r>
    </w:p>
    <w:p w14:paraId="21230080" w14:textId="77777777" w:rsidR="0050014B" w:rsidRPr="00123729" w:rsidRDefault="0050014B" w:rsidP="0050014B">
      <w:r w:rsidRPr="00123729">
        <w:t>Compte tenu de ce qui précède, on peut formuler les observations suivantes concernant le rôle des participants dans les réunions entièrement virtuelles:</w:t>
      </w:r>
    </w:p>
    <w:p w14:paraId="56D6F24F" w14:textId="6D506039" w:rsidR="0050014B" w:rsidRPr="00123729" w:rsidRDefault="0050014B" w:rsidP="0053485F">
      <w:pPr>
        <w:pStyle w:val="enumlev1"/>
      </w:pPr>
      <w:r w:rsidRPr="00123729">
        <w:t>a</w:t>
      </w:r>
      <w:r w:rsidR="0053485F" w:rsidRPr="00123729">
        <w:t>)</w:t>
      </w:r>
      <w:r w:rsidRPr="00123729">
        <w:tab/>
        <w:t>Les participants aux réunions entièrement virtuelles peuvent participer à des discussions et à des débats dans le cadre du processus de recherche d</w:t>
      </w:r>
      <w:r w:rsidR="00931BAA" w:rsidRPr="00123729">
        <w:t>'</w:t>
      </w:r>
      <w:r w:rsidRPr="00123729">
        <w:t>un consensus.</w:t>
      </w:r>
    </w:p>
    <w:p w14:paraId="0F1AA94D" w14:textId="0E8C908E" w:rsidR="0050014B" w:rsidRPr="00123729" w:rsidRDefault="0050014B" w:rsidP="0053485F">
      <w:pPr>
        <w:pStyle w:val="enumlev1"/>
      </w:pPr>
      <w:r w:rsidRPr="00123729">
        <w:t>b</w:t>
      </w:r>
      <w:r w:rsidR="0053485F" w:rsidRPr="00123729">
        <w:t>)</w:t>
      </w:r>
      <w:r w:rsidRPr="00123729">
        <w:tab/>
        <w:t>Les décisions dans le cadre de réunions entièrement virtuelles ne peuvent être prises que par consensus. S</w:t>
      </w:r>
      <w:r w:rsidR="00931BAA" w:rsidRPr="00123729">
        <w:t>'</w:t>
      </w:r>
      <w:r w:rsidRPr="00123729">
        <w:t>il n</w:t>
      </w:r>
      <w:r w:rsidR="00931BAA" w:rsidRPr="00123729">
        <w:t>'</w:t>
      </w:r>
      <w:r w:rsidRPr="00123729">
        <w:t>est pas possible de parvenir à un consensus lors de la réunion, toute question devra être réexaminée ultérieurement.</w:t>
      </w:r>
    </w:p>
    <w:p w14:paraId="0CDDB855" w14:textId="2259AD61" w:rsidR="0050014B" w:rsidRPr="00123729" w:rsidRDefault="0050014B" w:rsidP="0053485F">
      <w:pPr>
        <w:pStyle w:val="enumlev1"/>
      </w:pPr>
      <w:r w:rsidRPr="00123729">
        <w:t>c</w:t>
      </w:r>
      <w:r w:rsidR="0053485F" w:rsidRPr="00123729">
        <w:t>)</w:t>
      </w:r>
      <w:r w:rsidRPr="00123729">
        <w:tab/>
      </w:r>
      <w:r w:rsidR="00EC69A3" w:rsidRPr="00123729">
        <w:t>Étant</w:t>
      </w:r>
      <w:r w:rsidRPr="00123729">
        <w:t xml:space="preserve"> donné qu</w:t>
      </w:r>
      <w:r w:rsidR="00931BAA" w:rsidRPr="00123729">
        <w:t>'</w:t>
      </w:r>
      <w:r w:rsidRPr="00123729">
        <w:t>une réunion entièrement virtuelle ne saurait se dérouler en un lieu donné, il est logique que tous les participants concernés, y compris ceux qui occupent des fonctions de direction comme les présidents et vice-présidents, participent à distance à la réunion.</w:t>
      </w:r>
    </w:p>
    <w:p w14:paraId="30F541B0" w14:textId="1D4BAD1F" w:rsidR="0050014B" w:rsidRPr="00123729" w:rsidRDefault="0050014B" w:rsidP="0053485F">
      <w:pPr>
        <w:pStyle w:val="enumlev1"/>
      </w:pPr>
      <w:r w:rsidRPr="00123729">
        <w:t>d</w:t>
      </w:r>
      <w:r w:rsidR="0053485F" w:rsidRPr="00123729">
        <w:t>)</w:t>
      </w:r>
      <w:r w:rsidRPr="00123729">
        <w:tab/>
        <w:t>La pratique établie de l</w:t>
      </w:r>
      <w:r w:rsidR="00931BAA" w:rsidRPr="00123729">
        <w:t>'</w:t>
      </w:r>
      <w:r w:rsidRPr="00123729">
        <w:t>UIT selon laquelle les réunions entièrement virtuelles fonctionnent par consensus témoigne d</w:t>
      </w:r>
      <w:r w:rsidR="00931BAA" w:rsidRPr="00123729">
        <w:t>'</w:t>
      </w:r>
      <w:r w:rsidRPr="00123729">
        <w:t>une certaine compréhension des contraintes réglementaires actuelles concernant la prise de décisions. Dans un tel environnement, les outils de procédure que sont les points d</w:t>
      </w:r>
      <w:r w:rsidR="00931BAA" w:rsidRPr="00123729">
        <w:t>'</w:t>
      </w:r>
      <w:r w:rsidRPr="00123729">
        <w:t>ordre ou les motions d</w:t>
      </w:r>
      <w:r w:rsidR="00931BAA" w:rsidRPr="00123729">
        <w:t>'</w:t>
      </w:r>
      <w:r w:rsidRPr="00123729">
        <w:t>ordre ne devraient pas être utilisés, car l</w:t>
      </w:r>
      <w:r w:rsidR="00931BAA" w:rsidRPr="00123729">
        <w:t>'</w:t>
      </w:r>
      <w:r w:rsidRPr="00123729">
        <w:t>objectif reste d</w:t>
      </w:r>
      <w:r w:rsidR="00931BAA" w:rsidRPr="00123729">
        <w:t>'</w:t>
      </w:r>
      <w:r w:rsidRPr="00123729">
        <w:t>arrêter une décision par consensus plutôt que par vote.</w:t>
      </w:r>
    </w:p>
    <w:p w14:paraId="4BE5C83D" w14:textId="34BE0225" w:rsidR="0050014B" w:rsidRPr="00123729" w:rsidRDefault="0050014B" w:rsidP="004A2BE5">
      <w:pPr>
        <w:pStyle w:val="Heading1"/>
      </w:pPr>
      <w:r w:rsidRPr="00123729">
        <w:t>4</w:t>
      </w:r>
      <w:r w:rsidRPr="00123729">
        <w:tab/>
        <w:t>Responsabilité de déterminer les modalités des conférences habilitées à conclure des traités, des conférences/assemblées des Secteurs et du Conseil</w:t>
      </w:r>
    </w:p>
    <w:p w14:paraId="493FBB0E" w14:textId="597401CC" w:rsidR="0050014B" w:rsidRPr="00123729" w:rsidRDefault="0050014B" w:rsidP="0050014B">
      <w:r w:rsidRPr="00123729">
        <w:t>On relève un manque perceptible de clarté dans le cadre réglementaire existant en ce qui concerne l</w:t>
      </w:r>
      <w:r w:rsidR="00931BAA" w:rsidRPr="00123729">
        <w:t>'</w:t>
      </w:r>
      <w:r w:rsidRPr="00123729">
        <w:t>autorité chargée de définir les modalités (physique, physique avec participation à distance ou entièrement virtuelle) d</w:t>
      </w:r>
      <w:r w:rsidR="00931BAA" w:rsidRPr="00123729">
        <w:t>'</w:t>
      </w:r>
      <w:r w:rsidRPr="00123729">
        <w:t>une manifestation ou d</w:t>
      </w:r>
      <w:r w:rsidR="00931BAA" w:rsidRPr="00123729">
        <w:t>'</w:t>
      </w:r>
      <w:r w:rsidRPr="00123729">
        <w:t>une réunion donnée. S</w:t>
      </w:r>
      <w:r w:rsidR="00931BAA" w:rsidRPr="00123729">
        <w:t>'</w:t>
      </w:r>
      <w:r w:rsidRPr="00123729">
        <w:t>agissant des conférences habilitées à conclure des traités, des conférences ou assemblées des Secteurs ainsi que du Conseil, qui nécessitent des travaux préparatoires conséquents et une importante coordination logistique tant pour le Secrétariat que pour les membres et qui ont des incidences financières pour le pays hôte, il semblerait approprié de mettre formellement en place un processus de prise de décision à cet effet. Si la conférence ou l</w:t>
      </w:r>
      <w:r w:rsidR="00931BAA" w:rsidRPr="00123729">
        <w:t>'</w:t>
      </w:r>
      <w:r w:rsidRPr="00123729">
        <w:t xml:space="preserve">assemblée </w:t>
      </w:r>
      <w:r w:rsidRPr="00123729">
        <w:lastRenderedPageBreak/>
        <w:t>elle</w:t>
      </w:r>
      <w:r w:rsidR="003457D7" w:rsidRPr="00123729">
        <w:noBreakHyphen/>
      </w:r>
      <w:r w:rsidRPr="00123729">
        <w:t>même semble être à même de prendre de telles décisions, le long délai nécessaire pour s</w:t>
      </w:r>
      <w:r w:rsidR="00931BAA" w:rsidRPr="00123729">
        <w:t>'</w:t>
      </w:r>
      <w:r w:rsidRPr="00123729">
        <w:t>y préparer de manière adéquate donne à penser qu</w:t>
      </w:r>
      <w:r w:rsidR="00931BAA" w:rsidRPr="00123729">
        <w:t>'</w:t>
      </w:r>
      <w:r w:rsidRPr="00123729">
        <w:t>il vaudrait mieux, pour plus d</w:t>
      </w:r>
      <w:r w:rsidR="00931BAA" w:rsidRPr="00123729">
        <w:t>'</w:t>
      </w:r>
      <w:r w:rsidRPr="00123729">
        <w:t>efficacité et de commodité, que ces décisions soient prises bien à l</w:t>
      </w:r>
      <w:r w:rsidR="00931BAA" w:rsidRPr="00123729">
        <w:t>'</w:t>
      </w:r>
      <w:r w:rsidRPr="00123729">
        <w:t>avance. À ce titre, il serait raisonnable que le Conseil de l</w:t>
      </w:r>
      <w:r w:rsidR="00931BAA" w:rsidRPr="00123729">
        <w:t>'</w:t>
      </w:r>
      <w:r w:rsidRPr="00123729">
        <w:t>UIT assume cette responsabilité pour toutes les conférences, assemblées et sessions du Conseil à compter de 2025, compte tenu de son rôle de gouvernance et de sa capacité à répondre de manière dynamique à l</w:t>
      </w:r>
      <w:r w:rsidR="00931BAA" w:rsidRPr="00123729">
        <w:t>'</w:t>
      </w:r>
      <w:r w:rsidRPr="00123729">
        <w:t>évolution des besoins des manifestations de haut niveau de l</w:t>
      </w:r>
      <w:r w:rsidR="00931BAA" w:rsidRPr="00123729">
        <w:t>'</w:t>
      </w:r>
      <w:r w:rsidRPr="00123729">
        <w:t>Union.</w:t>
      </w:r>
    </w:p>
    <w:p w14:paraId="2CF7DB55" w14:textId="10456EEE" w:rsidR="0050014B" w:rsidRPr="00123729" w:rsidRDefault="004A2BE5" w:rsidP="004A2BE5">
      <w:pPr>
        <w:pStyle w:val="Heading1"/>
      </w:pPr>
      <w:r w:rsidRPr="00123729">
        <w:t>5</w:t>
      </w:r>
      <w:r w:rsidR="0050014B" w:rsidRPr="00123729">
        <w:tab/>
        <w:t>Consultation sur les pratiques actuelles dans d</w:t>
      </w:r>
      <w:r w:rsidR="00931BAA" w:rsidRPr="00123729">
        <w:t>'</w:t>
      </w:r>
      <w:r w:rsidR="0050014B" w:rsidRPr="00123729">
        <w:t>autres organisations du système des Nations Unies</w:t>
      </w:r>
    </w:p>
    <w:p w14:paraId="4BC104A0" w14:textId="43F9737B" w:rsidR="006A11AE" w:rsidRPr="00123729" w:rsidRDefault="006143FA" w:rsidP="0050014B">
      <w:r w:rsidRPr="00123729">
        <w:t>À</w:t>
      </w:r>
      <w:r w:rsidR="0050014B" w:rsidRPr="00123729">
        <w:t xml:space="preserve"> la demande du Groupe de travail du Conseil sur les ressources financières et les ressources humaines, le Secrétariat a consulté d</w:t>
      </w:r>
      <w:r w:rsidR="00931BAA" w:rsidRPr="00123729">
        <w:t>'</w:t>
      </w:r>
      <w:r w:rsidR="0050014B" w:rsidRPr="00123729">
        <w:t xml:space="preserve">autres organisations du système des Nations Unies au sujet de la façon dont les droits des participants à distance étaient considérés en matière de prise de décisions ou lors de réunions dont les décisions sont juridiquement contraignantes. Les résultats de cette consultation sont présentés dans le Document </w:t>
      </w:r>
      <w:hyperlink r:id="rId11" w:history="1">
        <w:r w:rsidR="0050014B" w:rsidRPr="00123729">
          <w:rPr>
            <w:rStyle w:val="Hyperlink"/>
          </w:rPr>
          <w:t>C24/INF/7</w:t>
        </w:r>
      </w:hyperlink>
      <w:r w:rsidR="0050014B" w:rsidRPr="00123729">
        <w:t>.</w:t>
      </w:r>
    </w:p>
    <w:p w14:paraId="66983290" w14:textId="77777777" w:rsidR="00897553" w:rsidRPr="00123729" w:rsidRDefault="006A11AE" w:rsidP="006A11AE">
      <w:pPr>
        <w:jc w:val="center"/>
      </w:pPr>
      <w:r w:rsidRPr="00123729">
        <w:t>______________</w:t>
      </w:r>
    </w:p>
    <w:sectPr w:rsidR="00897553" w:rsidRPr="00123729" w:rsidSect="00D72F4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E4A4" w14:textId="77777777" w:rsidR="00D95B09" w:rsidRDefault="00D95B09">
      <w:r>
        <w:separator/>
      </w:r>
    </w:p>
  </w:endnote>
  <w:endnote w:type="continuationSeparator" w:id="0">
    <w:p w14:paraId="4F0CDA0E" w14:textId="77777777" w:rsidR="00D95B09" w:rsidRDefault="00D9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DAA0" w14:textId="5C829288" w:rsidR="00732045" w:rsidRDefault="00123729">
    <w:pPr>
      <w:pStyle w:val="Footer"/>
    </w:pPr>
    <w:fldSimple w:instr=" FILENAME \p \* MERGEFORMAT ">
      <w:r w:rsidR="00E4428F">
        <w:t>Document4</w:t>
      </w:r>
    </w:fldSimple>
    <w:r w:rsidR="00732045">
      <w:tab/>
    </w:r>
    <w:r w:rsidR="002F1B76">
      <w:fldChar w:fldCharType="begin"/>
    </w:r>
    <w:r w:rsidR="00732045">
      <w:instrText xml:space="preserve"> savedate \@ dd.MM.yy </w:instrText>
    </w:r>
    <w:r w:rsidR="002F1B76">
      <w:fldChar w:fldCharType="separate"/>
    </w:r>
    <w:r w:rsidR="00E90D93">
      <w:t>20.05.24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DC1C69F" w14:textId="77777777" w:rsidTr="00E31DCE">
      <w:trPr>
        <w:jc w:val="center"/>
      </w:trPr>
      <w:tc>
        <w:tcPr>
          <w:tcW w:w="1803" w:type="dxa"/>
          <w:vAlign w:val="center"/>
        </w:tcPr>
        <w:p w14:paraId="7BB3D5FE" w14:textId="71871B5C" w:rsidR="00A51849" w:rsidRDefault="00A51849" w:rsidP="00A51849">
          <w:pPr>
            <w:pStyle w:val="Header"/>
            <w:jc w:val="left"/>
            <w:rPr>
              <w:noProof/>
            </w:rPr>
          </w:pPr>
        </w:p>
      </w:tc>
      <w:tc>
        <w:tcPr>
          <w:tcW w:w="8261" w:type="dxa"/>
        </w:tcPr>
        <w:p w14:paraId="3D255F32" w14:textId="33E8F03B"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8C7CBF">
            <w:rPr>
              <w:bCs/>
            </w:rPr>
            <w:t>61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DEDAA36" w14:textId="19B99B7A"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95A9BF4" w14:textId="77777777" w:rsidTr="00E31DCE">
      <w:trPr>
        <w:jc w:val="center"/>
      </w:trPr>
      <w:tc>
        <w:tcPr>
          <w:tcW w:w="1803" w:type="dxa"/>
          <w:vAlign w:val="center"/>
        </w:tcPr>
        <w:p w14:paraId="38212C80" w14:textId="77777777" w:rsidR="00A51849" w:rsidRPr="0082299A" w:rsidRDefault="00E90D93"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6BB4FCFE" w14:textId="63842ABF"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8C7CBF">
            <w:rPr>
              <w:bCs/>
            </w:rPr>
            <w:t>61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41DA6E6" w14:textId="6DD088F2"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211F" w14:textId="77777777" w:rsidR="00D95B09" w:rsidRDefault="00D95B09">
      <w:r>
        <w:t>____________________</w:t>
      </w:r>
    </w:p>
  </w:footnote>
  <w:footnote w:type="continuationSeparator" w:id="0">
    <w:p w14:paraId="62D9CF88" w14:textId="77777777" w:rsidR="00D95B09" w:rsidRDefault="00D95B09">
      <w:r>
        <w:continuationSeparator/>
      </w:r>
    </w:p>
  </w:footnote>
  <w:footnote w:id="1">
    <w:p w14:paraId="234FF7AA" w14:textId="20A7B3D3" w:rsidR="0050014B" w:rsidRDefault="0050014B">
      <w:pPr>
        <w:pStyle w:val="FootnoteText"/>
      </w:pPr>
      <w:r>
        <w:rPr>
          <w:rStyle w:val="FootnoteReference"/>
        </w:rPr>
        <w:footnoteRef/>
      </w:r>
      <w:r>
        <w:tab/>
      </w:r>
      <w:r w:rsidRPr="00E90D93">
        <w:rPr>
          <w:sz w:val="20"/>
        </w:rPr>
        <w:t>Pour plus de clarté, la diffusion sur le web n</w:t>
      </w:r>
      <w:r w:rsidR="00931BAA" w:rsidRPr="00E90D93">
        <w:rPr>
          <w:sz w:val="20"/>
        </w:rPr>
        <w:t>'</w:t>
      </w:r>
      <w:r w:rsidRPr="00E90D93">
        <w:rPr>
          <w:sz w:val="20"/>
        </w:rPr>
        <w:t>est pas incluse dans cette catégorie.</w:t>
      </w:r>
    </w:p>
  </w:footnote>
  <w:footnote w:id="2">
    <w:p w14:paraId="2CAEA650" w14:textId="11FB6CB1" w:rsidR="0050014B" w:rsidRDefault="0050014B">
      <w:pPr>
        <w:pStyle w:val="FootnoteText"/>
      </w:pPr>
      <w:r>
        <w:rPr>
          <w:rStyle w:val="FootnoteReference"/>
        </w:rPr>
        <w:footnoteRef/>
      </w:r>
      <w:r>
        <w:tab/>
      </w:r>
      <w:hyperlink r:id="rId1" w:history="1">
        <w:r w:rsidRPr="00E90D93">
          <w:rPr>
            <w:rStyle w:val="Hyperlink"/>
            <w:sz w:val="20"/>
          </w:rPr>
          <w:t>Contribution 64 du Secrétaire général à la Conférence de plénipotentiaires "Rapport d</w:t>
        </w:r>
        <w:r w:rsidR="00931BAA" w:rsidRPr="00E90D93">
          <w:rPr>
            <w:rStyle w:val="Hyperlink"/>
            <w:sz w:val="20"/>
          </w:rPr>
          <w:t>'</w:t>
        </w:r>
        <w:r w:rsidRPr="00E90D93">
          <w:rPr>
            <w:rStyle w:val="Hyperlink"/>
            <w:sz w:val="20"/>
          </w:rPr>
          <w:t>activité sur la mise en œuvre de la Résolution 167 (Rév. Dubaï, 2018)"</w:t>
        </w:r>
      </w:hyperlink>
      <w:r w:rsidR="00051E16" w:rsidRPr="00E90D93">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88E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2A9430"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612A" w14:textId="77777777" w:rsidR="00123729" w:rsidRDefault="0012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4CE58FC6" w14:textId="77777777" w:rsidTr="00E31DCE">
      <w:trPr>
        <w:trHeight w:val="1104"/>
        <w:jc w:val="center"/>
      </w:trPr>
      <w:tc>
        <w:tcPr>
          <w:tcW w:w="4390" w:type="dxa"/>
          <w:vAlign w:val="center"/>
        </w:tcPr>
        <w:p w14:paraId="2ACD138B" w14:textId="77777777"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561D40B7" wp14:editId="3B48959B">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18738D05" w14:textId="77777777" w:rsidR="00A51849" w:rsidRDefault="00A51849" w:rsidP="00A51849">
          <w:pPr>
            <w:pStyle w:val="Header"/>
            <w:jc w:val="right"/>
            <w:rPr>
              <w:rFonts w:ascii="Arial" w:hAnsi="Arial" w:cs="Arial"/>
              <w:b/>
              <w:bCs/>
              <w:color w:val="009CD6"/>
              <w:szCs w:val="18"/>
            </w:rPr>
          </w:pPr>
        </w:p>
        <w:p w14:paraId="23F5C445" w14:textId="77777777" w:rsidR="00A51849" w:rsidRDefault="00A51849" w:rsidP="00A51849">
          <w:pPr>
            <w:pStyle w:val="Header"/>
            <w:jc w:val="right"/>
            <w:rPr>
              <w:rFonts w:ascii="Arial" w:hAnsi="Arial" w:cs="Arial"/>
              <w:b/>
              <w:bCs/>
              <w:color w:val="009CD6"/>
              <w:szCs w:val="18"/>
            </w:rPr>
          </w:pPr>
        </w:p>
        <w:p w14:paraId="26776189"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1DC971F4"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AA02F13" wp14:editId="1E3AEEF4">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C72B5"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51E16"/>
    <w:rsid w:val="00076A2C"/>
    <w:rsid w:val="000D0D0A"/>
    <w:rsid w:val="00103163"/>
    <w:rsid w:val="00106B19"/>
    <w:rsid w:val="001133EF"/>
    <w:rsid w:val="00115D93"/>
    <w:rsid w:val="00123729"/>
    <w:rsid w:val="001247A8"/>
    <w:rsid w:val="001378C0"/>
    <w:rsid w:val="0018694A"/>
    <w:rsid w:val="00192DC9"/>
    <w:rsid w:val="001A3287"/>
    <w:rsid w:val="001A6508"/>
    <w:rsid w:val="001D4C31"/>
    <w:rsid w:val="001E4D21"/>
    <w:rsid w:val="00207CD1"/>
    <w:rsid w:val="00226657"/>
    <w:rsid w:val="002477A2"/>
    <w:rsid w:val="00263A51"/>
    <w:rsid w:val="00267E02"/>
    <w:rsid w:val="002A5D44"/>
    <w:rsid w:val="002E0BC4"/>
    <w:rsid w:val="002F1B76"/>
    <w:rsid w:val="0033568E"/>
    <w:rsid w:val="003457D7"/>
    <w:rsid w:val="00355FF5"/>
    <w:rsid w:val="00361350"/>
    <w:rsid w:val="0039318E"/>
    <w:rsid w:val="003C3FAE"/>
    <w:rsid w:val="004038CB"/>
    <w:rsid w:val="0040546F"/>
    <w:rsid w:val="0042404A"/>
    <w:rsid w:val="0044618F"/>
    <w:rsid w:val="0046769A"/>
    <w:rsid w:val="00475FB3"/>
    <w:rsid w:val="004A2BE5"/>
    <w:rsid w:val="004C37A9"/>
    <w:rsid w:val="004D1D50"/>
    <w:rsid w:val="004F259E"/>
    <w:rsid w:val="0050014B"/>
    <w:rsid w:val="00511F1D"/>
    <w:rsid w:val="00520F36"/>
    <w:rsid w:val="0053485F"/>
    <w:rsid w:val="00534E13"/>
    <w:rsid w:val="00540615"/>
    <w:rsid w:val="00540A6D"/>
    <w:rsid w:val="0056270B"/>
    <w:rsid w:val="00566679"/>
    <w:rsid w:val="00571EEA"/>
    <w:rsid w:val="00575417"/>
    <w:rsid w:val="005768E1"/>
    <w:rsid w:val="005B1938"/>
    <w:rsid w:val="005C3890"/>
    <w:rsid w:val="005F7BFE"/>
    <w:rsid w:val="00600017"/>
    <w:rsid w:val="006143FA"/>
    <w:rsid w:val="006235CA"/>
    <w:rsid w:val="00644370"/>
    <w:rsid w:val="006643AB"/>
    <w:rsid w:val="006A11AE"/>
    <w:rsid w:val="006F0A53"/>
    <w:rsid w:val="007210CD"/>
    <w:rsid w:val="00732045"/>
    <w:rsid w:val="0073275D"/>
    <w:rsid w:val="007369DB"/>
    <w:rsid w:val="007956C2"/>
    <w:rsid w:val="007A187E"/>
    <w:rsid w:val="007C0D6A"/>
    <w:rsid w:val="007C72C2"/>
    <w:rsid w:val="007D4436"/>
    <w:rsid w:val="007E017C"/>
    <w:rsid w:val="007F257A"/>
    <w:rsid w:val="007F3665"/>
    <w:rsid w:val="00800037"/>
    <w:rsid w:val="0082299A"/>
    <w:rsid w:val="0083391C"/>
    <w:rsid w:val="00861D73"/>
    <w:rsid w:val="00897553"/>
    <w:rsid w:val="008A4E87"/>
    <w:rsid w:val="008C7CBF"/>
    <w:rsid w:val="008D76E6"/>
    <w:rsid w:val="0092392D"/>
    <w:rsid w:val="00931BAA"/>
    <w:rsid w:val="0093234A"/>
    <w:rsid w:val="00956A78"/>
    <w:rsid w:val="0097363B"/>
    <w:rsid w:val="00973F53"/>
    <w:rsid w:val="009A6BAA"/>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B309F9"/>
    <w:rsid w:val="00B32B60"/>
    <w:rsid w:val="00B61619"/>
    <w:rsid w:val="00BB4545"/>
    <w:rsid w:val="00BC6C76"/>
    <w:rsid w:val="00BD5873"/>
    <w:rsid w:val="00BF4B60"/>
    <w:rsid w:val="00C04BE3"/>
    <w:rsid w:val="00C25D29"/>
    <w:rsid w:val="00C27A7C"/>
    <w:rsid w:val="00C329A6"/>
    <w:rsid w:val="00C42437"/>
    <w:rsid w:val="00CA08ED"/>
    <w:rsid w:val="00CF183B"/>
    <w:rsid w:val="00D24233"/>
    <w:rsid w:val="00D375CD"/>
    <w:rsid w:val="00D553A2"/>
    <w:rsid w:val="00D72F49"/>
    <w:rsid w:val="00D774D3"/>
    <w:rsid w:val="00D904E8"/>
    <w:rsid w:val="00D95B09"/>
    <w:rsid w:val="00DA08C3"/>
    <w:rsid w:val="00DB5A3E"/>
    <w:rsid w:val="00DC22AA"/>
    <w:rsid w:val="00DF74DD"/>
    <w:rsid w:val="00E25AD0"/>
    <w:rsid w:val="00E4428F"/>
    <w:rsid w:val="00E90D93"/>
    <w:rsid w:val="00E93668"/>
    <w:rsid w:val="00E95647"/>
    <w:rsid w:val="00EB6350"/>
    <w:rsid w:val="00EC69A3"/>
    <w:rsid w:val="00F15B57"/>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094EC"/>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8C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s/opb/conf/S-CONF-ACTF-2022-PDF-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dms_pub/itu-s/opb/conf/S-CONF-ACTF-2022-PDF-F.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4-CL-INF-0007/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S24-CL-INF-0007/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4-CWGFHR17-INF-0004/f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2-PP-C-0064/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DAEA5-FF01-4385-9E67-E1CDB37D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12617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French</dc:creator>
  <cp:keywords>C2024, C24, Council-24</cp:keywords>
  <dc:description/>
  <cp:lastModifiedBy>Brouard, Ricarda</cp:lastModifiedBy>
  <cp:revision>2</cp:revision>
  <cp:lastPrinted>2000-07-18T08:55:00Z</cp:lastPrinted>
  <dcterms:created xsi:type="dcterms:W3CDTF">2024-05-24T12:05:00Z</dcterms:created>
  <dcterms:modified xsi:type="dcterms:W3CDTF">2024-05-24T12:05:00Z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