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D6F7C" w14:paraId="0043AC80" w14:textId="77777777" w:rsidTr="63F88ABB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4A5CF1A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>
              <w:rPr>
                <w:b/>
              </w:rPr>
              <w:t xml:space="preserve">Agenda item: </w:t>
            </w:r>
            <w:r w:rsidR="00CD13F4">
              <w:rPr>
                <w:b/>
              </w:rPr>
              <w:t>PL 3</w:t>
            </w:r>
          </w:p>
        </w:tc>
        <w:tc>
          <w:tcPr>
            <w:tcW w:w="5245" w:type="dxa"/>
          </w:tcPr>
          <w:p w14:paraId="309D383C" w14:textId="64B44CBD" w:rsidR="000D6F7C" w:rsidRPr="00B16530" w:rsidRDefault="000D6F7C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16530">
              <w:rPr>
                <w:b/>
              </w:rPr>
              <w:t>Revision 1 to</w:t>
            </w:r>
          </w:p>
          <w:p w14:paraId="291AB2A2" w14:textId="4D682D43" w:rsidR="00AD3606" w:rsidRPr="00B16530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16530">
              <w:rPr>
                <w:b/>
              </w:rPr>
              <w:t>Document C2</w:t>
            </w:r>
            <w:r w:rsidR="00E23618" w:rsidRPr="00B16530">
              <w:rPr>
                <w:b/>
              </w:rPr>
              <w:t>4</w:t>
            </w:r>
            <w:r w:rsidRPr="00B16530">
              <w:rPr>
                <w:b/>
              </w:rPr>
              <w:t>/</w:t>
            </w:r>
            <w:r w:rsidR="00222BA3" w:rsidRPr="00B16530">
              <w:rPr>
                <w:b/>
              </w:rPr>
              <w:t>59</w:t>
            </w:r>
            <w:r w:rsidRPr="00B16530">
              <w:rPr>
                <w:b/>
              </w:rPr>
              <w:t>-E</w:t>
            </w:r>
          </w:p>
        </w:tc>
      </w:tr>
      <w:tr w:rsidR="00AD3606" w:rsidRPr="00813E5E" w14:paraId="789B45BA" w14:textId="77777777" w:rsidTr="63F88ABB">
        <w:trPr>
          <w:cantSplit/>
        </w:trPr>
        <w:tc>
          <w:tcPr>
            <w:tcW w:w="3969" w:type="dxa"/>
            <w:vMerge/>
          </w:tcPr>
          <w:p w14:paraId="3F3D4E17" w14:textId="77777777" w:rsidR="00AD3606" w:rsidRPr="00B1653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CBBDE7D" w:rsidR="00AD3606" w:rsidRPr="00E85629" w:rsidRDefault="000D6F7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June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63F88ABB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63F88ABB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63F88AB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63F88AB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54ED50FE" w:rsidR="00AD3606" w:rsidRPr="00DA5470" w:rsidRDefault="00746854" w:rsidP="006850BE">
            <w:pPr>
              <w:pStyle w:val="Subtitle1"/>
              <w:framePr w:hSpace="0" w:wrap="auto" w:xAlign="left" w:yAlign="inline"/>
              <w:rPr>
                <w:sz w:val="34"/>
                <w:szCs w:val="34"/>
              </w:rPr>
            </w:pPr>
            <w:bookmarkStart w:id="9" w:name="_Hlk162261402"/>
            <w:bookmarkStart w:id="10" w:name="dtitle1"/>
            <w:bookmarkEnd w:id="8"/>
            <w:r w:rsidRPr="55EB39E0">
              <w:rPr>
                <w:sz w:val="34"/>
                <w:szCs w:val="34"/>
              </w:rPr>
              <w:t>PREPARATION OF THE ITU</w:t>
            </w:r>
            <w:r w:rsidR="00342668" w:rsidRPr="55EB39E0">
              <w:rPr>
                <w:sz w:val="34"/>
                <w:szCs w:val="34"/>
              </w:rPr>
              <w:t xml:space="preserve"> STRATEGIC AND FINANCIAL PLANS FOR 2028-2031</w:t>
            </w:r>
            <w:bookmarkEnd w:id="9"/>
          </w:p>
        </w:tc>
      </w:tr>
      <w:tr w:rsidR="00AD3606" w:rsidRPr="00813E5E" w14:paraId="1F564D2D" w14:textId="77777777" w:rsidTr="63F88AB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690E585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4FAFABF7" w:rsidR="00AD3606" w:rsidRPr="006D7709" w:rsidRDefault="00B26968" w:rsidP="00CD13F4">
            <w:pPr>
              <w:jc w:val="both"/>
              <w:rPr>
                <w:szCs w:val="24"/>
              </w:rPr>
            </w:pPr>
            <w:r w:rsidRPr="006D7709">
              <w:rPr>
                <w:color w:val="000000"/>
                <w:szCs w:val="24"/>
              </w:rPr>
              <w:t xml:space="preserve">The Council is </w:t>
            </w:r>
            <w:r w:rsidR="00480DF2" w:rsidRPr="006D7709">
              <w:rPr>
                <w:color w:val="000000"/>
                <w:szCs w:val="24"/>
              </w:rPr>
              <w:t xml:space="preserve">required to </w:t>
            </w:r>
            <w:r w:rsidR="00480DF2" w:rsidRPr="006D7709">
              <w:rPr>
                <w:szCs w:val="24"/>
              </w:rPr>
              <w:t xml:space="preserve">initiate the preparation of a draft new strategic plan for the Union, drawing upon input from Member States, Sector </w:t>
            </w:r>
            <w:r w:rsidR="00AA76CA" w:rsidRPr="006D7709">
              <w:rPr>
                <w:szCs w:val="24"/>
              </w:rPr>
              <w:t>Members,</w:t>
            </w:r>
            <w:r w:rsidR="00480DF2" w:rsidRPr="006D7709">
              <w:rPr>
                <w:szCs w:val="24"/>
              </w:rPr>
              <w:t xml:space="preserve"> and the Sector advisory groups, and produce a coordinated draft new strategic plan at least four months before th</w:t>
            </w:r>
            <w:r w:rsidR="000F54B8" w:rsidRPr="006D7709">
              <w:rPr>
                <w:szCs w:val="24"/>
              </w:rPr>
              <w:t>e</w:t>
            </w:r>
            <w:r w:rsidR="00480DF2" w:rsidRPr="006D7709">
              <w:rPr>
                <w:szCs w:val="24"/>
              </w:rPr>
              <w:t xml:space="preserve"> </w:t>
            </w:r>
            <w:r w:rsidR="000F54B8" w:rsidRPr="006D7709">
              <w:rPr>
                <w:szCs w:val="24"/>
              </w:rPr>
              <w:t xml:space="preserve">next </w:t>
            </w:r>
            <w:r w:rsidR="00480DF2" w:rsidRPr="006D7709">
              <w:rPr>
                <w:szCs w:val="24"/>
              </w:rPr>
              <w:t>plenipotentiary conference</w:t>
            </w:r>
            <w:r w:rsidRPr="006D7709">
              <w:rPr>
                <w:color w:val="000000"/>
                <w:szCs w:val="24"/>
              </w:rPr>
              <w:t>.</w:t>
            </w:r>
          </w:p>
          <w:p w14:paraId="5076D5C4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79F38DAD" w14:textId="53EA547E" w:rsidR="00AD3606" w:rsidRPr="006D7709" w:rsidRDefault="007A58CE" w:rsidP="00CD13F4">
            <w:pPr>
              <w:jc w:val="both"/>
              <w:rPr>
                <w:szCs w:val="24"/>
              </w:rPr>
            </w:pPr>
            <w:r w:rsidRPr="006D7709">
              <w:rPr>
                <w:color w:val="000000"/>
                <w:szCs w:val="24"/>
              </w:rPr>
              <w:t xml:space="preserve">The Council is invited to </w:t>
            </w:r>
            <w:r w:rsidRPr="006D7709">
              <w:rPr>
                <w:b/>
                <w:bCs/>
                <w:color w:val="000000"/>
                <w:szCs w:val="24"/>
              </w:rPr>
              <w:t>adopt</w:t>
            </w:r>
            <w:r w:rsidRPr="006D7709">
              <w:rPr>
                <w:color w:val="000000"/>
                <w:szCs w:val="24"/>
              </w:rPr>
              <w:t xml:space="preserve"> the relevant draft resolution</w:t>
            </w:r>
            <w:r w:rsidR="001C6EA1" w:rsidRPr="006D7709">
              <w:rPr>
                <w:color w:val="000000"/>
                <w:szCs w:val="24"/>
              </w:rPr>
              <w:t>,</w:t>
            </w:r>
            <w:r w:rsidRPr="006D7709">
              <w:rPr>
                <w:color w:val="000000"/>
                <w:szCs w:val="24"/>
              </w:rPr>
              <w:t xml:space="preserve"> introduced in the Annex</w:t>
            </w:r>
            <w:r w:rsidR="001C6EA1" w:rsidRPr="006D7709">
              <w:rPr>
                <w:color w:val="000000"/>
                <w:szCs w:val="24"/>
              </w:rPr>
              <w:t xml:space="preserve">, </w:t>
            </w:r>
            <w:r w:rsidR="005A0670" w:rsidRPr="006D7709">
              <w:rPr>
                <w:color w:val="000000"/>
                <w:szCs w:val="24"/>
              </w:rPr>
              <w:t xml:space="preserve">for </w:t>
            </w:r>
            <w:r w:rsidR="001C6EA1" w:rsidRPr="006D7709">
              <w:rPr>
                <w:color w:val="000000"/>
                <w:szCs w:val="24"/>
              </w:rPr>
              <w:t>the establishment of a Council Working Group for the elaboration of the draft Strategic and Financial Plans for 2028-2031</w:t>
            </w:r>
            <w:r w:rsidRPr="006D7709">
              <w:rPr>
                <w:color w:val="000000"/>
                <w:szCs w:val="24"/>
              </w:rPr>
              <w:t>.</w:t>
            </w:r>
          </w:p>
          <w:p w14:paraId="0F8F1F03" w14:textId="48E6FA4B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11754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1B4B2176" w:rsidR="00F16BAB" w:rsidRPr="00F16BAB" w:rsidRDefault="00957BDE" w:rsidP="00CD13F4">
            <w:pPr>
              <w:jc w:val="both"/>
            </w:pPr>
            <w:r>
              <w:t xml:space="preserve">As required by ITU’s Constitution and Convention, this </w:t>
            </w:r>
            <w:r w:rsidR="00F01F4F">
              <w:t>document initiates the preparation of the Union’s Strategic and Financial Plans for 2028-2031.</w:t>
            </w:r>
          </w:p>
          <w:p w14:paraId="0F9DBA44" w14:textId="77777777" w:rsidR="00CD13F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632C043A" w14:textId="55DDC8E2" w:rsidR="00F16BAB" w:rsidRPr="00E84C14" w:rsidRDefault="3BCFF473" w:rsidP="55EB39E0">
            <w:pPr>
              <w:spacing w:before="160"/>
              <w:rPr>
                <w:highlight w:val="yellow"/>
              </w:rPr>
            </w:pPr>
            <w:r w:rsidRPr="00AC2D40">
              <w:t>18</w:t>
            </w:r>
            <w:r w:rsidR="00AC2D40">
              <w:t> </w:t>
            </w:r>
            <w:r w:rsidRPr="00AC2D40">
              <w:t>000</w:t>
            </w:r>
            <w:r w:rsidR="00AC2D40">
              <w:t> </w:t>
            </w:r>
            <w:r w:rsidRPr="00AC2D40">
              <w:t xml:space="preserve">CHF for </w:t>
            </w:r>
            <w:r w:rsidR="00C42DCE" w:rsidRPr="00AC2D40">
              <w:t xml:space="preserve">a </w:t>
            </w:r>
            <w:r w:rsidRPr="00AC2D40">
              <w:t>one</w:t>
            </w:r>
            <w:r w:rsidR="00C42DCE" w:rsidRPr="00AC2D40">
              <w:t>-</w:t>
            </w:r>
            <w:r w:rsidRPr="00AC2D40">
              <w:t xml:space="preserve">day meeting with interpretation in 2024, to be absorbed </w:t>
            </w:r>
            <w:r w:rsidR="78C92706" w:rsidRPr="00AC2D40">
              <w:t>within the 2024-2025 budget.</w:t>
            </w:r>
            <w:r w:rsidR="00A06B51" w:rsidRPr="00AC2D40">
              <w:t xml:space="preserve"> </w:t>
            </w:r>
            <w:r w:rsidR="003B3576" w:rsidRPr="00AC2D40">
              <w:t>Meetings in 2025</w:t>
            </w:r>
            <w:r w:rsidR="00312434" w:rsidRPr="00AC2D40">
              <w:t xml:space="preserve"> are included in the 2024-2025</w:t>
            </w:r>
            <w:r w:rsidR="000F7554" w:rsidRPr="00AC2D40">
              <w:t xml:space="preserve"> budget.</w:t>
            </w:r>
            <w:r w:rsidR="78C92706" w:rsidRPr="00AC2D40">
              <w:t xml:space="preserve"> </w:t>
            </w:r>
          </w:p>
          <w:p w14:paraId="2AAB18B0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21B466C5" w:rsidR="00AD3606" w:rsidRPr="00AC2D40" w:rsidRDefault="00671E0C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bookmarkStart w:id="11" w:name="_Hlk159578751"/>
            <w:r w:rsidRPr="00AC2D40">
              <w:rPr>
                <w:i/>
                <w:iCs/>
                <w:color w:val="000000"/>
                <w:sz w:val="22"/>
                <w:szCs w:val="22"/>
              </w:rPr>
              <w:t xml:space="preserve">CS </w:t>
            </w:r>
            <w:hyperlink r:id="rId11" w:history="1">
              <w:r w:rsidR="00641F27" w:rsidRPr="00AC2D40">
                <w:rPr>
                  <w:rStyle w:val="Hyperlink"/>
                  <w:i/>
                  <w:iCs/>
                  <w:sz w:val="22"/>
                  <w:szCs w:val="22"/>
                </w:rPr>
                <w:t xml:space="preserve">Art.11 </w:t>
              </w:r>
              <w:r w:rsidRPr="00AC2D40">
                <w:rPr>
                  <w:rStyle w:val="Hyperlink"/>
                  <w:i/>
                  <w:iCs/>
                  <w:sz w:val="22"/>
                  <w:szCs w:val="22"/>
                </w:rPr>
                <w:t>74A</w:t>
              </w:r>
            </w:hyperlink>
            <w:bookmarkEnd w:id="11"/>
            <w:r w:rsidRPr="00AC2D40">
              <w:rPr>
                <w:i/>
                <w:iCs/>
                <w:color w:val="000000"/>
                <w:sz w:val="22"/>
                <w:szCs w:val="22"/>
              </w:rPr>
              <w:t>, CV</w:t>
            </w:r>
            <w:r w:rsidR="004D3FD6" w:rsidRPr="00AC2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4D3FD6" w:rsidRPr="00AC2D40">
                <w:rPr>
                  <w:rStyle w:val="Hyperlink"/>
                  <w:i/>
                  <w:iCs/>
                  <w:sz w:val="22"/>
                  <w:szCs w:val="22"/>
                </w:rPr>
                <w:t xml:space="preserve">Art.4 </w:t>
              </w:r>
              <w:r w:rsidRPr="00AC2D40">
                <w:rPr>
                  <w:rStyle w:val="Hyperlink"/>
                  <w:i/>
                  <w:iCs/>
                  <w:sz w:val="22"/>
                  <w:szCs w:val="22"/>
                </w:rPr>
                <w:t>62A</w:t>
              </w:r>
            </w:hyperlink>
            <w:r w:rsidRPr="00AC2D40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="003A7DE1" w:rsidRPr="00AC2D40">
                <w:rPr>
                  <w:rStyle w:val="Hyperlink"/>
                  <w:i/>
                  <w:iCs/>
                  <w:sz w:val="22"/>
                  <w:szCs w:val="22"/>
                </w:rPr>
                <w:t>Resolution 71</w:t>
              </w:r>
            </w:hyperlink>
            <w:r w:rsidR="003A7DE1" w:rsidRPr="00AC2D40">
              <w:rPr>
                <w:i/>
                <w:iCs/>
                <w:color w:val="000000"/>
                <w:sz w:val="22"/>
                <w:szCs w:val="22"/>
              </w:rPr>
              <w:t xml:space="preserve"> (Rev. Bucharest, 2022), </w:t>
            </w:r>
            <w:hyperlink r:id="rId14" w:history="1">
              <w:r w:rsidR="0007128D" w:rsidRPr="00AC2D40">
                <w:rPr>
                  <w:rStyle w:val="Hyperlink"/>
                  <w:i/>
                  <w:iCs/>
                  <w:sz w:val="22"/>
                  <w:szCs w:val="22"/>
                </w:rPr>
                <w:t>Decision 5</w:t>
              </w:r>
            </w:hyperlink>
            <w:r w:rsidR="0007128D" w:rsidRPr="00AC2D40">
              <w:rPr>
                <w:i/>
                <w:iCs/>
                <w:color w:val="000000"/>
                <w:sz w:val="22"/>
                <w:szCs w:val="22"/>
              </w:rPr>
              <w:t xml:space="preserve"> (Rev. Bucharest</w:t>
            </w:r>
            <w:r w:rsidR="00764424" w:rsidRPr="00AC2D40">
              <w:rPr>
                <w:i/>
                <w:iCs/>
                <w:color w:val="000000"/>
                <w:sz w:val="22"/>
                <w:szCs w:val="22"/>
              </w:rPr>
              <w:t xml:space="preserve">, 2022), </w:t>
            </w:r>
            <w:hyperlink r:id="rId15" w:history="1">
              <w:r w:rsidR="003A7DE1" w:rsidRPr="00AC2D40">
                <w:rPr>
                  <w:rStyle w:val="Hyperlink"/>
                  <w:i/>
                  <w:iCs/>
                  <w:sz w:val="22"/>
                  <w:szCs w:val="22"/>
                </w:rPr>
                <w:t>Decision 11</w:t>
              </w:r>
            </w:hyperlink>
            <w:r w:rsidR="003A7DE1" w:rsidRPr="00AC2D40">
              <w:rPr>
                <w:i/>
                <w:iCs/>
                <w:color w:val="000000"/>
                <w:sz w:val="22"/>
                <w:szCs w:val="22"/>
              </w:rPr>
              <w:t xml:space="preserve"> (Rev. Bucharest, 2022), Council </w:t>
            </w:r>
            <w:hyperlink r:id="rId16" w:history="1">
              <w:r w:rsidR="003A7DE1" w:rsidRPr="00AC2D40">
                <w:rPr>
                  <w:rStyle w:val="Hyperlink"/>
                  <w:i/>
                  <w:iCs/>
                  <w:sz w:val="22"/>
                  <w:szCs w:val="22"/>
                </w:rPr>
                <w:t xml:space="preserve">Resolution </w:t>
              </w:r>
              <w:r w:rsidR="00DB0CCE" w:rsidRPr="00AC2D40">
                <w:rPr>
                  <w:rStyle w:val="Hyperlink"/>
                  <w:i/>
                  <w:iCs/>
                  <w:sz w:val="22"/>
                  <w:szCs w:val="22"/>
                </w:rPr>
                <w:t>1404</w:t>
              </w:r>
            </w:hyperlink>
            <w:r w:rsidR="003A7DE1" w:rsidRPr="00AC2D40">
              <w:rPr>
                <w:i/>
                <w:iCs/>
                <w:color w:val="000000"/>
                <w:sz w:val="22"/>
                <w:szCs w:val="22"/>
              </w:rPr>
              <w:t xml:space="preserve"> (20</w:t>
            </w:r>
            <w:r w:rsidR="00DB0CCE" w:rsidRPr="00AC2D40">
              <w:rPr>
                <w:i/>
                <w:iCs/>
                <w:color w:val="000000"/>
                <w:sz w:val="22"/>
                <w:szCs w:val="22"/>
              </w:rPr>
              <w:t>21</w:t>
            </w:r>
            <w:r w:rsidR="003A7DE1" w:rsidRPr="00AC2D40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14:paraId="4CDB8B60" w14:textId="2A4D9B15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2" w:name="_Hlk133421428"/>
      <w:bookmarkEnd w:id="2"/>
      <w:bookmarkEnd w:id="10"/>
    </w:p>
    <w:p w14:paraId="314019AF" w14:textId="7FD6BC3A" w:rsidR="00CD13F4" w:rsidRDefault="00CD13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bookmarkEnd w:id="3"/>
    <w:bookmarkEnd w:id="4"/>
    <w:p w14:paraId="1C399D89" w14:textId="77777777" w:rsidR="008D5964" w:rsidRPr="00A26D87" w:rsidRDefault="008D5964" w:rsidP="00CD13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b/>
          <w:bCs/>
        </w:rPr>
      </w:pPr>
      <w:r w:rsidRPr="00A26D87">
        <w:rPr>
          <w:b/>
          <w:bCs/>
        </w:rPr>
        <w:lastRenderedPageBreak/>
        <w:t>Background</w:t>
      </w:r>
    </w:p>
    <w:p w14:paraId="3CB3782B" w14:textId="2E38AE2A" w:rsidR="008D5964" w:rsidRDefault="00CD13F4" w:rsidP="00AC2D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>
        <w:t>1.</w:t>
      </w:r>
      <w:r>
        <w:tab/>
      </w:r>
      <w:r w:rsidR="008D5964">
        <w:t>According to the ITU Convention (</w:t>
      </w:r>
      <w:r w:rsidR="00ED1C91">
        <w:t xml:space="preserve">Art. 4, </w:t>
      </w:r>
      <w:r w:rsidR="008D5964">
        <w:t>62A), the Council shall “in the last but one ordinary session of the Council before the next plenipotentiary conference, initiate the preparation of a draft new strategic plan for the Union, drawing upon input from Member States, Sector Members and from the Sector advisory groups, and produce a coordinated draft new strategic plan at least four months before that plenipotentiary conference”.</w:t>
      </w:r>
    </w:p>
    <w:p w14:paraId="47A052DB" w14:textId="14F96388" w:rsidR="00EE3751" w:rsidRDefault="008D5964" w:rsidP="00CD13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</w:pPr>
      <w:r w:rsidRPr="00E84C14">
        <w:t>2.</w:t>
      </w:r>
      <w:r w:rsidR="00CD13F4">
        <w:tab/>
      </w:r>
      <w:r w:rsidR="00BC6438" w:rsidRPr="00E84C14">
        <w:t>According to the ITU Constitution (CS Art.11 74A)</w:t>
      </w:r>
      <w:r w:rsidR="00CA63CC" w:rsidRPr="00E84C14">
        <w:t>, the General Secretariat shall “</w:t>
      </w:r>
      <w:r w:rsidR="00E20E2F" w:rsidRPr="00E84C14">
        <w:t>prepare, with the assistance of the Coordination Committee, and provide to the Member States and Sector Members, such specific information as may be required for the preparation of a report on the policies and strategic plan for the Union, and coordinate the implementation of the plan; this report shall be communicated to the Member States and Sector Members for review during the last two regularly scheduled sessions of the Council before a plenipotentiary conference</w:t>
      </w:r>
      <w:r w:rsidR="00217853" w:rsidRPr="00E84C14">
        <w:t>”.</w:t>
      </w:r>
    </w:p>
    <w:p w14:paraId="7D4B687A" w14:textId="558CCB53" w:rsidR="008D5964" w:rsidRDefault="00EE3751" w:rsidP="00CD13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</w:pPr>
      <w:r>
        <w:t>3</w:t>
      </w:r>
      <w:r w:rsidR="00BC6438">
        <w:t>.</w:t>
      </w:r>
      <w:r w:rsidR="00CD13F4">
        <w:tab/>
      </w:r>
      <w:r w:rsidR="008D5964">
        <w:t>Under the current timetable, the 202</w:t>
      </w:r>
      <w:r w:rsidR="00677141">
        <w:t>5</w:t>
      </w:r>
      <w:r w:rsidR="008D5964">
        <w:t xml:space="preserve"> session of the Council is the “last but one” ordinary session.</w:t>
      </w:r>
    </w:p>
    <w:p w14:paraId="5F7A1FC9" w14:textId="7934F125" w:rsidR="005B6A3D" w:rsidRDefault="00217853" w:rsidP="00CD13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</w:pPr>
      <w:r>
        <w:t>4</w:t>
      </w:r>
      <w:r w:rsidR="006E2B4E">
        <w:t>.</w:t>
      </w:r>
      <w:r w:rsidR="00CD13F4">
        <w:tab/>
      </w:r>
      <w:r w:rsidR="008D5964">
        <w:t>The draft new Strategic Plan, covering the period 202</w:t>
      </w:r>
      <w:r w:rsidR="00677141">
        <w:t>8</w:t>
      </w:r>
      <w:r w:rsidR="008D5964">
        <w:t>-20</w:t>
      </w:r>
      <w:r w:rsidR="00677141">
        <w:t>31</w:t>
      </w:r>
      <w:r w:rsidR="008D5964">
        <w:t xml:space="preserve">, would need to be posted on the </w:t>
      </w:r>
      <w:r w:rsidR="00677141">
        <w:t>Plenipotentiary Conference 2026 (</w:t>
      </w:r>
      <w:r w:rsidR="008D5964">
        <w:t>PP-2</w:t>
      </w:r>
      <w:r w:rsidR="00677141">
        <w:t>6)</w:t>
      </w:r>
      <w:r w:rsidR="008D5964">
        <w:t xml:space="preserve"> website at least four months before the start of the conference.</w:t>
      </w:r>
    </w:p>
    <w:p w14:paraId="7D5A1390" w14:textId="576371CC" w:rsidR="008D5964" w:rsidRPr="00FD4E04" w:rsidRDefault="008D5964" w:rsidP="00AC2D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bCs/>
        </w:rPr>
      </w:pPr>
      <w:r w:rsidRPr="00FD4E04">
        <w:rPr>
          <w:b/>
          <w:bCs/>
        </w:rPr>
        <w:t>Process for the elaboration of the Strategic and Financial Plans</w:t>
      </w:r>
    </w:p>
    <w:p w14:paraId="569E694E" w14:textId="69C47CE7" w:rsidR="008D5964" w:rsidRDefault="4A8866A2" w:rsidP="751903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  <w:rPr>
          <w:color w:val="000000" w:themeColor="text1"/>
        </w:rPr>
      </w:pPr>
      <w:r>
        <w:t>5</w:t>
      </w:r>
      <w:r w:rsidR="274B0964">
        <w:t>.</w:t>
      </w:r>
      <w:r w:rsidR="0EF42C2F">
        <w:tab/>
      </w:r>
      <w:r w:rsidR="46CB7235">
        <w:t xml:space="preserve">Council 2023 </w:t>
      </w:r>
      <w:r w:rsidR="46CB7235" w:rsidRPr="63F88ABB">
        <w:rPr>
          <w:color w:val="000000" w:themeColor="text1"/>
        </w:rPr>
        <w:t xml:space="preserve">(see Document </w:t>
      </w:r>
      <w:hyperlink r:id="rId17">
        <w:r w:rsidR="46CB7235" w:rsidRPr="63F88ABB">
          <w:rPr>
            <w:rStyle w:val="Hyperlink"/>
          </w:rPr>
          <w:t>C23/112</w:t>
        </w:r>
      </w:hyperlink>
      <w:r w:rsidR="46CB7235" w:rsidRPr="63F88ABB">
        <w:rPr>
          <w:color w:val="000000" w:themeColor="text1"/>
        </w:rPr>
        <w:t xml:space="preserve">) </w:t>
      </w:r>
      <w:r w:rsidR="46CB7235">
        <w:t>agreed that t</w:t>
      </w:r>
      <w:r w:rsidR="46CB7235" w:rsidRPr="63F88ABB">
        <w:rPr>
          <w:color w:val="000000" w:themeColor="text1"/>
        </w:rPr>
        <w:t>he Council Working Group on the strategic and financial plans (CWG-SFP) will be created in 2024</w:t>
      </w:r>
      <w:r w:rsidR="33688DAB" w:rsidRPr="63F88ABB">
        <w:rPr>
          <w:color w:val="000000" w:themeColor="text1"/>
        </w:rPr>
        <w:t>, initiating the process</w:t>
      </w:r>
      <w:r w:rsidR="7154A1CC" w:rsidRPr="63F88ABB">
        <w:rPr>
          <w:color w:val="000000" w:themeColor="text1"/>
        </w:rPr>
        <w:t xml:space="preserve"> with two years in </w:t>
      </w:r>
      <w:r w:rsidR="7154A1CC">
        <w:t>advance</w:t>
      </w:r>
      <w:r w:rsidR="7154A1CC" w:rsidRPr="63F88ABB">
        <w:rPr>
          <w:color w:val="000000" w:themeColor="text1"/>
        </w:rPr>
        <w:t xml:space="preserve"> of the Plenipotentiary Conference to facilitate a proper diagnosis of the current environment and </w:t>
      </w:r>
      <w:r w:rsidR="377A5080" w:rsidRPr="63F88ABB">
        <w:rPr>
          <w:color w:val="000000" w:themeColor="text1"/>
        </w:rPr>
        <w:t xml:space="preserve">consequently to strengthen the </w:t>
      </w:r>
      <w:r w:rsidR="0D65589C" w:rsidRPr="63F88ABB">
        <w:rPr>
          <w:color w:val="000000" w:themeColor="text1"/>
        </w:rPr>
        <w:t>process of developing the new Strategic and Financial Plans. The Council</w:t>
      </w:r>
      <w:r w:rsidR="33688DAB" w:rsidRPr="63F88ABB">
        <w:rPr>
          <w:color w:val="000000" w:themeColor="text1"/>
        </w:rPr>
        <w:t xml:space="preserve"> </w:t>
      </w:r>
      <w:r w:rsidR="5EAFE79B" w:rsidRPr="63F88ABB">
        <w:rPr>
          <w:color w:val="000000" w:themeColor="text1"/>
        </w:rPr>
        <w:t xml:space="preserve">also </w:t>
      </w:r>
      <w:r w:rsidR="46CB7235" w:rsidRPr="63F88ABB">
        <w:rPr>
          <w:color w:val="000000" w:themeColor="text1"/>
        </w:rPr>
        <w:t xml:space="preserve">nominated Mr </w:t>
      </w:r>
      <w:r w:rsidR="4D7C30A9" w:rsidRPr="63F88ABB">
        <w:rPr>
          <w:color w:val="000000" w:themeColor="text1"/>
        </w:rPr>
        <w:t xml:space="preserve">Mansour AI-Qurashi (Saudi Arabia) as </w:t>
      </w:r>
      <w:r w:rsidR="46CB7235" w:rsidRPr="63F88ABB">
        <w:rPr>
          <w:color w:val="000000" w:themeColor="text1"/>
        </w:rPr>
        <w:t>the chair</w:t>
      </w:r>
      <w:r w:rsidR="25E373A6" w:rsidRPr="63F88ABB">
        <w:rPr>
          <w:color w:val="000000" w:themeColor="text1"/>
        </w:rPr>
        <w:t>person</w:t>
      </w:r>
      <w:r w:rsidR="27D293D6" w:rsidRPr="63F88ABB">
        <w:rPr>
          <w:color w:val="000000" w:themeColor="text1"/>
        </w:rPr>
        <w:t xml:space="preserve">. </w:t>
      </w:r>
    </w:p>
    <w:p w14:paraId="163AC5A8" w14:textId="6E0B113F" w:rsidR="008D5964" w:rsidRDefault="002C44B4" w:rsidP="00CD13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</w:pPr>
      <w:r>
        <w:t>6</w:t>
      </w:r>
      <w:r w:rsidR="008D5964">
        <w:t>.</w:t>
      </w:r>
      <w:r w:rsidR="00CD13F4">
        <w:tab/>
      </w:r>
      <w:r w:rsidR="008D5964">
        <w:t>Keeping in view of the process followed for the elaboration of the Strategic and Financial plans for 202</w:t>
      </w:r>
      <w:r w:rsidR="00155015">
        <w:t>4</w:t>
      </w:r>
      <w:r w:rsidR="008D5964">
        <w:t>-202</w:t>
      </w:r>
      <w:r w:rsidR="00155015">
        <w:t>7</w:t>
      </w:r>
      <w:r w:rsidR="008D5964">
        <w:t xml:space="preserve">, the Council </w:t>
      </w:r>
      <w:r w:rsidR="005F3B94">
        <w:t xml:space="preserve">is invited to </w:t>
      </w:r>
      <w:r w:rsidR="006E46B4">
        <w:t xml:space="preserve">initiate the preparations for </w:t>
      </w:r>
      <w:r w:rsidR="008D5964">
        <w:t xml:space="preserve">the establishment of </w:t>
      </w:r>
      <w:r w:rsidR="006E46B4">
        <w:t>the CWG-SFP</w:t>
      </w:r>
      <w:r w:rsidR="008D5964">
        <w:t xml:space="preserve"> to prepare the draft Strategic and Financial Plans that will be submitted to the 202</w:t>
      </w:r>
      <w:r w:rsidR="00011FE9">
        <w:t>6</w:t>
      </w:r>
      <w:r w:rsidR="008D5964">
        <w:t xml:space="preserve"> Session of </w:t>
      </w:r>
      <w:r w:rsidR="00E8270C">
        <w:t xml:space="preserve">the </w:t>
      </w:r>
      <w:r w:rsidR="008D5964">
        <w:t xml:space="preserve">Council for review and approval and then to be forwarded for adoption to </w:t>
      </w:r>
      <w:r w:rsidR="00011FE9">
        <w:t>PP-26</w:t>
      </w:r>
      <w:r w:rsidR="008D5964">
        <w:t>.</w:t>
      </w:r>
    </w:p>
    <w:p w14:paraId="79B2CC4E" w14:textId="65EE9589" w:rsidR="008D5964" w:rsidRDefault="002C44B4" w:rsidP="00AC2D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</w:pPr>
      <w:r>
        <w:t>7</w:t>
      </w:r>
      <w:r w:rsidR="008D5964">
        <w:t>.</w:t>
      </w:r>
      <w:r w:rsidR="00CD13F4">
        <w:tab/>
      </w:r>
      <w:r w:rsidR="008D5964">
        <w:t>To facilitate the Council’s decision on appropriate action to be taken to prepare a draft of the ITU 202</w:t>
      </w:r>
      <w:r w:rsidR="00011FE9">
        <w:t>8</w:t>
      </w:r>
      <w:r w:rsidR="008D5964">
        <w:t>-20</w:t>
      </w:r>
      <w:r w:rsidR="00011FE9">
        <w:t>31</w:t>
      </w:r>
      <w:r w:rsidR="008D5964">
        <w:t xml:space="preserve"> Strategic and Financial Plans, the annex to this document contains a possible draft Resolution concerning the establishment of a Council Working Group.</w:t>
      </w:r>
    </w:p>
    <w:p w14:paraId="1D7ED322" w14:textId="5B54D022" w:rsidR="0090147A" w:rsidRPr="003A7DE1" w:rsidRDefault="008D5964" w:rsidP="00E84C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/>
        <w:textAlignment w:val="auto"/>
        <w:rPr>
          <w:b/>
        </w:rPr>
      </w:pPr>
      <w:r w:rsidRPr="00E84C14">
        <w:rPr>
          <w:b/>
          <w:bCs/>
        </w:rPr>
        <w:t>Annex:</w:t>
      </w:r>
      <w:r>
        <w:t xml:space="preserve"> Draft Resolution</w:t>
      </w:r>
      <w:r w:rsidR="0090147A" w:rsidRPr="003A7DE1">
        <w:br w:type="page"/>
      </w:r>
    </w:p>
    <w:bookmarkEnd w:id="5"/>
    <w:bookmarkEnd w:id="12"/>
    <w:p w14:paraId="086D3F44" w14:textId="77777777" w:rsidR="00D1768D" w:rsidRDefault="00D1768D" w:rsidP="00E84C14">
      <w:pPr>
        <w:pStyle w:val="AnnexNo"/>
      </w:pPr>
      <w:r w:rsidRPr="00D02EC3">
        <w:lastRenderedPageBreak/>
        <w:t>ANNEX</w:t>
      </w:r>
    </w:p>
    <w:p w14:paraId="6220D21E" w14:textId="06F62165" w:rsidR="00D1768D" w:rsidRPr="001112B8" w:rsidRDefault="00D1768D" w:rsidP="00E84C14">
      <w:pPr>
        <w:pStyle w:val="AnnexNo"/>
      </w:pPr>
      <w:r w:rsidRPr="001112B8">
        <w:t xml:space="preserve">DRAFT </w:t>
      </w:r>
      <w:r w:rsidR="00AC2D40">
        <w:t xml:space="preserve">NEW </w:t>
      </w:r>
      <w:r w:rsidRPr="001112B8">
        <w:t>RESOLUTION</w:t>
      </w:r>
      <w:r w:rsidR="00222BA3">
        <w:t xml:space="preserve"> […]</w:t>
      </w:r>
    </w:p>
    <w:p w14:paraId="2029AE81" w14:textId="3135DA88" w:rsidR="00D1768D" w:rsidRDefault="00D1768D" w:rsidP="00E84C14">
      <w:pPr>
        <w:pStyle w:val="Annextitle"/>
      </w:pPr>
      <w:r w:rsidRPr="006D7028">
        <w:t>Establishment of the Council Working Group</w:t>
      </w:r>
      <w:r w:rsidR="00E84C14">
        <w:t xml:space="preserve"> </w:t>
      </w:r>
      <w:r w:rsidR="00E84C14">
        <w:br/>
      </w:r>
      <w:r w:rsidRPr="006D7028">
        <w:t>for Strategic and Financial Plans for 202</w:t>
      </w:r>
      <w:r w:rsidR="00E74465">
        <w:t>8</w:t>
      </w:r>
      <w:r w:rsidRPr="006D7028">
        <w:t>-20</w:t>
      </w:r>
      <w:r w:rsidR="00E74465">
        <w:t>31</w:t>
      </w:r>
    </w:p>
    <w:p w14:paraId="4090D917" w14:textId="77777777" w:rsidR="00A62F0A" w:rsidRPr="00A62F0A" w:rsidRDefault="00A62F0A" w:rsidP="00E84C14">
      <w:pPr>
        <w:pStyle w:val="Normalaftertitle"/>
        <w:rPr>
          <w:rFonts w:eastAsia="MS Mincho"/>
          <w:lang w:val="en-US"/>
        </w:rPr>
      </w:pPr>
      <w:r w:rsidRPr="00A62F0A">
        <w:rPr>
          <w:rFonts w:eastAsia="MS Mincho"/>
          <w:lang w:val="en-US"/>
        </w:rPr>
        <w:t>The ITU Council,</w:t>
      </w:r>
    </w:p>
    <w:p w14:paraId="0FE51429" w14:textId="77777777" w:rsidR="00A62F0A" w:rsidRPr="00A62F0A" w:rsidRDefault="00A62F0A" w:rsidP="00E84C14">
      <w:pPr>
        <w:pStyle w:val="Call"/>
      </w:pPr>
      <w:r w:rsidRPr="00A62F0A">
        <w:t>considering</w:t>
      </w:r>
    </w:p>
    <w:p w14:paraId="62432356" w14:textId="77777777" w:rsidR="00A62F0A" w:rsidRPr="00A62F0A" w:rsidRDefault="00A62F0A" w:rsidP="00A62F0A">
      <w:pPr>
        <w:snapToGrid w:val="0"/>
        <w:rPr>
          <w:rFonts w:cstheme="minorHAnsi"/>
          <w:szCs w:val="24"/>
        </w:rPr>
      </w:pPr>
      <w:r w:rsidRPr="00A62F0A">
        <w:rPr>
          <w:rFonts w:cstheme="minorHAnsi"/>
          <w:szCs w:val="24"/>
        </w:rPr>
        <w:t>that No. 74A of the Constitution requires the Secretary-General to provide information necessary for the preparation of a Strategic Plan,</w:t>
      </w:r>
    </w:p>
    <w:p w14:paraId="44AF8E28" w14:textId="77777777" w:rsidR="00A62F0A" w:rsidRPr="00A62F0A" w:rsidRDefault="00A62F0A" w:rsidP="00E84C14">
      <w:pPr>
        <w:pStyle w:val="Call"/>
      </w:pPr>
      <w:r w:rsidRPr="00A62F0A">
        <w:t>considering also</w:t>
      </w:r>
    </w:p>
    <w:p w14:paraId="1DED6E4C" w14:textId="7C09AFB8" w:rsidR="00A62F0A" w:rsidRPr="00A62F0A" w:rsidRDefault="00A62F0A" w:rsidP="00A62F0A">
      <w:pPr>
        <w:snapToGrid w:val="0"/>
        <w:rPr>
          <w:rFonts w:cstheme="minorHAnsi"/>
          <w:szCs w:val="24"/>
        </w:rPr>
      </w:pPr>
      <w:r w:rsidRPr="00A62F0A">
        <w:rPr>
          <w:rFonts w:cstheme="minorHAnsi"/>
          <w:i/>
          <w:iCs/>
          <w:szCs w:val="24"/>
        </w:rPr>
        <w:t>a)</w:t>
      </w:r>
      <w:r w:rsidRPr="00A62F0A">
        <w:rPr>
          <w:rFonts w:cstheme="minorHAnsi"/>
          <w:szCs w:val="24"/>
        </w:rPr>
        <w:tab/>
        <w:t>that in accordance with No. 62A of the Convention, the Council is required to receive and review the specific data for strategic planning that is provided by the Secretary-General as noted in No. 74A of the Constitution and, in the last but one ordinary session of the Council before the next plenipotentiary conference, initiate the preparation of a draft new strategic plan for the Union, drawing upon input from Member States, Sector Members and the Sector advisory groups, and produce a coordinated draft new strategic plan at least four months before that plenipotentiary conference;</w:t>
      </w:r>
    </w:p>
    <w:p w14:paraId="38AD2450" w14:textId="63AE7906" w:rsidR="00A62F0A" w:rsidRPr="00A62F0A" w:rsidRDefault="00A62F0A" w:rsidP="00A62F0A">
      <w:pPr>
        <w:snapToGrid w:val="0"/>
        <w:rPr>
          <w:rFonts w:cstheme="minorHAnsi"/>
          <w:szCs w:val="24"/>
        </w:rPr>
      </w:pPr>
      <w:r w:rsidRPr="00A62F0A">
        <w:rPr>
          <w:rFonts w:cstheme="minorHAnsi"/>
          <w:i/>
          <w:iCs/>
          <w:szCs w:val="24"/>
        </w:rPr>
        <w:t>b)</w:t>
      </w:r>
      <w:r w:rsidRPr="00A62F0A">
        <w:rPr>
          <w:rFonts w:cstheme="minorHAnsi"/>
          <w:szCs w:val="24"/>
        </w:rPr>
        <w:tab/>
        <w:t xml:space="preserve">the provisions of </w:t>
      </w:r>
      <w:hyperlink r:id="rId18" w:history="1">
        <w:r w:rsidRPr="00E84C14">
          <w:rPr>
            <w:rStyle w:val="Hyperlink"/>
          </w:rPr>
          <w:t>Decision 5 (Rev. Bucharest, 2022)</w:t>
        </w:r>
      </w:hyperlink>
      <w:r w:rsidRPr="00A62F0A">
        <w:rPr>
          <w:rFonts w:cstheme="minorHAnsi"/>
          <w:szCs w:val="24"/>
        </w:rPr>
        <w:t xml:space="preserve"> concerning the revenue and expenses for the Union for the period 2024-2027</w:t>
      </w:r>
      <w:r w:rsidRPr="00AA76CA">
        <w:rPr>
          <w:rFonts w:cstheme="minorHAnsi"/>
          <w:szCs w:val="24"/>
        </w:rPr>
        <w:t xml:space="preserve">, </w:t>
      </w:r>
      <w:r w:rsidR="00221833" w:rsidRPr="00E84C14">
        <w:rPr>
          <w:rFonts w:cstheme="minorHAnsi"/>
          <w:szCs w:val="24"/>
        </w:rPr>
        <w:t>considering also</w:t>
      </w:r>
      <w:r w:rsidRPr="00E84C14">
        <w:rPr>
          <w:rFonts w:cstheme="minorHAnsi"/>
          <w:szCs w:val="24"/>
        </w:rPr>
        <w:t xml:space="preserve"> the need to link strategic, financial and operational planning in ITU;</w:t>
      </w:r>
    </w:p>
    <w:p w14:paraId="6556EE92" w14:textId="254349FE" w:rsidR="00A62F0A" w:rsidRPr="00E84C14" w:rsidRDefault="00A62F0A" w:rsidP="00A62F0A">
      <w:pPr>
        <w:snapToGrid w:val="0"/>
        <w:rPr>
          <w:iCs/>
        </w:rPr>
      </w:pPr>
      <w:r w:rsidRPr="2C3EA29F">
        <w:rPr>
          <w:rFonts w:cstheme="minorBidi"/>
          <w:i/>
        </w:rPr>
        <w:t>c)</w:t>
      </w:r>
      <w:r>
        <w:tab/>
      </w:r>
      <w:r w:rsidRPr="2C3EA29F">
        <w:rPr>
          <w:rFonts w:cstheme="minorBidi"/>
        </w:rPr>
        <w:t xml:space="preserve">the guiding principles for the creation, management and termination of Council working groups established in </w:t>
      </w:r>
      <w:hyperlink r:id="rId19">
        <w:r w:rsidRPr="00E84C14">
          <w:rPr>
            <w:rStyle w:val="Hyperlink"/>
          </w:rPr>
          <w:t>Decision 11 (Rev. Bucharest, 2022)</w:t>
        </w:r>
      </w:hyperlink>
      <w:r w:rsidR="009B12A2" w:rsidRPr="00E84C14">
        <w:t>;</w:t>
      </w:r>
    </w:p>
    <w:p w14:paraId="4A040539" w14:textId="26316BE8" w:rsidR="009A1AFD" w:rsidRPr="00E84C14" w:rsidRDefault="004F2147" w:rsidP="004F2147">
      <w:pPr>
        <w:snapToGrid w:val="0"/>
        <w:rPr>
          <w:color w:val="000000" w:themeColor="text1"/>
        </w:rPr>
      </w:pPr>
      <w:r w:rsidRPr="2C3EA29F">
        <w:rPr>
          <w:i/>
        </w:rPr>
        <w:t>d)</w:t>
      </w:r>
      <w:r>
        <w:tab/>
      </w:r>
      <w:r w:rsidRPr="00576CE2">
        <w:rPr>
          <w:iCs/>
        </w:rPr>
        <w:t>the</w:t>
      </w:r>
      <w:r w:rsidRPr="2C3EA29F">
        <w:rPr>
          <w:i/>
        </w:rPr>
        <w:t xml:space="preserve"> </w:t>
      </w:r>
      <w:r>
        <w:t>Council</w:t>
      </w:r>
      <w:r w:rsidR="00576CE2">
        <w:t>-</w:t>
      </w:r>
      <w:r>
        <w:t xml:space="preserve">23 </w:t>
      </w:r>
      <w:r w:rsidR="00944062">
        <w:t>decision</w:t>
      </w:r>
      <w:r w:rsidR="0067489E">
        <w:t xml:space="preserve"> </w:t>
      </w:r>
      <w:r w:rsidRPr="2C3EA29F">
        <w:rPr>
          <w:color w:val="000000" w:themeColor="text1"/>
        </w:rPr>
        <w:t xml:space="preserve">(see Document </w:t>
      </w:r>
      <w:hyperlink r:id="rId20" w:history="1">
        <w:r w:rsidRPr="2C3EA29F">
          <w:rPr>
            <w:rStyle w:val="Hyperlink"/>
          </w:rPr>
          <w:t>C23/112</w:t>
        </w:r>
      </w:hyperlink>
      <w:r w:rsidR="008478C6" w:rsidRPr="00E84C14">
        <w:rPr>
          <w:rStyle w:val="Hyperlink"/>
          <w:color w:val="auto"/>
          <w:u w:val="none"/>
        </w:rPr>
        <w:t xml:space="preserve">) </w:t>
      </w:r>
      <w:r w:rsidR="00944062" w:rsidRPr="2C3EA29F">
        <w:rPr>
          <w:color w:val="000000" w:themeColor="text1"/>
        </w:rPr>
        <w:t xml:space="preserve">to </w:t>
      </w:r>
      <w:r w:rsidR="00ED6A9A" w:rsidRPr="2C3EA29F">
        <w:rPr>
          <w:color w:val="000000" w:themeColor="text1"/>
        </w:rPr>
        <w:t>create</w:t>
      </w:r>
      <w:r w:rsidR="0067489E" w:rsidRPr="2C3EA29F">
        <w:rPr>
          <w:color w:val="000000" w:themeColor="text1"/>
        </w:rPr>
        <w:t xml:space="preserve"> </w:t>
      </w:r>
      <w:r w:rsidR="0067489E">
        <w:t>the</w:t>
      </w:r>
      <w:r w:rsidRPr="2C3EA29F">
        <w:rPr>
          <w:color w:val="000000" w:themeColor="text1"/>
        </w:rPr>
        <w:t xml:space="preserve"> Council Working Group on the strategic and financial plans (CWG-SFP) in 2024</w:t>
      </w:r>
      <w:r w:rsidR="009B12A2" w:rsidRPr="2C3EA29F">
        <w:rPr>
          <w:color w:val="000000" w:themeColor="text1"/>
        </w:rPr>
        <w:t>,</w:t>
      </w:r>
    </w:p>
    <w:p w14:paraId="530B4B41" w14:textId="77777777" w:rsidR="00A62F0A" w:rsidRPr="00A62F0A" w:rsidRDefault="00A62F0A" w:rsidP="00E84C14">
      <w:pPr>
        <w:pStyle w:val="Call"/>
      </w:pPr>
      <w:r w:rsidRPr="00A62F0A">
        <w:t>resolves</w:t>
      </w:r>
    </w:p>
    <w:p w14:paraId="7352CBE2" w14:textId="38CE8FC4" w:rsidR="00A62F0A" w:rsidRPr="00A62F0A" w:rsidRDefault="00A62F0A" w:rsidP="00A62F0A">
      <w:pPr>
        <w:snapToGrid w:val="0"/>
        <w:rPr>
          <w:szCs w:val="24"/>
        </w:rPr>
      </w:pPr>
      <w:r w:rsidRPr="00A62F0A">
        <w:rPr>
          <w:szCs w:val="24"/>
        </w:rPr>
        <w:t xml:space="preserve">to establish a Council Working Group to develop the draft Strategic and Financial Plans for consideration by the 2026 </w:t>
      </w:r>
      <w:r w:rsidR="00576CE2" w:rsidRPr="00A62F0A">
        <w:rPr>
          <w:szCs w:val="24"/>
        </w:rPr>
        <w:t xml:space="preserve">session </w:t>
      </w:r>
      <w:r w:rsidRPr="00A62F0A">
        <w:rPr>
          <w:szCs w:val="24"/>
        </w:rPr>
        <w:t>of the Council and presentation by</w:t>
      </w:r>
      <w:r w:rsidR="00576CE2">
        <w:rPr>
          <w:szCs w:val="24"/>
        </w:rPr>
        <w:t xml:space="preserve"> the</w:t>
      </w:r>
      <w:r w:rsidRPr="00A62F0A">
        <w:rPr>
          <w:szCs w:val="24"/>
        </w:rPr>
        <w:t xml:space="preserve"> Council to the </w:t>
      </w:r>
      <w:r w:rsidR="00576CE2" w:rsidRPr="00A62F0A">
        <w:rPr>
          <w:szCs w:val="24"/>
        </w:rPr>
        <w:t xml:space="preserve">Plenipotentiary Conference </w:t>
      </w:r>
      <w:r w:rsidRPr="00A62F0A">
        <w:rPr>
          <w:szCs w:val="24"/>
        </w:rPr>
        <w:t>to take place in 2026 (PP-26). The Working Group (CWG-SFP), open to Member States and Sector Members, has the following terms of reference:</w:t>
      </w:r>
    </w:p>
    <w:p w14:paraId="4A64A40C" w14:textId="5A22C087" w:rsidR="00A62F0A" w:rsidRDefault="263BF1C1" w:rsidP="63F88ABB">
      <w:pPr>
        <w:snapToGrid w:val="0"/>
        <w:spacing w:before="86"/>
        <w:ind w:left="1134" w:hanging="567"/>
      </w:pPr>
      <w:r>
        <w:t>a</w:t>
      </w:r>
      <w:r w:rsidR="20356B9D">
        <w:t>.</w:t>
      </w:r>
      <w:r w:rsidR="00A62F0A">
        <w:tab/>
      </w:r>
      <w:r>
        <w:t>to identify, with the assistance of the Secretary-General</w:t>
      </w:r>
      <w:r w:rsidR="5316B9A8">
        <w:t>, the Deputy Secretary-General</w:t>
      </w:r>
      <w:r>
        <w:t xml:space="preserve"> and the Directors of the Bureaux, sources of information to be used in the development of the draft </w:t>
      </w:r>
      <w:proofErr w:type="gramStart"/>
      <w:r>
        <w:t>Plans;</w:t>
      </w:r>
      <w:proofErr w:type="gramEnd"/>
    </w:p>
    <w:p w14:paraId="5718865C" w14:textId="21B70831" w:rsidR="00576CE2" w:rsidRPr="00A62F0A" w:rsidRDefault="00576CE2" w:rsidP="63F88ABB">
      <w:pPr>
        <w:snapToGrid w:val="0"/>
        <w:spacing w:before="86"/>
        <w:ind w:left="1134" w:hanging="567"/>
      </w:pPr>
      <w:r>
        <w:t>b.</w:t>
      </w:r>
      <w:r>
        <w:tab/>
      </w:r>
      <w:r w:rsidRPr="00576CE2">
        <w:t xml:space="preserve">to consider the report on the implementation of the “One ITU” concept (see document </w:t>
      </w:r>
      <w:hyperlink r:id="rId21" w:history="1">
        <w:r w:rsidRPr="00D05B04">
          <w:rPr>
            <w:rStyle w:val="Hyperlink"/>
          </w:rPr>
          <w:t>C24/17</w:t>
        </w:r>
      </w:hyperlink>
      <w:r w:rsidRPr="00576CE2">
        <w:t xml:space="preserve">), including the inputs received during the </w:t>
      </w:r>
      <w:r>
        <w:t xml:space="preserve">2024 session of the </w:t>
      </w:r>
      <w:r w:rsidRPr="00576CE2">
        <w:t xml:space="preserve">Council, to develop the draft Strategic Plan and to report back to the </w:t>
      </w:r>
      <w:r>
        <w:t xml:space="preserve">2026 </w:t>
      </w:r>
      <w:r w:rsidRPr="00576CE2">
        <w:t>Plenipotentiary Conference (PP-26);</w:t>
      </w:r>
    </w:p>
    <w:p w14:paraId="11F63F72" w14:textId="0907F7CF" w:rsidR="00A62F0A" w:rsidRPr="00A62F0A" w:rsidRDefault="00576CE2" w:rsidP="00A62F0A">
      <w:pPr>
        <w:snapToGrid w:val="0"/>
        <w:spacing w:before="86"/>
        <w:ind w:left="1134" w:hanging="567"/>
      </w:pPr>
      <w:r>
        <w:t>c</w:t>
      </w:r>
      <w:r w:rsidR="20356B9D">
        <w:t>.</w:t>
      </w:r>
      <w:r w:rsidR="00A62F0A">
        <w:tab/>
      </w:r>
      <w:r w:rsidR="263BF1C1">
        <w:t xml:space="preserve">to develop draft Strategic and Financial Plans for presentation to the 2026 session of the </w:t>
      </w:r>
      <w:proofErr w:type="gramStart"/>
      <w:r w:rsidR="263BF1C1">
        <w:t>Council;</w:t>
      </w:r>
      <w:proofErr w:type="gramEnd"/>
    </w:p>
    <w:p w14:paraId="26920CA9" w14:textId="299D4F60" w:rsidR="52859976" w:rsidRDefault="00576CE2" w:rsidP="63F88ABB">
      <w:pPr>
        <w:spacing w:before="86"/>
        <w:ind w:left="1134" w:hanging="567"/>
      </w:pPr>
      <w:r>
        <w:lastRenderedPageBreak/>
        <w:t>d</w:t>
      </w:r>
      <w:r w:rsidR="52859976">
        <w:t>.</w:t>
      </w:r>
      <w:r w:rsidR="52859976">
        <w:tab/>
        <w:t xml:space="preserve">to </w:t>
      </w:r>
      <w:r w:rsidR="3BBCFFEC">
        <w:t>recommend to the 202</w:t>
      </w:r>
      <w:r>
        <w:t>5</w:t>
      </w:r>
      <w:r w:rsidR="3BBCFFEC">
        <w:t xml:space="preserve"> session of the Council the </w:t>
      </w:r>
      <w:r>
        <w:t>preliminary</w:t>
      </w:r>
      <w:r w:rsidR="3BBCFFEC">
        <w:t xml:space="preserve"> amount </w:t>
      </w:r>
      <w:r w:rsidR="52859976">
        <w:t xml:space="preserve">of the contributory </w:t>
      </w:r>
      <w:proofErr w:type="gramStart"/>
      <w:r w:rsidR="52859976">
        <w:t>unit;</w:t>
      </w:r>
      <w:proofErr w:type="gramEnd"/>
    </w:p>
    <w:p w14:paraId="3DBFE8B1" w14:textId="16EBEB9E" w:rsidR="00576CE2" w:rsidRDefault="00576CE2" w:rsidP="00A62F0A">
      <w:pPr>
        <w:snapToGrid w:val="0"/>
        <w:spacing w:before="86"/>
        <w:ind w:left="1134" w:hanging="567"/>
        <w:rPr>
          <w:rFonts w:cstheme="minorHAnsi"/>
          <w:szCs w:val="24"/>
        </w:rPr>
      </w:pPr>
      <w:r>
        <w:rPr>
          <w:szCs w:val="24"/>
        </w:rPr>
        <w:t>e</w:t>
      </w:r>
      <w:r w:rsidR="00E84C14">
        <w:rPr>
          <w:szCs w:val="24"/>
        </w:rPr>
        <w:t>.</w:t>
      </w:r>
      <w:r w:rsidR="00A62F0A" w:rsidRPr="00A62F0A">
        <w:rPr>
          <w:rFonts w:cstheme="minorHAnsi"/>
          <w:szCs w:val="24"/>
        </w:rPr>
        <w:tab/>
      </w:r>
      <w:r w:rsidRPr="00576CE2">
        <w:rPr>
          <w:rFonts w:cstheme="minorHAnsi"/>
          <w:szCs w:val="24"/>
        </w:rPr>
        <w:t xml:space="preserve">to continue the mapping exercise of resolutions and decisions with the view to harmonize the outcomes of the Plenipotentiary </w:t>
      </w:r>
      <w:proofErr w:type="gramStart"/>
      <w:r w:rsidRPr="00576CE2">
        <w:rPr>
          <w:rFonts w:cstheme="minorHAnsi"/>
          <w:szCs w:val="24"/>
        </w:rPr>
        <w:t>Conference;</w:t>
      </w:r>
      <w:proofErr w:type="gramEnd"/>
    </w:p>
    <w:p w14:paraId="2EECBF26" w14:textId="59AB86F1" w:rsidR="00A62F0A" w:rsidRPr="00A62F0A" w:rsidRDefault="00576CE2" w:rsidP="00A62F0A">
      <w:pPr>
        <w:snapToGrid w:val="0"/>
        <w:spacing w:before="86"/>
        <w:ind w:left="1134" w:hanging="567"/>
        <w:rPr>
          <w:szCs w:val="24"/>
        </w:rPr>
      </w:pPr>
      <w:r>
        <w:rPr>
          <w:rFonts w:cstheme="minorHAnsi"/>
          <w:szCs w:val="24"/>
        </w:rPr>
        <w:t>f.</w:t>
      </w:r>
      <w:r>
        <w:rPr>
          <w:rFonts w:cstheme="minorHAnsi"/>
          <w:szCs w:val="24"/>
        </w:rPr>
        <w:tab/>
      </w:r>
      <w:r w:rsidR="00A62F0A" w:rsidRPr="00A62F0A">
        <w:rPr>
          <w:spacing w:val="2"/>
          <w:szCs w:val="24"/>
        </w:rPr>
        <w:t>to post on the PP-</w:t>
      </w:r>
      <w:r w:rsidR="00A62F0A" w:rsidRPr="00A62F0A">
        <w:rPr>
          <w:szCs w:val="24"/>
        </w:rPr>
        <w:t xml:space="preserve">26 </w:t>
      </w:r>
      <w:r w:rsidR="00A62F0A" w:rsidRPr="00A62F0A">
        <w:rPr>
          <w:spacing w:val="2"/>
          <w:szCs w:val="24"/>
        </w:rPr>
        <w:t xml:space="preserve">website a coordinated draft new Strategic Plan </w:t>
      </w:r>
      <w:r w:rsidR="00A62F0A" w:rsidRPr="00A62F0A">
        <w:rPr>
          <w:szCs w:val="24"/>
        </w:rPr>
        <w:t xml:space="preserve">four months before the Plenipotentiary </w:t>
      </w:r>
      <w:proofErr w:type="gramStart"/>
      <w:r w:rsidR="00A62F0A" w:rsidRPr="00A62F0A">
        <w:rPr>
          <w:szCs w:val="24"/>
        </w:rPr>
        <w:t>Conference;</w:t>
      </w:r>
      <w:proofErr w:type="gramEnd"/>
    </w:p>
    <w:p w14:paraId="4B6DDA43" w14:textId="6D5DCCD4" w:rsidR="00A62F0A" w:rsidRPr="00A62F0A" w:rsidRDefault="000D6F7C" w:rsidP="63F88ABB">
      <w:pPr>
        <w:snapToGrid w:val="0"/>
        <w:spacing w:before="86"/>
        <w:ind w:left="1134" w:hanging="567"/>
        <w:rPr>
          <w:rFonts w:cstheme="minorBidi"/>
        </w:rPr>
      </w:pPr>
      <w:r>
        <w:rPr>
          <w:rFonts w:cstheme="minorBidi"/>
        </w:rPr>
        <w:t>g</w:t>
      </w:r>
      <w:r w:rsidR="20356B9D" w:rsidRPr="63F88ABB">
        <w:rPr>
          <w:rFonts w:cstheme="minorBidi"/>
        </w:rPr>
        <w:t>.</w:t>
      </w:r>
      <w:r w:rsidR="00A62F0A">
        <w:tab/>
      </w:r>
      <w:r w:rsidR="263BF1C1" w:rsidRPr="63F88ABB">
        <w:rPr>
          <w:rFonts w:cstheme="minorBidi"/>
        </w:rPr>
        <w:t xml:space="preserve">to continue its discussions, if necessary, on the Financial Plan until the </w:t>
      </w:r>
      <w:r w:rsidR="00A56D8B">
        <w:rPr>
          <w:rFonts w:cstheme="minorBidi"/>
        </w:rPr>
        <w:t xml:space="preserve">final </w:t>
      </w:r>
      <w:r w:rsidR="263BF1C1" w:rsidRPr="63F88ABB">
        <w:rPr>
          <w:rFonts w:cstheme="minorBidi"/>
        </w:rPr>
        <w:t>session of the Council prior to the PP-</w:t>
      </w:r>
      <w:proofErr w:type="gramStart"/>
      <w:r w:rsidR="263BF1C1" w:rsidRPr="63F88ABB">
        <w:rPr>
          <w:rFonts w:cstheme="minorBidi"/>
        </w:rPr>
        <w:t>26;</w:t>
      </w:r>
      <w:proofErr w:type="gramEnd"/>
    </w:p>
    <w:p w14:paraId="505B24CA" w14:textId="316CE772" w:rsidR="00A62F0A" w:rsidRPr="00AC2D40" w:rsidRDefault="000D6F7C" w:rsidP="63F88ABB">
      <w:pPr>
        <w:snapToGrid w:val="0"/>
        <w:spacing w:before="86"/>
        <w:ind w:left="1134" w:hanging="567"/>
        <w:rPr>
          <w:rFonts w:asciiTheme="minorHAnsi" w:hAnsiTheme="minorHAnsi" w:cstheme="minorHAnsi"/>
          <w:szCs w:val="24"/>
        </w:rPr>
      </w:pPr>
      <w:r>
        <w:rPr>
          <w:rFonts w:cstheme="minorBidi"/>
        </w:rPr>
        <w:t>h</w:t>
      </w:r>
      <w:r w:rsidR="12871BAF" w:rsidRPr="63F88ABB">
        <w:rPr>
          <w:rFonts w:cstheme="minorBidi"/>
        </w:rPr>
        <w:t>.</w:t>
      </w:r>
      <w:r w:rsidR="7124790D">
        <w:tab/>
      </w:r>
      <w:r w:rsidR="5C410CB5" w:rsidRPr="00AC2D40">
        <w:rPr>
          <w:rFonts w:asciiTheme="minorHAnsi" w:hAnsiTheme="minorHAnsi" w:cstheme="minorHAnsi"/>
          <w:szCs w:val="24"/>
        </w:rPr>
        <w:t>to propose ways to link the draft Strategic and Financial Plans with the operational plans</w:t>
      </w:r>
      <w:r w:rsidR="010ECBB3" w:rsidRPr="00AC2D40">
        <w:rPr>
          <w:rFonts w:asciiTheme="minorHAnsi" w:hAnsiTheme="minorHAnsi" w:cstheme="minorHAnsi"/>
          <w:szCs w:val="24"/>
        </w:rPr>
        <w:t xml:space="preserve"> and biennial budgets</w:t>
      </w:r>
      <w:r w:rsidR="001D7F28" w:rsidRPr="00AC2D40">
        <w:rPr>
          <w:rFonts w:asciiTheme="minorHAnsi" w:hAnsiTheme="minorHAnsi" w:cstheme="minorHAnsi"/>
          <w:szCs w:val="24"/>
        </w:rPr>
        <w:t xml:space="preserve">, </w:t>
      </w:r>
      <w:r w:rsidR="007B3494" w:rsidRPr="00AC2D40">
        <w:rPr>
          <w:rFonts w:asciiTheme="minorHAnsi" w:hAnsiTheme="minorHAnsi" w:cstheme="minorHAnsi"/>
          <w:szCs w:val="24"/>
        </w:rPr>
        <w:t>i</w:t>
      </w:r>
      <w:r w:rsidR="007B3494" w:rsidRPr="00AC2D40">
        <w:rPr>
          <w:rFonts w:asciiTheme="minorHAnsi" w:hAnsiTheme="minorHAnsi" w:cstheme="minorHAnsi"/>
          <w:color w:val="000000"/>
          <w:szCs w:val="24"/>
          <w:lang w:eastAsia="zh-CN"/>
        </w:rPr>
        <w:t>n accordance with the results-based management and results-based budgeting principles and the provisions of Res</w:t>
      </w:r>
      <w:r>
        <w:rPr>
          <w:rFonts w:asciiTheme="minorHAnsi" w:hAnsiTheme="minorHAnsi" w:cstheme="minorHAnsi"/>
          <w:color w:val="000000"/>
          <w:szCs w:val="24"/>
          <w:lang w:eastAsia="zh-CN"/>
        </w:rPr>
        <w:t xml:space="preserve">olution </w:t>
      </w:r>
      <w:r w:rsidR="007B3494" w:rsidRPr="00AC2D40">
        <w:rPr>
          <w:rFonts w:asciiTheme="minorHAnsi" w:hAnsiTheme="minorHAnsi" w:cstheme="minorHAnsi"/>
          <w:color w:val="000000"/>
          <w:szCs w:val="24"/>
          <w:lang w:eastAsia="zh-CN"/>
        </w:rPr>
        <w:t>151</w:t>
      </w:r>
      <w:r>
        <w:rPr>
          <w:rFonts w:asciiTheme="minorHAnsi" w:hAnsiTheme="minorHAnsi" w:cstheme="minorHAnsi"/>
          <w:color w:val="000000"/>
          <w:szCs w:val="24"/>
          <w:lang w:eastAsia="zh-CN"/>
        </w:rPr>
        <w:t xml:space="preserve"> </w:t>
      </w:r>
      <w:r w:rsidR="00490468">
        <w:rPr>
          <w:rFonts w:asciiTheme="minorHAnsi" w:hAnsiTheme="minorHAnsi" w:cstheme="minorHAnsi"/>
          <w:color w:val="000000"/>
          <w:szCs w:val="24"/>
          <w:lang w:eastAsia="zh-CN"/>
        </w:rPr>
        <w:t>(Rev. Bucharest, 2022)</w:t>
      </w:r>
      <w:r w:rsidR="007B3494" w:rsidRPr="00AC2D40">
        <w:rPr>
          <w:rFonts w:asciiTheme="minorHAnsi" w:hAnsiTheme="minorHAnsi" w:cstheme="minorHAnsi"/>
          <w:color w:val="000000"/>
          <w:szCs w:val="24"/>
          <w:lang w:eastAsia="zh-CN"/>
        </w:rPr>
        <w:t xml:space="preserve"> on </w:t>
      </w:r>
      <w:r w:rsidR="009F3875">
        <w:rPr>
          <w:rFonts w:asciiTheme="minorHAnsi" w:hAnsiTheme="minorHAnsi" w:cstheme="minorHAnsi"/>
          <w:color w:val="000000"/>
          <w:szCs w:val="24"/>
          <w:lang w:eastAsia="zh-CN"/>
        </w:rPr>
        <w:t xml:space="preserve">Improvement </w:t>
      </w:r>
      <w:r w:rsidR="00A3015A">
        <w:rPr>
          <w:rFonts w:asciiTheme="minorHAnsi" w:hAnsiTheme="minorHAnsi" w:cstheme="minorHAnsi"/>
          <w:color w:val="000000"/>
          <w:szCs w:val="24"/>
          <w:lang w:eastAsia="zh-CN"/>
        </w:rPr>
        <w:t xml:space="preserve">of result-based management in </w:t>
      </w:r>
      <w:proofErr w:type="gramStart"/>
      <w:r w:rsidR="00A3015A">
        <w:rPr>
          <w:rFonts w:asciiTheme="minorHAnsi" w:hAnsiTheme="minorHAnsi" w:cstheme="minorHAnsi"/>
          <w:color w:val="000000"/>
          <w:szCs w:val="24"/>
          <w:lang w:eastAsia="zh-CN"/>
        </w:rPr>
        <w:t>ITU</w:t>
      </w:r>
      <w:r w:rsidR="5C410CB5" w:rsidRPr="00AC2D40">
        <w:rPr>
          <w:rFonts w:asciiTheme="minorHAnsi" w:hAnsiTheme="minorHAnsi" w:cstheme="minorHAnsi"/>
          <w:szCs w:val="24"/>
        </w:rPr>
        <w:t>;</w:t>
      </w:r>
      <w:proofErr w:type="gramEnd"/>
    </w:p>
    <w:p w14:paraId="539F3B2A" w14:textId="46628A80" w:rsidR="00A62F0A" w:rsidRPr="00A62F0A" w:rsidRDefault="000D6F7C" w:rsidP="75190305">
      <w:pPr>
        <w:snapToGrid w:val="0"/>
        <w:spacing w:before="86"/>
        <w:ind w:left="1134" w:hanging="567"/>
      </w:pPr>
      <w:r>
        <w:t>i</w:t>
      </w:r>
      <w:r w:rsidR="68621798">
        <w:t>.</w:t>
      </w:r>
      <w:r w:rsidR="00B868DA">
        <w:tab/>
      </w:r>
      <w:r w:rsidR="7124790D">
        <w:t xml:space="preserve">to closely coordinate with other Council </w:t>
      </w:r>
      <w:r>
        <w:t xml:space="preserve">working groups </w:t>
      </w:r>
      <w:r w:rsidR="7124790D">
        <w:t>and Sector advisory groups which may work on items related to the draft Strategic and Financial Plans,</w:t>
      </w:r>
    </w:p>
    <w:p w14:paraId="1EAD95AC" w14:textId="58DBAA0E" w:rsidR="00A62F0A" w:rsidRPr="00A62F0A" w:rsidRDefault="263BF1C1" w:rsidP="00E84C14">
      <w:pPr>
        <w:pStyle w:val="Call"/>
      </w:pPr>
      <w:r>
        <w:t xml:space="preserve">instructs the Secretary-General, with support of the </w:t>
      </w:r>
      <w:r w:rsidR="192DBAA1">
        <w:t xml:space="preserve">Deputy Secretary-General and </w:t>
      </w:r>
      <w:r>
        <w:t>Directors of the Bureaux</w:t>
      </w:r>
    </w:p>
    <w:p w14:paraId="0453B20B" w14:textId="6015A6DF" w:rsidR="00A62F0A" w:rsidRPr="00A62F0A" w:rsidRDefault="00A62F0A" w:rsidP="00E84C14">
      <w:r w:rsidRPr="00A62F0A">
        <w:t>to provide the necessary support and documentation for the operation of the CWG-SFP,</w:t>
      </w:r>
    </w:p>
    <w:p w14:paraId="19E1F936" w14:textId="77777777" w:rsidR="00A62F0A" w:rsidRPr="00A62F0A" w:rsidRDefault="00A62F0A" w:rsidP="00E84C14">
      <w:pPr>
        <w:pStyle w:val="Call"/>
      </w:pPr>
      <w:r w:rsidRPr="00A62F0A">
        <w:t xml:space="preserve">invites the membership, the Council Working Groups, the Elected Officials, and the Sector advisory </w:t>
      </w:r>
      <w:proofErr w:type="gramStart"/>
      <w:r w:rsidRPr="00A62F0A">
        <w:t>groups</w:t>
      </w:r>
      <w:proofErr w:type="gramEnd"/>
    </w:p>
    <w:p w14:paraId="0D223C5A" w14:textId="77777777" w:rsidR="00A62F0A" w:rsidRPr="00A62F0A" w:rsidRDefault="00A62F0A" w:rsidP="00E84C14">
      <w:pPr>
        <w:snapToGrid w:val="0"/>
        <w:rPr>
          <w:rFonts w:cstheme="minorHAnsi"/>
          <w:szCs w:val="24"/>
        </w:rPr>
      </w:pPr>
      <w:r w:rsidRPr="00A62F0A">
        <w:rPr>
          <w:rFonts w:cstheme="minorHAnsi"/>
          <w:szCs w:val="24"/>
        </w:rPr>
        <w:t>to provide all contributions and all necessary assistance to the development of the draft Strategic and Financial Plans, and to make full use of electronic means of working.</w:t>
      </w:r>
    </w:p>
    <w:p w14:paraId="257674B4" w14:textId="2E59E966" w:rsidR="00A514A4" w:rsidRPr="003A7DE1" w:rsidRDefault="00A62F0A" w:rsidP="00E84C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 w:rsidRPr="00A62F0A">
        <w:t>_________________</w:t>
      </w:r>
    </w:p>
    <w:sectPr w:rsidR="00A514A4" w:rsidRPr="003A7DE1" w:rsidSect="000C70C0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E546" w14:textId="77777777" w:rsidR="000C70C0" w:rsidRDefault="000C70C0">
      <w:r>
        <w:separator/>
      </w:r>
    </w:p>
  </w:endnote>
  <w:endnote w:type="continuationSeparator" w:id="0">
    <w:p w14:paraId="26FA1880" w14:textId="77777777" w:rsidR="000C70C0" w:rsidRDefault="000C70C0">
      <w:r>
        <w:continuationSeparator/>
      </w:r>
    </w:p>
  </w:endnote>
  <w:endnote w:type="continuationNotice" w:id="1">
    <w:p w14:paraId="59C000C8" w14:textId="77777777" w:rsidR="000C70C0" w:rsidRDefault="000C70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>
      <w:trPr>
        <w:jc w:val="center"/>
      </w:trPr>
      <w:tc>
        <w:tcPr>
          <w:tcW w:w="1803" w:type="dxa"/>
          <w:vAlign w:val="center"/>
        </w:tcPr>
        <w:p w14:paraId="727FD637" w14:textId="151481BB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5F3E370" w:rsidR="00EE49E8" w:rsidRPr="00E06FD5" w:rsidRDefault="00EE49E8" w:rsidP="00EE49E8">
          <w:pPr>
            <w:pStyle w:val="Header"/>
            <w:tabs>
              <w:tab w:val="left" w:pos="629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222BA3">
            <w:rPr>
              <w:bCs/>
            </w:rPr>
            <w:t>59</w:t>
          </w:r>
          <w:r w:rsidR="000D6F7C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BC7944">
            <w:rPr>
              <w:color w:val="2B579A"/>
            </w:rPr>
            <w:fldChar w:fldCharType="begin"/>
          </w:r>
          <w:r w:rsidRPr="00BC7944">
            <w:instrText>PAGE</w:instrText>
          </w:r>
          <w:r w:rsidRPr="00BC7944">
            <w:rPr>
              <w:color w:val="2B579A"/>
            </w:rPr>
            <w:fldChar w:fldCharType="separate"/>
          </w:r>
          <w:r w:rsidRPr="00BC7944">
            <w:t>1</w:t>
          </w:r>
          <w:r w:rsidRPr="00BC7944">
            <w:rPr>
              <w:noProof/>
              <w:color w:val="2B579A"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3B7EDD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756FA54B" w:rsidR="00EE49E8" w:rsidRPr="00E06FD5" w:rsidRDefault="00EE49E8" w:rsidP="00EE49E8">
          <w:pPr>
            <w:pStyle w:val="Header"/>
            <w:tabs>
              <w:tab w:val="left" w:pos="629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222BA3">
            <w:rPr>
              <w:bCs/>
            </w:rPr>
            <w:t>59</w:t>
          </w:r>
          <w:r w:rsidR="000D6F7C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BC7944">
            <w:rPr>
              <w:color w:val="2B579A"/>
            </w:rPr>
            <w:fldChar w:fldCharType="begin"/>
          </w:r>
          <w:r w:rsidRPr="00BC7944">
            <w:instrText>PAGE</w:instrText>
          </w:r>
          <w:r w:rsidRPr="00BC7944">
            <w:rPr>
              <w:color w:val="2B579A"/>
            </w:rPr>
            <w:fldChar w:fldCharType="separate"/>
          </w:r>
          <w:r w:rsidRPr="00BC7944">
            <w:t>1</w:t>
          </w:r>
          <w:r w:rsidRPr="00BC7944">
            <w:rPr>
              <w:noProof/>
              <w:color w:val="2B579A"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FC835" w14:textId="77777777" w:rsidR="000C70C0" w:rsidRDefault="000C70C0">
      <w:r>
        <w:t>____________________</w:t>
      </w:r>
    </w:p>
  </w:footnote>
  <w:footnote w:type="continuationSeparator" w:id="0">
    <w:p w14:paraId="367BA475" w14:textId="77777777" w:rsidR="000C70C0" w:rsidRDefault="000C70C0">
      <w:r>
        <w:continuationSeparator/>
      </w:r>
    </w:p>
  </w:footnote>
  <w:footnote w:type="continuationNotice" w:id="1">
    <w:p w14:paraId="64474F16" w14:textId="77777777" w:rsidR="000C70C0" w:rsidRDefault="000C70C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C2D40" w:rsidRPr="00AC2D40" w14:paraId="7438B0F2" w14:textId="77777777" w:rsidTr="00356E11">
      <w:trPr>
        <w:trHeight w:val="1104"/>
        <w:jc w:val="center"/>
      </w:trPr>
      <w:tc>
        <w:tcPr>
          <w:tcW w:w="4390" w:type="dxa"/>
          <w:vAlign w:val="center"/>
        </w:tcPr>
        <w:p w14:paraId="64CF4435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  <w:bookmarkStart w:id="13" w:name="_Hlk133422111"/>
          <w:r w:rsidRPr="00AC2D40">
            <w:rPr>
              <w:noProof/>
            </w:rPr>
            <w:drawing>
              <wp:inline distT="0" distB="0" distL="0" distR="0" wp14:anchorId="3DE93C36" wp14:editId="37B7A6AE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E7882C3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703D670D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7EA7536E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szCs w:val="20"/>
            </w:rPr>
          </w:pPr>
          <w:r w:rsidRPr="00AC2D40">
            <w:rPr>
              <w:rFonts w:eastAsia="Times New Roman" w:cs="Times New Roman"/>
              <w:b/>
              <w:bCs/>
              <w:szCs w:val="20"/>
            </w:rPr>
            <w:t xml:space="preserve"> </w:t>
          </w:r>
        </w:p>
      </w:tc>
    </w:tr>
  </w:tbl>
  <w:bookmarkEnd w:id="13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B94FE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F31D8"/>
    <w:multiLevelType w:val="hybridMultilevel"/>
    <w:tmpl w:val="6B2CE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62E"/>
    <w:multiLevelType w:val="hybridMultilevel"/>
    <w:tmpl w:val="7158A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844004609">
    <w:abstractNumId w:val="2"/>
  </w:num>
  <w:num w:numId="3" w16cid:durableId="25574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4624"/>
    <w:rsid w:val="000075CD"/>
    <w:rsid w:val="00011FE9"/>
    <w:rsid w:val="000210D4"/>
    <w:rsid w:val="00032638"/>
    <w:rsid w:val="0004698E"/>
    <w:rsid w:val="00063016"/>
    <w:rsid w:val="00066795"/>
    <w:rsid w:val="0007128D"/>
    <w:rsid w:val="00076AF6"/>
    <w:rsid w:val="00085CF2"/>
    <w:rsid w:val="00091368"/>
    <w:rsid w:val="000B1705"/>
    <w:rsid w:val="000C70C0"/>
    <w:rsid w:val="000D6F7C"/>
    <w:rsid w:val="000D75B2"/>
    <w:rsid w:val="000F0B9C"/>
    <w:rsid w:val="000F0EED"/>
    <w:rsid w:val="000F3158"/>
    <w:rsid w:val="000F3953"/>
    <w:rsid w:val="000F54B8"/>
    <w:rsid w:val="000F7554"/>
    <w:rsid w:val="001037D0"/>
    <w:rsid w:val="001112B8"/>
    <w:rsid w:val="001121F5"/>
    <w:rsid w:val="00117541"/>
    <w:rsid w:val="00123A99"/>
    <w:rsid w:val="001400DC"/>
    <w:rsid w:val="00140CE1"/>
    <w:rsid w:val="00155015"/>
    <w:rsid w:val="00171437"/>
    <w:rsid w:val="0017539C"/>
    <w:rsid w:val="00175AC2"/>
    <w:rsid w:val="0017609F"/>
    <w:rsid w:val="001A7639"/>
    <w:rsid w:val="001A7D1D"/>
    <w:rsid w:val="001B51DD"/>
    <w:rsid w:val="001C628E"/>
    <w:rsid w:val="001C6EA1"/>
    <w:rsid w:val="001D7F28"/>
    <w:rsid w:val="001E0F7B"/>
    <w:rsid w:val="002119FD"/>
    <w:rsid w:val="002130E0"/>
    <w:rsid w:val="00217853"/>
    <w:rsid w:val="00221833"/>
    <w:rsid w:val="00221CC6"/>
    <w:rsid w:val="00222BA3"/>
    <w:rsid w:val="002514CF"/>
    <w:rsid w:val="00254101"/>
    <w:rsid w:val="00264425"/>
    <w:rsid w:val="00265875"/>
    <w:rsid w:val="0027303B"/>
    <w:rsid w:val="0028109B"/>
    <w:rsid w:val="002828FB"/>
    <w:rsid w:val="002A2188"/>
    <w:rsid w:val="002B1F58"/>
    <w:rsid w:val="002C1C7A"/>
    <w:rsid w:val="002C44B4"/>
    <w:rsid w:val="002C54E2"/>
    <w:rsid w:val="002C74FC"/>
    <w:rsid w:val="002D267C"/>
    <w:rsid w:val="002F2451"/>
    <w:rsid w:val="002F788A"/>
    <w:rsid w:val="0030160F"/>
    <w:rsid w:val="00306B95"/>
    <w:rsid w:val="00312434"/>
    <w:rsid w:val="003149A3"/>
    <w:rsid w:val="00320223"/>
    <w:rsid w:val="00322D0D"/>
    <w:rsid w:val="003278D8"/>
    <w:rsid w:val="00342668"/>
    <w:rsid w:val="00361465"/>
    <w:rsid w:val="00386F0A"/>
    <w:rsid w:val="003877F5"/>
    <w:rsid w:val="003942D4"/>
    <w:rsid w:val="003958A8"/>
    <w:rsid w:val="003A7DE1"/>
    <w:rsid w:val="003B3576"/>
    <w:rsid w:val="003B389A"/>
    <w:rsid w:val="003B7EDD"/>
    <w:rsid w:val="003C2533"/>
    <w:rsid w:val="003D5A7F"/>
    <w:rsid w:val="003F6D19"/>
    <w:rsid w:val="004016E2"/>
    <w:rsid w:val="0040435A"/>
    <w:rsid w:val="00416A24"/>
    <w:rsid w:val="00425DF6"/>
    <w:rsid w:val="00431D9E"/>
    <w:rsid w:val="00433CE8"/>
    <w:rsid w:val="00434A5C"/>
    <w:rsid w:val="00442C0D"/>
    <w:rsid w:val="004544D9"/>
    <w:rsid w:val="00472BAD"/>
    <w:rsid w:val="004744FE"/>
    <w:rsid w:val="00480DF2"/>
    <w:rsid w:val="00483983"/>
    <w:rsid w:val="00484009"/>
    <w:rsid w:val="004861E7"/>
    <w:rsid w:val="00490468"/>
    <w:rsid w:val="00490E72"/>
    <w:rsid w:val="00491157"/>
    <w:rsid w:val="004921C8"/>
    <w:rsid w:val="0049277A"/>
    <w:rsid w:val="00495B0B"/>
    <w:rsid w:val="004974E7"/>
    <w:rsid w:val="004A1B8B"/>
    <w:rsid w:val="004D1851"/>
    <w:rsid w:val="004D3FD6"/>
    <w:rsid w:val="004D599D"/>
    <w:rsid w:val="004E2EA5"/>
    <w:rsid w:val="004E3AEB"/>
    <w:rsid w:val="004F2147"/>
    <w:rsid w:val="0050223C"/>
    <w:rsid w:val="00515D7C"/>
    <w:rsid w:val="005243FF"/>
    <w:rsid w:val="00531226"/>
    <w:rsid w:val="00564FBC"/>
    <w:rsid w:val="00576CE2"/>
    <w:rsid w:val="005800BC"/>
    <w:rsid w:val="00582442"/>
    <w:rsid w:val="005A0670"/>
    <w:rsid w:val="005B6A3D"/>
    <w:rsid w:val="005F3269"/>
    <w:rsid w:val="005F3979"/>
    <w:rsid w:val="005F3B94"/>
    <w:rsid w:val="006014FD"/>
    <w:rsid w:val="00606B67"/>
    <w:rsid w:val="00623AE3"/>
    <w:rsid w:val="00624C7C"/>
    <w:rsid w:val="00641F27"/>
    <w:rsid w:val="0064737F"/>
    <w:rsid w:val="006535F1"/>
    <w:rsid w:val="0065557D"/>
    <w:rsid w:val="00660D50"/>
    <w:rsid w:val="00662984"/>
    <w:rsid w:val="00667FB7"/>
    <w:rsid w:val="00670CAE"/>
    <w:rsid w:val="006716BB"/>
    <w:rsid w:val="00671E0C"/>
    <w:rsid w:val="0067489E"/>
    <w:rsid w:val="00677141"/>
    <w:rsid w:val="00683275"/>
    <w:rsid w:val="006850BE"/>
    <w:rsid w:val="006B1859"/>
    <w:rsid w:val="006B6680"/>
    <w:rsid w:val="006B6DCC"/>
    <w:rsid w:val="006C1E5B"/>
    <w:rsid w:val="006D3EF8"/>
    <w:rsid w:val="006D7028"/>
    <w:rsid w:val="006D7709"/>
    <w:rsid w:val="006D7A6E"/>
    <w:rsid w:val="006E2B4E"/>
    <w:rsid w:val="006E46B4"/>
    <w:rsid w:val="00702DEF"/>
    <w:rsid w:val="00706861"/>
    <w:rsid w:val="00737933"/>
    <w:rsid w:val="00746854"/>
    <w:rsid w:val="0075051B"/>
    <w:rsid w:val="00764424"/>
    <w:rsid w:val="00793188"/>
    <w:rsid w:val="00794D34"/>
    <w:rsid w:val="007A58CE"/>
    <w:rsid w:val="007B3494"/>
    <w:rsid w:val="007B3853"/>
    <w:rsid w:val="007B4410"/>
    <w:rsid w:val="007B6BA1"/>
    <w:rsid w:val="00804D16"/>
    <w:rsid w:val="00813E5E"/>
    <w:rsid w:val="0083581B"/>
    <w:rsid w:val="008408C3"/>
    <w:rsid w:val="008478C6"/>
    <w:rsid w:val="00863874"/>
    <w:rsid w:val="00864AFF"/>
    <w:rsid w:val="00865925"/>
    <w:rsid w:val="008B0BE1"/>
    <w:rsid w:val="008B4A6A"/>
    <w:rsid w:val="008C2D09"/>
    <w:rsid w:val="008C7E27"/>
    <w:rsid w:val="008D32A8"/>
    <w:rsid w:val="008D5964"/>
    <w:rsid w:val="008F05D3"/>
    <w:rsid w:val="008F7448"/>
    <w:rsid w:val="0090147A"/>
    <w:rsid w:val="009173EF"/>
    <w:rsid w:val="00932906"/>
    <w:rsid w:val="009338E5"/>
    <w:rsid w:val="009411A7"/>
    <w:rsid w:val="00944062"/>
    <w:rsid w:val="00957BDE"/>
    <w:rsid w:val="00961AF3"/>
    <w:rsid w:val="00961B0B"/>
    <w:rsid w:val="00962D33"/>
    <w:rsid w:val="00977ACC"/>
    <w:rsid w:val="009A1AFD"/>
    <w:rsid w:val="009B12A2"/>
    <w:rsid w:val="009B38C3"/>
    <w:rsid w:val="009E17BD"/>
    <w:rsid w:val="009E485A"/>
    <w:rsid w:val="009F3875"/>
    <w:rsid w:val="00A0423E"/>
    <w:rsid w:val="00A04CEC"/>
    <w:rsid w:val="00A06B51"/>
    <w:rsid w:val="00A07C2F"/>
    <w:rsid w:val="00A26D87"/>
    <w:rsid w:val="00A27F92"/>
    <w:rsid w:val="00A3015A"/>
    <w:rsid w:val="00A30DAE"/>
    <w:rsid w:val="00A32257"/>
    <w:rsid w:val="00A36D20"/>
    <w:rsid w:val="00A514A4"/>
    <w:rsid w:val="00A555F3"/>
    <w:rsid w:val="00A55622"/>
    <w:rsid w:val="00A56D8B"/>
    <w:rsid w:val="00A62F0A"/>
    <w:rsid w:val="00A83502"/>
    <w:rsid w:val="00A91A86"/>
    <w:rsid w:val="00AA76CA"/>
    <w:rsid w:val="00AB6E2A"/>
    <w:rsid w:val="00AC2D40"/>
    <w:rsid w:val="00AD15B3"/>
    <w:rsid w:val="00AD3606"/>
    <w:rsid w:val="00AD4A3D"/>
    <w:rsid w:val="00AF16C0"/>
    <w:rsid w:val="00AF6E49"/>
    <w:rsid w:val="00B04A67"/>
    <w:rsid w:val="00B0583C"/>
    <w:rsid w:val="00B12D81"/>
    <w:rsid w:val="00B16530"/>
    <w:rsid w:val="00B26968"/>
    <w:rsid w:val="00B40A81"/>
    <w:rsid w:val="00B44910"/>
    <w:rsid w:val="00B50341"/>
    <w:rsid w:val="00B53C1B"/>
    <w:rsid w:val="00B72267"/>
    <w:rsid w:val="00B76EB6"/>
    <w:rsid w:val="00B7737B"/>
    <w:rsid w:val="00B824C8"/>
    <w:rsid w:val="00B84B9D"/>
    <w:rsid w:val="00B868DA"/>
    <w:rsid w:val="00BC251A"/>
    <w:rsid w:val="00BC6438"/>
    <w:rsid w:val="00BC7944"/>
    <w:rsid w:val="00BD032B"/>
    <w:rsid w:val="00BD55E8"/>
    <w:rsid w:val="00BE2640"/>
    <w:rsid w:val="00C01189"/>
    <w:rsid w:val="00C374DE"/>
    <w:rsid w:val="00C42DCE"/>
    <w:rsid w:val="00C47AD4"/>
    <w:rsid w:val="00C52D81"/>
    <w:rsid w:val="00C55198"/>
    <w:rsid w:val="00CA6393"/>
    <w:rsid w:val="00CA63CC"/>
    <w:rsid w:val="00CB18FF"/>
    <w:rsid w:val="00CD0C08"/>
    <w:rsid w:val="00CD13F4"/>
    <w:rsid w:val="00CE03FB"/>
    <w:rsid w:val="00CE433C"/>
    <w:rsid w:val="00CF0161"/>
    <w:rsid w:val="00CF33F3"/>
    <w:rsid w:val="00D02EC3"/>
    <w:rsid w:val="00D05B04"/>
    <w:rsid w:val="00D06183"/>
    <w:rsid w:val="00D1768D"/>
    <w:rsid w:val="00D22C42"/>
    <w:rsid w:val="00D5632B"/>
    <w:rsid w:val="00D65041"/>
    <w:rsid w:val="00D85DF4"/>
    <w:rsid w:val="00DA183E"/>
    <w:rsid w:val="00DA5470"/>
    <w:rsid w:val="00DA6898"/>
    <w:rsid w:val="00DB0CCE"/>
    <w:rsid w:val="00DB1936"/>
    <w:rsid w:val="00DB353C"/>
    <w:rsid w:val="00DB384B"/>
    <w:rsid w:val="00DC601A"/>
    <w:rsid w:val="00DD29A5"/>
    <w:rsid w:val="00DE1BEE"/>
    <w:rsid w:val="00DF0189"/>
    <w:rsid w:val="00E06FD5"/>
    <w:rsid w:val="00E10E80"/>
    <w:rsid w:val="00E124F0"/>
    <w:rsid w:val="00E20E2F"/>
    <w:rsid w:val="00E227F3"/>
    <w:rsid w:val="00E23618"/>
    <w:rsid w:val="00E3179B"/>
    <w:rsid w:val="00E37E91"/>
    <w:rsid w:val="00E46E45"/>
    <w:rsid w:val="00E545C6"/>
    <w:rsid w:val="00E60F04"/>
    <w:rsid w:val="00E638E6"/>
    <w:rsid w:val="00E65B24"/>
    <w:rsid w:val="00E74465"/>
    <w:rsid w:val="00E8270C"/>
    <w:rsid w:val="00E84C14"/>
    <w:rsid w:val="00E854E4"/>
    <w:rsid w:val="00E86DBF"/>
    <w:rsid w:val="00EB0D6F"/>
    <w:rsid w:val="00EB2232"/>
    <w:rsid w:val="00EB4869"/>
    <w:rsid w:val="00EC5337"/>
    <w:rsid w:val="00ED1C91"/>
    <w:rsid w:val="00ED6A9A"/>
    <w:rsid w:val="00EE3751"/>
    <w:rsid w:val="00EE49E8"/>
    <w:rsid w:val="00EE767A"/>
    <w:rsid w:val="00F01F4F"/>
    <w:rsid w:val="00F16BAB"/>
    <w:rsid w:val="00F2150A"/>
    <w:rsid w:val="00F231D8"/>
    <w:rsid w:val="00F34B8C"/>
    <w:rsid w:val="00F429F2"/>
    <w:rsid w:val="00F44C00"/>
    <w:rsid w:val="00F45D2C"/>
    <w:rsid w:val="00F46C5F"/>
    <w:rsid w:val="00F632C0"/>
    <w:rsid w:val="00F66CDD"/>
    <w:rsid w:val="00F74710"/>
    <w:rsid w:val="00F75FE6"/>
    <w:rsid w:val="00F84510"/>
    <w:rsid w:val="00F94A63"/>
    <w:rsid w:val="00FA1C28"/>
    <w:rsid w:val="00FB1279"/>
    <w:rsid w:val="00FB360B"/>
    <w:rsid w:val="00FB6B76"/>
    <w:rsid w:val="00FB7596"/>
    <w:rsid w:val="00FB7C4B"/>
    <w:rsid w:val="00FD4E04"/>
    <w:rsid w:val="00FE2D13"/>
    <w:rsid w:val="00FE4077"/>
    <w:rsid w:val="00FE500D"/>
    <w:rsid w:val="00FE5013"/>
    <w:rsid w:val="00FE77D2"/>
    <w:rsid w:val="010ECBB3"/>
    <w:rsid w:val="020CBCF4"/>
    <w:rsid w:val="07B2DB27"/>
    <w:rsid w:val="08B2EE28"/>
    <w:rsid w:val="0D65589C"/>
    <w:rsid w:val="0EF42C2F"/>
    <w:rsid w:val="1136993F"/>
    <w:rsid w:val="1223C0EF"/>
    <w:rsid w:val="12871BAF"/>
    <w:rsid w:val="192DBAA1"/>
    <w:rsid w:val="1974E253"/>
    <w:rsid w:val="1DCDD6A3"/>
    <w:rsid w:val="1E4FE49E"/>
    <w:rsid w:val="20356B9D"/>
    <w:rsid w:val="2212CBBB"/>
    <w:rsid w:val="25E373A6"/>
    <w:rsid w:val="263BF1C1"/>
    <w:rsid w:val="274B0964"/>
    <w:rsid w:val="27D293D6"/>
    <w:rsid w:val="2C3EA29F"/>
    <w:rsid w:val="3292C2BE"/>
    <w:rsid w:val="329D4040"/>
    <w:rsid w:val="33688DAB"/>
    <w:rsid w:val="3715767F"/>
    <w:rsid w:val="373BFE40"/>
    <w:rsid w:val="377A5080"/>
    <w:rsid w:val="3BBCFFEC"/>
    <w:rsid w:val="3BCFF473"/>
    <w:rsid w:val="3E2D3442"/>
    <w:rsid w:val="405CD420"/>
    <w:rsid w:val="406279E4"/>
    <w:rsid w:val="410A5870"/>
    <w:rsid w:val="46CB7235"/>
    <w:rsid w:val="4A8866A2"/>
    <w:rsid w:val="4D7C30A9"/>
    <w:rsid w:val="4F8C0E4D"/>
    <w:rsid w:val="519593D3"/>
    <w:rsid w:val="526E9BE4"/>
    <w:rsid w:val="52859976"/>
    <w:rsid w:val="5316B9A8"/>
    <w:rsid w:val="54282482"/>
    <w:rsid w:val="55EB39E0"/>
    <w:rsid w:val="573136D7"/>
    <w:rsid w:val="5C410CB5"/>
    <w:rsid w:val="5EAFE79B"/>
    <w:rsid w:val="63F88ABB"/>
    <w:rsid w:val="645D381D"/>
    <w:rsid w:val="669A6170"/>
    <w:rsid w:val="68621798"/>
    <w:rsid w:val="68CCB29D"/>
    <w:rsid w:val="6D5876BA"/>
    <w:rsid w:val="6E37DD07"/>
    <w:rsid w:val="7124790D"/>
    <w:rsid w:val="7154A1CC"/>
    <w:rsid w:val="7504B120"/>
    <w:rsid w:val="75190305"/>
    <w:rsid w:val="776AFDB0"/>
    <w:rsid w:val="78C92706"/>
    <w:rsid w:val="7B077940"/>
    <w:rsid w:val="7CA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FD45BC6-D54B-495C-B631-147C256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2C74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768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171437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1AFD"/>
    <w:pPr>
      <w:ind w:left="720"/>
      <w:contextualSpacing/>
    </w:pPr>
  </w:style>
  <w:style w:type="paragraph" w:customStyle="1" w:styleId="Subtitle1">
    <w:name w:val="Subtitle1"/>
    <w:basedOn w:val="Title1"/>
    <w:qFormat/>
    <w:rsid w:val="002514CF"/>
    <w:pPr>
      <w:framePr w:wrap="around" w:vAnchor="margin" w:hAnchor="text"/>
      <w:spacing w:before="120" w:after="160"/>
    </w:p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49A3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-2023/RES-071-E.pdf" TargetMode="External"/><Relationship Id="rId18" Type="http://schemas.openxmlformats.org/officeDocument/2006/relationships/hyperlink" Target="https://www.itu.int/en/council/Documents/basic-texts-2023/DEC-005-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L-C-0017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Convention-E.pdf" TargetMode="External"/><Relationship Id="rId17" Type="http://schemas.openxmlformats.org/officeDocument/2006/relationships/hyperlink" Target="https://www.itu.int/md/S23-CL-C-0112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s/opb/conf/S-CONF-CL-2021-PDF-E.pdf" TargetMode="External"/><Relationship Id="rId20" Type="http://schemas.openxmlformats.org/officeDocument/2006/relationships/hyperlink" Target="https://www.itu.int/md/S23-CL-C-011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/Constitution-E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-2023/DEC-011-E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council/Documents/basic-texts-2023/DEC-011-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-2023/DEC-005-E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7F2F3-5A20-4A9D-8F7B-B41731B48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05DF7-C6BE-4690-B290-070641F8E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5678D-5C86-458F-93DE-85AC110DA208}">
  <ds:schemaRefs>
    <ds:schemaRef ds:uri="98b04e1e-0540-4930-9623-702d547a0a33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85b46e1-7f22-4e81-9ba5-912dc5a5f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ITU strategic and financial plans for 2028-2031</vt:lpstr>
    </vt:vector>
  </TitlesOfParts>
  <Manager>General Secretariat - Pool</Manager>
  <Company>International Telecommunication Union (ITU)</Company>
  <LinksUpToDate>false</LinksUpToDate>
  <CharactersWithSpaces>8483</CharactersWithSpaces>
  <SharedDoc>false</SharedDoc>
  <HLinks>
    <vt:vector size="90" baseType="variant">
      <vt:variant>
        <vt:i4>7471165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https://www.itu.int/md/S23-CL-C-0112/en</vt:lpwstr>
      </vt:variant>
      <vt:variant>
        <vt:lpwstr/>
      </vt:variant>
      <vt:variant>
        <vt:i4>7274593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https://www.itu.int/en/council/Documents/basic-texts-2023/DEC-011-E.pdf</vt:lpwstr>
      </vt:variant>
      <vt:variant>
        <vt:lpwstr/>
      </vt:variant>
      <vt:variant>
        <vt:i4>7209061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https://www.itu.int/en/council/Documents/basic-texts-2023/DEC-005-E.pdf</vt:lpwstr>
      </vt:variant>
      <vt:variant>
        <vt:lpwstr/>
      </vt:variant>
      <vt:variant>
        <vt:i4>7471165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https://www.itu.int/md/S23-CL-C-0112/en</vt:lpwstr>
      </vt:variant>
      <vt:variant>
        <vt:lpwstr/>
      </vt:variant>
      <vt:variant>
        <vt:i4>655468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https://www.itu.int/dms_pub/itu-s/opb/conf/S-CONF-CL-2021-PDF-E.pdf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https://www.itu.int/en/council/Documents/basic-texts-2023/DEC-011-E.pdf</vt:lpwstr>
      </vt:variant>
      <vt:variant>
        <vt:lpwstr/>
      </vt:variant>
      <vt:variant>
        <vt:i4>7209061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https://www.itu.int/en/council/Documents/basic-texts-2023/DEC-005-E.pdf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https://www.itu.int/en/council/Documents/basic-texts-2023/RES-071-E.pdf</vt:lpwstr>
      </vt:variant>
      <vt:variant>
        <vt:lpwstr/>
      </vt:variant>
      <vt:variant>
        <vt:i4>4849686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https://www.itu.int/en/council/Documents/basic-texts/Convention-E.pdf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https://www.itu.int/en/council/Documents/basic-texts/Constitution-E.pdf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65655</vt:i4>
      </vt:variant>
      <vt:variant>
        <vt:i4>9</vt:i4>
      </vt:variant>
      <vt:variant>
        <vt:i4>0</vt:i4>
      </vt:variant>
      <vt:variant>
        <vt:i4>5</vt:i4>
      </vt:variant>
      <vt:variant>
        <vt:lpwstr>mailto:Catalin.marinescu@itu.int</vt:lpwstr>
      </vt:variant>
      <vt:variant>
        <vt:lpwstr/>
      </vt:variant>
      <vt:variant>
        <vt:i4>3211335</vt:i4>
      </vt:variant>
      <vt:variant>
        <vt:i4>6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5439614</vt:i4>
      </vt:variant>
      <vt:variant>
        <vt:i4>3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mailto:Catalin.marinescu@itu.int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ITU strategic and financial plans for 2028-2031</dc:title>
  <dc:subject>Council 2024</dc:subject>
  <dc:creator>author</dc:creator>
  <cp:keywords>C2024, C24, Council-24</cp:keywords>
  <dc:description/>
  <cp:lastModifiedBy>Brouard, Ricarda</cp:lastModifiedBy>
  <cp:revision>2</cp:revision>
  <cp:lastPrinted>2000-07-19T07:30:00Z</cp:lastPrinted>
  <dcterms:created xsi:type="dcterms:W3CDTF">2024-07-04T08:51:00Z</dcterms:created>
  <dcterms:modified xsi:type="dcterms:W3CDTF">2024-07-04T08:51:00Z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  <property fmtid="{D5CDD505-2E9C-101B-9397-08002B2CF9AE}" pid="9" name="MediaServiceImageTags">
    <vt:lpwstr/>
  </property>
</Properties>
</file>