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23BC67A5" w:rsidR="00FE57F6" w:rsidRPr="00E85629" w:rsidRDefault="001B4960" w:rsidP="00C538FC">
            <w:pPr>
              <w:tabs>
                <w:tab w:val="left" w:pos="851"/>
              </w:tabs>
              <w:spacing w:before="0" w:line="240" w:lineRule="atLeast"/>
              <w:rPr>
                <w:b/>
              </w:rPr>
            </w:pPr>
            <w:bookmarkStart w:id="0" w:name="_Hlk133421839"/>
            <w:r>
              <w:rPr>
                <w:b/>
              </w:rPr>
              <w:t>Punto del orden del día: ADM 3</w:t>
            </w:r>
          </w:p>
        </w:tc>
        <w:tc>
          <w:tcPr>
            <w:tcW w:w="5245" w:type="dxa"/>
          </w:tcPr>
          <w:p w14:paraId="12EC8577" w14:textId="55A46046"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1B4960">
              <w:rPr>
                <w:b/>
              </w:rPr>
              <w:t>56</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21CCDB79" w:rsidR="00FE57F6" w:rsidRPr="00E85629" w:rsidRDefault="001B4960" w:rsidP="00C538FC">
            <w:pPr>
              <w:tabs>
                <w:tab w:val="left" w:pos="851"/>
              </w:tabs>
              <w:spacing w:before="0"/>
              <w:jc w:val="right"/>
              <w:rPr>
                <w:b/>
              </w:rPr>
            </w:pPr>
            <w:r>
              <w:rPr>
                <w:b/>
              </w:rPr>
              <w:t>9 de abril de</w:t>
            </w:r>
            <w:r w:rsidR="00FE57F6">
              <w:rPr>
                <w:b/>
              </w:rPr>
              <w:t xml:space="preserve"> 202</w:t>
            </w:r>
            <w:r w:rsidR="0064481D">
              <w:rPr>
                <w:b/>
              </w:rPr>
              <w:t>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36536894" w:rsidR="00FE57F6" w:rsidRPr="001B4960" w:rsidRDefault="001B4960" w:rsidP="00C538FC">
            <w:pPr>
              <w:pStyle w:val="Subtitle"/>
              <w:framePr w:hSpace="0" w:wrap="auto" w:hAnchor="text" w:xAlign="left" w:yAlign="inline"/>
              <w:rPr>
                <w:lang w:val="es-ES"/>
              </w:rPr>
            </w:pPr>
            <w:r w:rsidRPr="001B4960">
              <w:rPr>
                <w:rFonts w:cstheme="minorHAnsi"/>
                <w:lang w:val="es-ES"/>
              </w:rPr>
              <w:t>INFORME SOBRE LA APLICACIÓN DE LA RESOLUCIÓN 1420</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990F8D7" w:rsidR="00FE57F6" w:rsidRPr="00F24B71" w:rsidRDefault="00F24B71" w:rsidP="00C538FC">
            <w:pPr>
              <w:spacing w:before="160"/>
              <w:rPr>
                <w:b/>
                <w:bCs/>
                <w:sz w:val="26"/>
                <w:szCs w:val="26"/>
                <w:lang w:val="es-ES"/>
              </w:rPr>
            </w:pPr>
            <w:r w:rsidRPr="00F24B71">
              <w:rPr>
                <w:b/>
                <w:bCs/>
                <w:sz w:val="26"/>
                <w:szCs w:val="26"/>
                <w:lang w:val="es-ES"/>
              </w:rPr>
              <w:t>Finalidad</w:t>
            </w:r>
          </w:p>
          <w:p w14:paraId="03FE82AA" w14:textId="3F785500" w:rsidR="001B4960" w:rsidRPr="001B4960" w:rsidRDefault="001B4960" w:rsidP="001B4960">
            <w:pPr>
              <w:rPr>
                <w:lang w:val="es-ES"/>
              </w:rPr>
            </w:pPr>
            <w:r w:rsidRPr="001B4960">
              <w:rPr>
                <w:lang w:val="es-ES"/>
              </w:rPr>
              <w:t xml:space="preserve">En su reunión de 2023, el Consejo de la UIT adoptó la Resolución 1420, por la que se aceptan las enmiendas al Estatuto de la Comisión de Administración Pública Internacional (CAPI) adoptadas por la Asamblea General de las Naciones Unidas en su 77º </w:t>
            </w:r>
            <w:r w:rsidR="001E6899">
              <w:rPr>
                <w:lang w:val="es-ES"/>
              </w:rPr>
              <w:t>periodo</w:t>
            </w:r>
            <w:r w:rsidRPr="001B4960">
              <w:rPr>
                <w:lang w:val="es-ES"/>
              </w:rPr>
              <w:t xml:space="preserve"> de sesiones, el 30 de diciembre de 2022, en virtud de la Resolución 77/256 A, y se encarga a la Secretaria General de la UIT que notifique esa aceptación al Secretario General de las Naciones Unidas.</w:t>
            </w:r>
          </w:p>
          <w:p w14:paraId="618C4414" w14:textId="55E758D9" w:rsidR="00FE57F6" w:rsidRPr="00F24B71" w:rsidRDefault="001B4960" w:rsidP="001B4960">
            <w:pPr>
              <w:rPr>
                <w:lang w:val="es-ES"/>
              </w:rPr>
            </w:pPr>
            <w:r w:rsidRPr="001B4960">
              <w:rPr>
                <w:lang w:val="es-ES"/>
              </w:rPr>
              <w:t>En el presente informe se resume la aplicación de dicha Resolución, haciendo especial hincapié en los notables avances relativos al multiplicador del ajuste por lugar de destino aplicable a Ginebra.</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7B589E29" w:rsidR="00FE57F6" w:rsidRPr="00F24B71" w:rsidRDefault="001B4960" w:rsidP="00C538FC">
            <w:pPr>
              <w:rPr>
                <w:lang w:val="es-ES"/>
              </w:rPr>
            </w:pPr>
            <w:r w:rsidRPr="001B4960">
              <w:rPr>
                <w:lang w:val="es-ES"/>
              </w:rPr>
              <w:t xml:space="preserve">Se invita al Consejo a </w:t>
            </w:r>
            <w:r w:rsidRPr="001B4960">
              <w:rPr>
                <w:b/>
                <w:bCs/>
                <w:lang w:val="es-ES"/>
              </w:rPr>
              <w:t>tomar nota</w:t>
            </w:r>
            <w:r w:rsidRPr="001B4960">
              <w:rPr>
                <w:lang w:val="es-ES"/>
              </w:rPr>
              <w:t xml:space="preserve"> de la aplicación de la Resolución 1420 y del multiplicador del ajuste por lugar de destino establecido por la CAPI con efecto a partir del 1 de febrero de</w:t>
            </w:r>
            <w:r w:rsidR="001E6899">
              <w:rPr>
                <w:lang w:val="es-ES"/>
              </w:rPr>
              <w:t> </w:t>
            </w:r>
            <w:r w:rsidRPr="001B4960">
              <w:rPr>
                <w:lang w:val="es-ES"/>
              </w:rPr>
              <w:t>2024.</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20E68631" w:rsidR="00FE57F6" w:rsidRPr="00F24B71" w:rsidRDefault="001B4960" w:rsidP="00C538FC">
            <w:pPr>
              <w:rPr>
                <w:lang w:val="es-ES"/>
              </w:rPr>
            </w:pPr>
            <w:r w:rsidRPr="001B4960">
              <w:rPr>
                <w:lang w:val="es-ES"/>
              </w:rPr>
              <w:t>La UIT como parte del sistema de las Naciones Unidas.</w:t>
            </w:r>
          </w:p>
          <w:p w14:paraId="570AED91" w14:textId="5875A95A" w:rsidR="00FE57F6" w:rsidRDefault="00F24B71" w:rsidP="00C538FC">
            <w:pPr>
              <w:spacing w:before="160"/>
              <w:rPr>
                <w:b/>
                <w:bCs/>
                <w:sz w:val="26"/>
                <w:szCs w:val="26"/>
              </w:rPr>
            </w:pPr>
            <w:r w:rsidRPr="00F24B71">
              <w:rPr>
                <w:b/>
                <w:bCs/>
                <w:sz w:val="26"/>
                <w:szCs w:val="26"/>
              </w:rPr>
              <w:t>Repercusiones financieras</w:t>
            </w:r>
          </w:p>
          <w:p w14:paraId="7501B7E4" w14:textId="4BD54258" w:rsidR="001B4960" w:rsidRPr="001B4960" w:rsidRDefault="001B4960" w:rsidP="001B4960">
            <w:pPr>
              <w:rPr>
                <w:rFonts w:eastAsiaTheme="minorEastAsia"/>
                <w:lang w:eastAsia="en-GB"/>
              </w:rPr>
            </w:pPr>
            <w:r w:rsidRPr="001B4960">
              <w:rPr>
                <w:rFonts w:eastAsiaTheme="minorEastAsia"/>
                <w:lang w:eastAsia="en-GB"/>
              </w:rPr>
              <w:t xml:space="preserve">La CAPI publicó el resultado del examen anual del ajuste por lugar de destino el 14 de febrero de 2024. Las repercusiones financieras para 2024 de la implementación del nuevo ajuste por lugar de destino </w:t>
            </w:r>
            <w:r w:rsidRPr="001B4960">
              <w:rPr>
                <w:rFonts w:cs="Calibri"/>
                <w:spacing w:val="2"/>
              </w:rPr>
              <w:t>aplicable a</w:t>
            </w:r>
            <w:r w:rsidRPr="001B4960">
              <w:rPr>
                <w:rFonts w:eastAsiaTheme="minorEastAsia"/>
                <w:lang w:eastAsia="en-GB"/>
              </w:rPr>
              <w:t xml:space="preserve"> Ginebra ascienden a 2</w:t>
            </w:r>
            <w:r w:rsidR="001E6899">
              <w:rPr>
                <w:rFonts w:eastAsiaTheme="minorEastAsia"/>
                <w:lang w:eastAsia="en-GB"/>
              </w:rPr>
              <w:t> </w:t>
            </w:r>
            <w:r w:rsidRPr="001B4960">
              <w:rPr>
                <w:rFonts w:eastAsiaTheme="minorEastAsia"/>
                <w:lang w:eastAsia="en-GB"/>
              </w:rPr>
              <w:t>543</w:t>
            </w:r>
            <w:r w:rsidR="001E6899">
              <w:rPr>
                <w:rFonts w:eastAsiaTheme="minorEastAsia"/>
                <w:lang w:eastAsia="en-GB"/>
              </w:rPr>
              <w:t> </w:t>
            </w:r>
            <w:r w:rsidRPr="001B4960">
              <w:rPr>
                <w:rFonts w:eastAsiaTheme="minorEastAsia"/>
                <w:lang w:eastAsia="en-GB"/>
              </w:rPr>
              <w:t>861</w:t>
            </w:r>
            <w:r w:rsidR="001E6899">
              <w:rPr>
                <w:rFonts w:eastAsiaTheme="minorEastAsia"/>
                <w:lang w:eastAsia="en-GB"/>
              </w:rPr>
              <w:t> </w:t>
            </w:r>
            <w:r w:rsidRPr="001B4960">
              <w:rPr>
                <w:rFonts w:eastAsiaTheme="minorEastAsia"/>
                <w:lang w:eastAsia="en-GB"/>
              </w:rPr>
              <w:t>CHF (para el periodo de 11 meses comprendido entre el 1 de febrero de 2024 y finales de año) y a 2</w:t>
            </w:r>
            <w:r w:rsidR="001E6899">
              <w:rPr>
                <w:rFonts w:eastAsiaTheme="minorEastAsia"/>
                <w:lang w:eastAsia="en-GB"/>
              </w:rPr>
              <w:t> </w:t>
            </w:r>
            <w:r w:rsidRPr="001B4960">
              <w:rPr>
                <w:rFonts w:eastAsiaTheme="minorEastAsia"/>
                <w:lang w:eastAsia="en-GB"/>
              </w:rPr>
              <w:t>775</w:t>
            </w:r>
            <w:r w:rsidR="001E6899">
              <w:rPr>
                <w:rFonts w:eastAsiaTheme="minorEastAsia"/>
                <w:lang w:eastAsia="en-GB"/>
              </w:rPr>
              <w:t> </w:t>
            </w:r>
            <w:r w:rsidRPr="001B4960">
              <w:rPr>
                <w:rFonts w:eastAsiaTheme="minorEastAsia"/>
                <w:lang w:eastAsia="en-GB"/>
              </w:rPr>
              <w:t>121</w:t>
            </w:r>
            <w:r w:rsidR="001E6899">
              <w:rPr>
                <w:rFonts w:eastAsiaTheme="minorEastAsia"/>
                <w:lang w:eastAsia="en-GB"/>
              </w:rPr>
              <w:t> </w:t>
            </w:r>
            <w:r w:rsidRPr="001B4960">
              <w:rPr>
                <w:rFonts w:eastAsiaTheme="minorEastAsia"/>
                <w:lang w:eastAsia="en-GB"/>
              </w:rPr>
              <w:t>CHF para 2025. Para el bienio 2024-2025, las repercusiones financieras ascienden a un total de 5</w:t>
            </w:r>
            <w:r w:rsidR="001E6899">
              <w:rPr>
                <w:rFonts w:eastAsiaTheme="minorEastAsia"/>
                <w:lang w:eastAsia="en-GB"/>
              </w:rPr>
              <w:t> </w:t>
            </w:r>
            <w:r w:rsidRPr="001B4960">
              <w:rPr>
                <w:rFonts w:eastAsiaTheme="minorEastAsia"/>
                <w:lang w:eastAsia="en-GB"/>
              </w:rPr>
              <w:t>318</w:t>
            </w:r>
            <w:r w:rsidR="001E6899">
              <w:rPr>
                <w:rFonts w:eastAsiaTheme="minorEastAsia"/>
                <w:lang w:eastAsia="en-GB"/>
              </w:rPr>
              <w:t> </w:t>
            </w:r>
            <w:r w:rsidRPr="001B4960">
              <w:rPr>
                <w:rFonts w:eastAsiaTheme="minorEastAsia"/>
                <w:lang w:eastAsia="en-GB"/>
              </w:rPr>
              <w:t>982</w:t>
            </w:r>
            <w:r w:rsidR="001E6899">
              <w:rPr>
                <w:rFonts w:eastAsiaTheme="minorEastAsia"/>
                <w:lang w:eastAsia="en-GB"/>
              </w:rPr>
              <w:t> </w:t>
            </w:r>
            <w:r w:rsidRPr="001B4960">
              <w:rPr>
                <w:rFonts w:eastAsiaTheme="minorEastAsia"/>
                <w:lang w:eastAsia="en-GB"/>
              </w:rPr>
              <w:t>CHF.</w:t>
            </w:r>
          </w:p>
          <w:p w14:paraId="5DF89E50" w14:textId="77777777" w:rsidR="001B4960" w:rsidRPr="001B4960" w:rsidRDefault="001B4960" w:rsidP="001B4960">
            <w:pPr>
              <w:rPr>
                <w:rFonts w:eastAsia="SimSun"/>
              </w:rPr>
            </w:pPr>
            <w:r w:rsidRPr="001B4960">
              <w:rPr>
                <w:rFonts w:eastAsia="SimSun"/>
              </w:rPr>
              <w:t xml:space="preserve">En caso de que este aumento no pueda ser absorbido por el presupuesto para 2024-2025, a tenor de la Resolución 1417 del Consejo, la Secretaria General está autorizada, durante la ejecución de dicho presupuesto, a ajustar las consignaciones de las partidas de gastos </w:t>
            </w:r>
            <w:r w:rsidRPr="001B4960">
              <w:rPr>
                <w:rFonts w:eastAsia="SimSun"/>
              </w:rPr>
              <w:lastRenderedPageBreak/>
              <w:t>(incluidos los ajustes por lugar de destino aplicables en Ginebra establecidos por el régimen común de las Naciones Unidas) mediante el uso de la Cuenta de Provisión</w:t>
            </w:r>
            <w:r w:rsidRPr="001B4960">
              <w:rPr>
                <w:rFonts w:eastAsia="SimSun"/>
                <w:position w:val="6"/>
                <w:sz w:val="16"/>
              </w:rPr>
              <w:footnoteReference w:id="1"/>
            </w:r>
            <w:r w:rsidRPr="001B4960">
              <w:rPr>
                <w:rFonts w:eastAsia="SimSun"/>
              </w:rPr>
              <w:t>.</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7777777" w:rsidR="00FE57F6" w:rsidRDefault="00F24B71" w:rsidP="00C538FC">
            <w:pPr>
              <w:spacing w:before="160"/>
              <w:rPr>
                <w:b/>
                <w:bCs/>
                <w:sz w:val="26"/>
                <w:szCs w:val="26"/>
              </w:rPr>
            </w:pPr>
            <w:r w:rsidRPr="00F24B71">
              <w:rPr>
                <w:b/>
                <w:bCs/>
                <w:sz w:val="26"/>
                <w:szCs w:val="26"/>
              </w:rPr>
              <w:t>Referencia</w:t>
            </w:r>
          </w:p>
          <w:p w14:paraId="58339413" w14:textId="1E3965D2" w:rsidR="00FE57F6" w:rsidRDefault="001B4960" w:rsidP="00C538FC">
            <w:pPr>
              <w:spacing w:after="160"/>
            </w:pPr>
            <w:r w:rsidRPr="001B4960">
              <w:rPr>
                <w:rFonts w:eastAsia="SimSun"/>
                <w:i/>
                <w:iCs/>
                <w:szCs w:val="24"/>
              </w:rPr>
              <w:t xml:space="preserve">Documento </w:t>
            </w:r>
            <w:hyperlink r:id="rId6" w:history="1">
              <w:r w:rsidRPr="001B4960">
                <w:rPr>
                  <w:rFonts w:eastAsia="SimSun"/>
                  <w:i/>
                  <w:iCs/>
                  <w:color w:val="0563C1"/>
                  <w:szCs w:val="24"/>
                  <w:u w:val="single"/>
                </w:rPr>
                <w:t>C23/56</w:t>
              </w:r>
            </w:hyperlink>
            <w:r w:rsidRPr="001B4960">
              <w:rPr>
                <w:rFonts w:eastAsia="SimSun"/>
                <w:i/>
                <w:iCs/>
                <w:szCs w:val="24"/>
              </w:rPr>
              <w:t xml:space="preserve"> del Consejo; </w:t>
            </w:r>
            <w:hyperlink r:id="rId7" w:history="1">
              <w:r w:rsidRPr="001B4960">
                <w:rPr>
                  <w:rFonts w:eastAsia="SimSun"/>
                  <w:i/>
                  <w:iCs/>
                  <w:color w:val="0563C1"/>
                  <w:szCs w:val="24"/>
                  <w:u w:val="single"/>
                </w:rPr>
                <w:t>Resolución 1420</w:t>
              </w:r>
            </w:hyperlink>
            <w:r w:rsidRPr="001B4960">
              <w:rPr>
                <w:rFonts w:eastAsia="SimSun"/>
                <w:i/>
                <w:iCs/>
                <w:szCs w:val="24"/>
              </w:rPr>
              <w:t xml:space="preserve"> adoptada por el Consejo de la UIT en su reunión de 2023</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4747F60C" w14:textId="465AE910" w:rsidR="001B4960" w:rsidRPr="001B4960" w:rsidRDefault="001B4960" w:rsidP="001B4960">
      <w:pPr>
        <w:pStyle w:val="Heading1"/>
        <w:rPr>
          <w:lang w:eastAsia="en-GB"/>
        </w:rPr>
      </w:pPr>
      <w:r w:rsidRPr="001B4960">
        <w:rPr>
          <w:lang w:eastAsia="en-GB"/>
        </w:rPr>
        <w:lastRenderedPageBreak/>
        <w:t>1</w:t>
      </w:r>
      <w:r w:rsidRPr="001B4960">
        <w:rPr>
          <w:lang w:eastAsia="en-GB"/>
        </w:rPr>
        <w:tab/>
        <w:t>Antecedentes</w:t>
      </w:r>
    </w:p>
    <w:p w14:paraId="2EB7022D" w14:textId="77777777" w:rsidR="001B4960" w:rsidRPr="001B4960" w:rsidRDefault="001B4960" w:rsidP="001B4960">
      <w:pPr>
        <w:rPr>
          <w:lang w:eastAsia="en-GB"/>
        </w:rPr>
      </w:pPr>
      <w:r w:rsidRPr="001B4960">
        <w:rPr>
          <w:lang w:eastAsia="en-GB"/>
        </w:rPr>
        <w:t>1.1</w:t>
      </w:r>
      <w:r w:rsidRPr="001B4960">
        <w:rPr>
          <w:rFonts w:ascii="Times New Roman" w:hAnsi="Times New Roman"/>
          <w:lang w:eastAsia="en-GB"/>
        </w:rPr>
        <w:tab/>
      </w:r>
      <w:r w:rsidRPr="001B4960">
        <w:rPr>
          <w:lang w:eastAsia="en-GB"/>
        </w:rPr>
        <w:t>A fin de aclarar las facultades en materia de toma de decisiones de la Comisión de Administración Pública Internacional (CAPI) con respecto a la determinación de los multiplicadores del ajuste por lugar de destino, la Asamblea General de las Naciones Unidas (AGNU) aprobó una serie de enmiendas a los Artículos 10 y 11 del Estatuto de la CAPI en diciembre de 2022. La AGNU invitó a las organizaciones competentes del régimen común de las Naciones Unidas a proceder a la aceptación oficial el Estatuto enmendado.</w:t>
      </w:r>
    </w:p>
    <w:p w14:paraId="3DDB4DB1" w14:textId="77777777" w:rsidR="001B4960" w:rsidRPr="001B4960" w:rsidRDefault="001B4960" w:rsidP="001B4960">
      <w:pPr>
        <w:rPr>
          <w:rFonts w:eastAsia="Calibri"/>
          <w:kern w:val="2"/>
          <w:lang w:eastAsia="en-GB"/>
          <w14:ligatures w14:val="standardContextual"/>
        </w:rPr>
      </w:pPr>
      <w:r w:rsidRPr="001B4960">
        <w:rPr>
          <w:lang w:eastAsia="en-GB"/>
        </w:rPr>
        <w:t>1.2</w:t>
      </w:r>
      <w:r w:rsidRPr="001B4960">
        <w:rPr>
          <w:rFonts w:cstheme="minorHAnsi"/>
          <w:lang w:eastAsia="en-GB"/>
        </w:rPr>
        <w:tab/>
      </w:r>
      <w:r w:rsidRPr="001B4960">
        <w:rPr>
          <w:lang w:eastAsia="en-GB"/>
        </w:rPr>
        <w:t xml:space="preserve">En la Resolución 1420, adoptada en la séptima sesión plenaria de reunión de 2023 del Consejo de la UIT, este último acepta las enmiendas al Estatuto de la CAPI que figuran en la Resolución </w:t>
      </w:r>
      <w:hyperlink r:id="rId8" w:history="1">
        <w:r w:rsidRPr="001B4960">
          <w:rPr>
            <w:color w:val="0563C1"/>
            <w:u w:val="single"/>
            <w:lang w:eastAsia="en-GB"/>
          </w:rPr>
          <w:t>A/RES/77/2</w:t>
        </w:r>
        <w:r w:rsidRPr="001B4960">
          <w:rPr>
            <w:color w:val="0563C1"/>
            <w:u w:val="single"/>
            <w:lang w:eastAsia="en-GB"/>
          </w:rPr>
          <w:t>5</w:t>
        </w:r>
        <w:r w:rsidRPr="001B4960">
          <w:rPr>
            <w:color w:val="0563C1"/>
            <w:u w:val="single"/>
            <w:lang w:eastAsia="en-GB"/>
          </w:rPr>
          <w:t>6 A</w:t>
        </w:r>
      </w:hyperlink>
      <w:r w:rsidRPr="001B4960">
        <w:rPr>
          <w:lang w:eastAsia="en-GB"/>
        </w:rPr>
        <w:t xml:space="preserve"> de la </w:t>
      </w:r>
      <w:r w:rsidRPr="001B4960">
        <w:rPr>
          <w:spacing w:val="-2"/>
          <w:lang w:eastAsia="en-GB"/>
        </w:rPr>
        <w:t>AGNU.</w:t>
      </w:r>
      <w:r w:rsidRPr="001B4960">
        <w:rPr>
          <w:rFonts w:ascii="Times New Roman" w:hAnsi="Times New Roman"/>
          <w:lang w:eastAsia="en-GB"/>
        </w:rPr>
        <w:t xml:space="preserve"> </w:t>
      </w:r>
      <w:r w:rsidRPr="001B4960">
        <w:rPr>
          <w:spacing w:val="-2"/>
          <w:lang w:eastAsia="en-GB"/>
        </w:rPr>
        <w:t>Posteriormente, la Secretaria General notificó esa aceptación al Secretario General de las Naciones Unidas.</w:t>
      </w:r>
    </w:p>
    <w:p w14:paraId="214054DF" w14:textId="31CF729A" w:rsidR="001B4960" w:rsidRPr="001B4960" w:rsidRDefault="001B4960" w:rsidP="001B4960">
      <w:pPr>
        <w:rPr>
          <w:rFonts w:eastAsia="Calibri"/>
          <w:kern w:val="2"/>
          <w:lang w:eastAsia="en-GB"/>
          <w14:ligatures w14:val="standardContextual"/>
        </w:rPr>
      </w:pPr>
      <w:r w:rsidRPr="001B4960">
        <w:rPr>
          <w:lang w:eastAsia="en-GB"/>
        </w:rPr>
        <w:t>1.3</w:t>
      </w:r>
      <w:r w:rsidRPr="001B4960">
        <w:rPr>
          <w:rFonts w:cstheme="minorHAnsi"/>
          <w:lang w:eastAsia="en-GB"/>
        </w:rPr>
        <w:tab/>
      </w:r>
      <w:r w:rsidRPr="001B4960">
        <w:rPr>
          <w:lang w:eastAsia="en-GB"/>
        </w:rPr>
        <w:t xml:space="preserve">El Consejo también autorizó a la Secretaria General a estudiar todo margen admisible para flexibilizar la aplicación de </w:t>
      </w:r>
      <w:r w:rsidRPr="001B4960">
        <w:rPr>
          <w:rFonts w:eastAsia="Calibri"/>
          <w:kern w:val="2"/>
          <w:lang w:eastAsia="en-GB"/>
          <w14:ligatures w14:val="standardContextual"/>
        </w:rPr>
        <w:t xml:space="preserve">la Resolución 1420. </w:t>
      </w:r>
      <w:r w:rsidRPr="001B4960">
        <w:rPr>
          <w:lang w:eastAsia="en-GB"/>
        </w:rPr>
        <w:t xml:space="preserve">Teniendo en cuenta la elevada inflación y el fuerte aumento del costo de la vida en Ginebra, la UIT, en colaboración con otros organismos especializados con sede en Ginebra (en concreto, la OMS y la OMPI), y previa consulta con la CAPI, decidió mantener el </w:t>
      </w:r>
      <w:r w:rsidRPr="001B4960">
        <w:rPr>
          <w:rFonts w:cs="Calibri"/>
          <w:spacing w:val="2"/>
        </w:rPr>
        <w:t xml:space="preserve">multiplicador del ajuste por lugar de destino </w:t>
      </w:r>
      <w:r w:rsidRPr="001B4960">
        <w:rPr>
          <w:lang w:eastAsia="en-GB"/>
        </w:rPr>
        <w:t>aplicable a Ginebra acorde a los resultados de la encuesta sobre el costo de la vida de 2010, en espera del próximo examen anual de la CAPI, cuyo objetivo era reflejar de forma más exhaustiva las condiciones de vida actuales.</w:t>
      </w:r>
    </w:p>
    <w:p w14:paraId="3C04B31F" w14:textId="77777777" w:rsidR="001B4960" w:rsidRPr="001B4960" w:rsidRDefault="001B4960" w:rsidP="001B4960">
      <w:pPr>
        <w:rPr>
          <w:rFonts w:eastAsia="SimSun" w:cstheme="minorHAnsi"/>
          <w:lang w:eastAsia="en-GB"/>
        </w:rPr>
      </w:pPr>
      <w:r w:rsidRPr="001B4960">
        <w:rPr>
          <w:rFonts w:eastAsia="SimSun" w:cstheme="minorHAnsi"/>
          <w:color w:val="000000"/>
          <w:lang w:eastAsia="zh-CN"/>
        </w:rPr>
        <w:t>1.4</w:t>
      </w:r>
      <w:r w:rsidRPr="001B4960">
        <w:rPr>
          <w:rFonts w:eastAsia="SimSun" w:cstheme="minorHAnsi"/>
          <w:color w:val="000000"/>
          <w:lang w:eastAsia="zh-CN"/>
        </w:rPr>
        <w:tab/>
        <w:t xml:space="preserve">El 14 de febrero de 2024, la CAPI publicó el resultado del examen anual de la </w:t>
      </w:r>
      <w:bookmarkStart w:id="1" w:name="_Hlk164364723"/>
      <w:r w:rsidRPr="001B4960">
        <w:rPr>
          <w:rFonts w:eastAsia="SimSun" w:cstheme="minorHAnsi"/>
          <w:color w:val="000000"/>
          <w:lang w:eastAsia="zh-CN"/>
        </w:rPr>
        <w:t xml:space="preserve">clasificación del ajuste por lugar de destino </w:t>
      </w:r>
      <w:bookmarkEnd w:id="1"/>
      <w:r w:rsidRPr="001B4960">
        <w:rPr>
          <w:rFonts w:eastAsia="SimSun" w:cs="Calibri"/>
          <w:color w:val="000000"/>
          <w:spacing w:val="2"/>
        </w:rPr>
        <w:t>aplicable a</w:t>
      </w:r>
      <w:r w:rsidRPr="001B4960">
        <w:rPr>
          <w:rFonts w:eastAsia="SimSun" w:cstheme="minorHAnsi"/>
          <w:color w:val="000000"/>
          <w:lang w:eastAsia="zh-CN"/>
        </w:rPr>
        <w:t xml:space="preserve"> Nueva York, conforme a lo previsto en la Resolución </w:t>
      </w:r>
      <w:hyperlink r:id="rId9" w:history="1">
        <w:r w:rsidRPr="001B4960">
          <w:rPr>
            <w:rFonts w:eastAsia="SimSun" w:cstheme="minorHAnsi"/>
            <w:color w:val="0563C1"/>
            <w:u w:val="single"/>
            <w:lang w:eastAsia="zh-CN"/>
          </w:rPr>
          <w:t>A/RES/7</w:t>
        </w:r>
        <w:r w:rsidRPr="001B4960">
          <w:rPr>
            <w:rFonts w:eastAsia="SimSun" w:cstheme="minorHAnsi"/>
            <w:color w:val="0563C1"/>
            <w:u w:val="single"/>
            <w:lang w:eastAsia="zh-CN"/>
          </w:rPr>
          <w:t>0</w:t>
        </w:r>
        <w:r w:rsidRPr="001B4960">
          <w:rPr>
            <w:rFonts w:eastAsia="SimSun" w:cstheme="minorHAnsi"/>
            <w:color w:val="0563C1"/>
            <w:u w:val="single"/>
            <w:lang w:eastAsia="zh-CN"/>
          </w:rPr>
          <w:t>/244</w:t>
        </w:r>
      </w:hyperlink>
      <w:r w:rsidRPr="001B4960">
        <w:rPr>
          <w:rFonts w:eastAsia="SimSun" w:cstheme="minorHAnsi"/>
          <w:color w:val="000000"/>
          <w:lang w:eastAsia="zh-CN"/>
        </w:rPr>
        <w:t xml:space="preserve"> de la AGNU (sección II, párrafo 5), lo que dio lugar a un aumento del multiplicador correspondiente de 80,5 a 88,4.</w:t>
      </w:r>
    </w:p>
    <w:p w14:paraId="1B588A60" w14:textId="01EA18E8" w:rsidR="001B4960" w:rsidRPr="001B4960" w:rsidRDefault="001B4960" w:rsidP="001B4960">
      <w:pPr>
        <w:rPr>
          <w:rFonts w:eastAsia="SimSun" w:cstheme="minorHAnsi"/>
          <w:color w:val="000000"/>
          <w:lang w:eastAsia="zh-CN"/>
        </w:rPr>
      </w:pPr>
      <w:r w:rsidRPr="001B4960">
        <w:rPr>
          <w:rFonts w:eastAsia="SimSun" w:cstheme="minorHAnsi"/>
          <w:color w:val="000000"/>
          <w:lang w:eastAsia="zh-CN"/>
        </w:rPr>
        <w:t>1.5</w:t>
      </w:r>
      <w:r w:rsidRPr="001B4960">
        <w:rPr>
          <w:rFonts w:eastAsia="SimSun" w:cstheme="minorHAnsi"/>
          <w:color w:val="000000"/>
          <w:lang w:eastAsia="zh-CN"/>
        </w:rPr>
        <w:tab/>
        <w:t xml:space="preserve">El examen de las clasificaciones del ajuste por lugar de destino de todas las sedes y otros lugares de destino del grupo I, en la fecha aniversario del examen de la clasificación del ajuste por lugar de destino aplicable a Nueva York, de conformidad con la Resolución </w:t>
      </w:r>
      <w:hyperlink r:id="rId10" w:history="1">
        <w:r w:rsidRPr="001B4960">
          <w:rPr>
            <w:rFonts w:eastAsia="SimSun" w:cstheme="minorHAnsi"/>
            <w:color w:val="0563C1"/>
            <w:u w:val="single"/>
            <w:lang w:eastAsia="zh-CN"/>
          </w:rPr>
          <w:t>A/RES/6</w:t>
        </w:r>
        <w:r w:rsidRPr="001B4960">
          <w:rPr>
            <w:rFonts w:eastAsia="SimSun" w:cstheme="minorHAnsi"/>
            <w:color w:val="0563C1"/>
            <w:u w:val="single"/>
            <w:lang w:eastAsia="zh-CN"/>
          </w:rPr>
          <w:t>9</w:t>
        </w:r>
        <w:r w:rsidRPr="001B4960">
          <w:rPr>
            <w:rFonts w:eastAsia="SimSun" w:cstheme="minorHAnsi"/>
            <w:color w:val="0563C1"/>
            <w:u w:val="single"/>
            <w:lang w:eastAsia="zh-CN"/>
          </w:rPr>
          <w:t>/251</w:t>
        </w:r>
      </w:hyperlink>
      <w:r w:rsidRPr="001B4960">
        <w:rPr>
          <w:rFonts w:eastAsia="SimSun" w:cs="Calibri"/>
          <w:color w:val="000000"/>
          <w:lang w:eastAsia="zh-CN"/>
        </w:rPr>
        <w:t xml:space="preserve"> (Sección E) de </w:t>
      </w:r>
      <w:r w:rsidRPr="001B4960">
        <w:rPr>
          <w:rFonts w:eastAsia="SimSun" w:cstheme="minorHAnsi"/>
          <w:color w:val="000000"/>
          <w:lang w:eastAsia="zh-CN"/>
        </w:rPr>
        <w:t>la AGNU</w:t>
      </w:r>
      <w:r w:rsidRPr="001B4960">
        <w:rPr>
          <w:rFonts w:eastAsia="SimSun" w:cs="Calibri"/>
          <w:color w:val="000000"/>
          <w:lang w:eastAsia="zh-CN"/>
        </w:rPr>
        <w:t xml:space="preserve">, entrañó un aumento real de los </w:t>
      </w:r>
      <w:r w:rsidRPr="001B4960">
        <w:rPr>
          <w:rFonts w:eastAsia="SimSun" w:cstheme="minorHAnsi"/>
          <w:color w:val="000000"/>
          <w:lang w:eastAsia="zh-CN"/>
        </w:rPr>
        <w:t>sueldos en 51 (de los</w:t>
      </w:r>
      <w:r w:rsidR="001E6899">
        <w:rPr>
          <w:rFonts w:eastAsia="SimSun" w:cstheme="minorHAnsi"/>
          <w:color w:val="000000"/>
          <w:lang w:eastAsia="zh-CN"/>
        </w:rPr>
        <w:t> </w:t>
      </w:r>
      <w:r w:rsidRPr="001B4960">
        <w:rPr>
          <w:rFonts w:eastAsia="SimSun" w:cstheme="minorHAnsi"/>
          <w:color w:val="000000"/>
          <w:lang w:eastAsia="zh-CN"/>
        </w:rPr>
        <w:t>53) lugares de destino del grupo I, cuyos índices actualizados de ajustes por lugar de destino superaban sus índices de remuneración vigentes, con efecto a partir del 1 de febrero de 2024.</w:t>
      </w:r>
    </w:p>
    <w:p w14:paraId="2EC13DBF" w14:textId="460C7AD4" w:rsidR="001B4960" w:rsidRPr="001B4960" w:rsidRDefault="001B4960" w:rsidP="001B4960">
      <w:pPr>
        <w:rPr>
          <w:rFonts w:cstheme="minorHAnsi"/>
          <w:lang w:eastAsia="en-GB"/>
        </w:rPr>
      </w:pPr>
      <w:r w:rsidRPr="001B4960">
        <w:rPr>
          <w:rFonts w:cstheme="minorHAnsi"/>
          <w:lang w:eastAsia="en-GB"/>
        </w:rPr>
        <w:t>1.6</w:t>
      </w:r>
      <w:r w:rsidRPr="001B4960">
        <w:rPr>
          <w:rFonts w:cstheme="minorHAnsi"/>
          <w:lang w:eastAsia="en-GB"/>
        </w:rPr>
        <w:tab/>
        <w:t>Dicho examen, unido a los ajustes aplicables a la remuneración pensionable (a partir del 1 de febrero de 2024 en una proporción de 188,4/180,5; véase el Anexo 1), ha dado lugar a un aumento neto de la paga líquida del personal de Ginebra de aproximadamente un</w:t>
      </w:r>
      <w:r w:rsidR="001E6899">
        <w:rPr>
          <w:rFonts w:cstheme="minorHAnsi"/>
          <w:lang w:eastAsia="en-GB"/>
        </w:rPr>
        <w:t> </w:t>
      </w:r>
      <w:r w:rsidRPr="001B4960">
        <w:rPr>
          <w:rFonts w:cstheme="minorHAnsi"/>
          <w:lang w:eastAsia="en-GB"/>
        </w:rPr>
        <w:t>1,5% desde febrero de 2024, al aplicar el multiplicador establecido por la CAPI para Suiza de 89,7 (véase el Anexo 2 para Nueva York y Suiza).</w:t>
      </w:r>
    </w:p>
    <w:p w14:paraId="466A9D0E" w14:textId="77777777" w:rsidR="001B4960" w:rsidRPr="001B4960" w:rsidRDefault="001B4960" w:rsidP="001B4960">
      <w:pPr>
        <w:rPr>
          <w:lang w:eastAsia="en-GB"/>
        </w:rPr>
      </w:pPr>
      <w:r w:rsidRPr="001B4960">
        <w:rPr>
          <w:lang w:eastAsia="en-GB"/>
        </w:rPr>
        <w:t>1.7</w:t>
      </w:r>
      <w:r w:rsidRPr="001B4960">
        <w:rPr>
          <w:rFonts w:ascii="Times New Roman" w:hAnsi="Times New Roman"/>
          <w:lang w:eastAsia="en-GB"/>
        </w:rPr>
        <w:tab/>
      </w:r>
      <w:r w:rsidRPr="001B4960">
        <w:rPr>
          <w:lang w:eastAsia="en-GB"/>
        </w:rPr>
        <w:t xml:space="preserve">La UIT ya ha aplicado el </w:t>
      </w:r>
      <w:r w:rsidRPr="001B4960">
        <w:rPr>
          <w:rFonts w:cstheme="minorHAnsi"/>
          <w:lang w:eastAsia="en-GB"/>
        </w:rPr>
        <w:t>multiplicador establecido por la CAPI</w:t>
      </w:r>
      <w:r w:rsidRPr="001B4960">
        <w:rPr>
          <w:lang w:eastAsia="en-GB"/>
        </w:rPr>
        <w:t>, según se indica en la circular de la CAPI con fecha de entrada en vigor de 1 de febrero de 2024. Este ajuste puso fin a la reciente decisión de aplicar dos multiplicadores distintos en Ginebra para el personal del Cuadro Orgánico y categorías superiores.</w:t>
      </w:r>
    </w:p>
    <w:p w14:paraId="031805AB" w14:textId="09261F53" w:rsidR="001B4960" w:rsidRPr="001B4960" w:rsidRDefault="001B4960" w:rsidP="001B4960">
      <w:pPr>
        <w:pStyle w:val="Heading1"/>
        <w:rPr>
          <w:lang w:eastAsia="en-GB"/>
        </w:rPr>
      </w:pPr>
      <w:r w:rsidRPr="001B4960">
        <w:rPr>
          <w:lang w:eastAsia="en-GB"/>
        </w:rPr>
        <w:lastRenderedPageBreak/>
        <w:t>2</w:t>
      </w:r>
      <w:r w:rsidRPr="001B4960">
        <w:rPr>
          <w:lang w:eastAsia="en-GB"/>
        </w:rPr>
        <w:tab/>
        <w:t xml:space="preserve">Medidas </w:t>
      </w:r>
      <w:r>
        <w:rPr>
          <w:lang w:eastAsia="en-GB"/>
        </w:rPr>
        <w:t>s</w:t>
      </w:r>
      <w:r w:rsidRPr="001B4960">
        <w:rPr>
          <w:lang w:eastAsia="en-GB"/>
        </w:rPr>
        <w:t xml:space="preserve">olicitadas </w:t>
      </w:r>
      <w:r>
        <w:rPr>
          <w:lang w:eastAsia="en-GB"/>
        </w:rPr>
        <w:t>a</w:t>
      </w:r>
      <w:r w:rsidRPr="001B4960">
        <w:rPr>
          <w:lang w:eastAsia="en-GB"/>
        </w:rPr>
        <w:t>l Consejo</w:t>
      </w:r>
    </w:p>
    <w:p w14:paraId="4B9E33F5" w14:textId="77777777" w:rsidR="001B4960" w:rsidRPr="001B4960" w:rsidRDefault="001B4960" w:rsidP="001B4960">
      <w:pPr>
        <w:rPr>
          <w:rFonts w:eastAsia="SimSun"/>
        </w:rPr>
      </w:pPr>
      <w:r w:rsidRPr="001B4960">
        <w:rPr>
          <w:rFonts w:eastAsia="SimSun"/>
        </w:rPr>
        <w:t xml:space="preserve">Se invita al Consejo a tomar nota de la aplicación de la Resolución 1420 y </w:t>
      </w:r>
      <w:r w:rsidRPr="001B4960">
        <w:rPr>
          <w:rFonts w:asciiTheme="minorHAnsi" w:eastAsiaTheme="minorEastAsia" w:hAnsiTheme="minorHAnsi" w:cstheme="minorHAnsi"/>
        </w:rPr>
        <w:t xml:space="preserve">del </w:t>
      </w:r>
      <w:r w:rsidRPr="001B4960">
        <w:rPr>
          <w:rFonts w:eastAsia="SimSun" w:cs="Calibri"/>
          <w:spacing w:val="2"/>
        </w:rPr>
        <w:t xml:space="preserve">multiplicador del ajuste por lugar de destino </w:t>
      </w:r>
      <w:r w:rsidRPr="001B4960">
        <w:rPr>
          <w:rFonts w:eastAsia="SimSun"/>
        </w:rPr>
        <w:t>establecido por la CAPI en Ginebra a partir del 1 de febrero de 2024.</w:t>
      </w:r>
    </w:p>
    <w:p w14:paraId="0F3C18BF" w14:textId="77777777" w:rsidR="001B4960" w:rsidRPr="001B4960" w:rsidRDefault="001B4960" w:rsidP="001B4960">
      <w:pPr>
        <w:spacing w:before="600"/>
        <w:rPr>
          <w:rFonts w:eastAsia="SimSun"/>
          <w:b/>
          <w:bCs/>
          <w:i/>
          <w:iCs/>
        </w:rPr>
      </w:pPr>
      <w:r w:rsidRPr="001B4960">
        <w:rPr>
          <w:rFonts w:eastAsia="SimSun"/>
          <w:b/>
          <w:bCs/>
          <w:i/>
          <w:iCs/>
        </w:rPr>
        <w:t>Anexos: 2</w:t>
      </w:r>
      <w:r w:rsidRPr="001B4960">
        <w:rPr>
          <w:rFonts w:eastAsia="SimSun"/>
          <w:b/>
          <w:bCs/>
          <w:i/>
          <w:iCs/>
        </w:rPr>
        <w:br w:type="page"/>
      </w:r>
    </w:p>
    <w:p w14:paraId="0F8E2098" w14:textId="77777777" w:rsidR="001B4960" w:rsidRPr="001B4960" w:rsidRDefault="001B4960" w:rsidP="00DB1F1B">
      <w:pPr>
        <w:pStyle w:val="AnnexNo"/>
        <w:spacing w:before="240" w:after="240"/>
        <w:rPr>
          <w:rFonts w:eastAsia="SimSun"/>
        </w:rPr>
      </w:pPr>
      <w:r w:rsidRPr="001B4960">
        <w:rPr>
          <w:rFonts w:eastAsia="SimSun"/>
        </w:rPr>
        <w:lastRenderedPageBreak/>
        <w:t>Anexo 1</w:t>
      </w:r>
    </w:p>
    <w:p w14:paraId="5A852C74" w14:textId="4553324B" w:rsidR="001B4960" w:rsidRPr="001B4960" w:rsidRDefault="001B4960" w:rsidP="00DB1F1B">
      <w:pPr>
        <w:pStyle w:val="Annextitle"/>
        <w:spacing w:before="120" w:after="120"/>
        <w:rPr>
          <w:rFonts w:eastAsia="SimSun"/>
        </w:rPr>
      </w:pPr>
      <w:r w:rsidRPr="001B4960">
        <w:rPr>
          <w:rFonts w:eastAsia="SimSun"/>
        </w:rPr>
        <w:t>Remuneración pensionable de los funcionarios del</w:t>
      </w:r>
      <w:r>
        <w:rPr>
          <w:rFonts w:eastAsia="SimSun"/>
        </w:rPr>
        <w:br/>
      </w:r>
      <w:r w:rsidRPr="001B4960">
        <w:rPr>
          <w:rFonts w:eastAsia="SimSun"/>
        </w:rPr>
        <w:t>Cuadro Orgánico y categorías superiores</w:t>
      </w:r>
    </w:p>
    <w:p w14:paraId="420731B0" w14:textId="20470BB5" w:rsidR="001B4960" w:rsidRPr="001E6899" w:rsidRDefault="001B4960" w:rsidP="00D6232B">
      <w:pPr>
        <w:spacing w:after="240"/>
        <w:jc w:val="center"/>
        <w:rPr>
          <w:rFonts w:eastAsia="SimSun"/>
          <w:sz w:val="22"/>
          <w:szCs w:val="18"/>
        </w:rPr>
      </w:pPr>
      <w:r w:rsidRPr="001E6899">
        <w:rPr>
          <w:rFonts w:eastAsia="SimSun"/>
          <w:sz w:val="22"/>
          <w:szCs w:val="18"/>
        </w:rPr>
        <w:t xml:space="preserve">En dólares de los Estados Unidos </w:t>
      </w:r>
      <w:r w:rsidR="001C542B" w:rsidRPr="001E6899">
        <w:rPr>
          <w:rFonts w:eastAsia="SimSun" w:cs="Calibri"/>
          <w:sz w:val="22"/>
          <w:szCs w:val="18"/>
        </w:rPr>
        <w:t>‒</w:t>
      </w:r>
      <w:r w:rsidRPr="001E6899">
        <w:rPr>
          <w:rFonts w:eastAsia="SimSun"/>
          <w:sz w:val="22"/>
          <w:szCs w:val="18"/>
        </w:rPr>
        <w:t xml:space="preserve"> a partir del 1 de febrero de 2024</w:t>
      </w:r>
    </w:p>
    <w:p w14:paraId="5475FF51" w14:textId="7BADC7BA" w:rsidR="00D6232B" w:rsidRPr="001B4960" w:rsidRDefault="00D6232B" w:rsidP="001B4960">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sz w:val="26"/>
          <w:szCs w:val="26"/>
        </w:rPr>
      </w:pPr>
      <w:r w:rsidRPr="00D6232B">
        <w:rPr>
          <w:rFonts w:eastAsia="SimSun"/>
          <w:noProof/>
        </w:rPr>
        <w:drawing>
          <wp:inline distT="0" distB="0" distL="0" distR="0" wp14:anchorId="5486DD22" wp14:editId="16A7D13E">
            <wp:extent cx="6577466" cy="18526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9613" cy="1861709"/>
                    </a:xfrm>
                    <a:prstGeom prst="rect">
                      <a:avLst/>
                    </a:prstGeom>
                    <a:noFill/>
                    <a:ln>
                      <a:noFill/>
                    </a:ln>
                  </pic:spPr>
                </pic:pic>
              </a:graphicData>
            </a:graphic>
          </wp:inline>
        </w:drawing>
      </w:r>
    </w:p>
    <w:p w14:paraId="16E41A79" w14:textId="77777777" w:rsidR="001B4960" w:rsidRPr="001B4960" w:rsidRDefault="001B4960" w:rsidP="00DB1F1B">
      <w:pPr>
        <w:pStyle w:val="AnnexNo"/>
        <w:spacing w:before="360" w:after="240"/>
        <w:rPr>
          <w:rFonts w:eastAsia="SimSun"/>
        </w:rPr>
      </w:pPr>
      <w:r w:rsidRPr="001B4960">
        <w:rPr>
          <w:rFonts w:eastAsia="SimSun"/>
        </w:rPr>
        <w:t>Anexo 2</w:t>
      </w:r>
    </w:p>
    <w:p w14:paraId="47D8549F" w14:textId="71FAAFB7" w:rsidR="001B4960" w:rsidRPr="001B4960" w:rsidRDefault="001B4960" w:rsidP="00DB1F1B">
      <w:pPr>
        <w:pStyle w:val="Annextitle"/>
        <w:spacing w:before="120" w:after="120"/>
        <w:rPr>
          <w:rFonts w:eastAsia="SimSun"/>
        </w:rPr>
      </w:pPr>
      <w:r w:rsidRPr="001B4960">
        <w:rPr>
          <w:rFonts w:eastAsia="SimSun"/>
        </w:rPr>
        <w:t>Examen de la clasificación del ajuste por lugar de destino para los</w:t>
      </w:r>
      <w:r w:rsidR="001C542B">
        <w:rPr>
          <w:rFonts w:eastAsia="SimSun"/>
        </w:rPr>
        <w:br/>
      </w:r>
      <w:r w:rsidRPr="001B4960">
        <w:rPr>
          <w:rFonts w:eastAsia="SimSun"/>
        </w:rPr>
        <w:t>lugares de destino del grupo I, febrero de 2024</w:t>
      </w:r>
    </w:p>
    <w:p w14:paraId="5133283C" w14:textId="77777777" w:rsidR="001B4960" w:rsidRPr="001B4960" w:rsidRDefault="001B4960" w:rsidP="001B4960">
      <w:pPr>
        <w:rPr>
          <w:rFonts w:eastAsia="SimSun"/>
        </w:rPr>
      </w:pPr>
    </w:p>
    <w:tbl>
      <w:tblPr>
        <w:tblStyle w:val="TableGrid"/>
        <w:tblW w:w="0" w:type="auto"/>
        <w:jc w:val="center"/>
        <w:tblLook w:val="04A0" w:firstRow="1" w:lastRow="0" w:firstColumn="1" w:lastColumn="0" w:noHBand="0" w:noVBand="1"/>
      </w:tblPr>
      <w:tblGrid>
        <w:gridCol w:w="1233"/>
        <w:gridCol w:w="1284"/>
        <w:gridCol w:w="1132"/>
        <w:gridCol w:w="1233"/>
        <w:gridCol w:w="1277"/>
        <w:gridCol w:w="1235"/>
        <w:gridCol w:w="1667"/>
      </w:tblGrid>
      <w:tr w:rsidR="001B4960" w:rsidRPr="001B4960" w14:paraId="18EB4D46" w14:textId="77777777" w:rsidTr="00220FAA">
        <w:trPr>
          <w:trHeight w:val="356"/>
          <w:jc w:val="center"/>
        </w:trPr>
        <w:tc>
          <w:tcPr>
            <w:tcW w:w="1233" w:type="dxa"/>
            <w:vMerge w:val="restart"/>
            <w:vAlign w:val="center"/>
          </w:tcPr>
          <w:p w14:paraId="329B62C9" w14:textId="77777777" w:rsidR="001B4960" w:rsidRPr="001B4960" w:rsidRDefault="001B4960" w:rsidP="00D6232B">
            <w:pPr>
              <w:pStyle w:val="Tablehead"/>
            </w:pPr>
            <w:r w:rsidRPr="001B4960">
              <w:t>Lugar de destino</w:t>
            </w:r>
          </w:p>
        </w:tc>
        <w:tc>
          <w:tcPr>
            <w:tcW w:w="2416" w:type="dxa"/>
            <w:gridSpan w:val="2"/>
            <w:vAlign w:val="center"/>
          </w:tcPr>
          <w:p w14:paraId="0E297C75" w14:textId="77777777" w:rsidR="001B4960" w:rsidRPr="001B4960" w:rsidRDefault="001B4960" w:rsidP="00D6232B">
            <w:pPr>
              <w:pStyle w:val="Tablehead"/>
            </w:pPr>
            <w:r w:rsidRPr="001B4960">
              <w:t>IALD</w:t>
            </w:r>
          </w:p>
        </w:tc>
        <w:tc>
          <w:tcPr>
            <w:tcW w:w="3745" w:type="dxa"/>
            <w:gridSpan w:val="3"/>
            <w:vAlign w:val="center"/>
          </w:tcPr>
          <w:p w14:paraId="68985A43" w14:textId="77777777" w:rsidR="001B4960" w:rsidRPr="001B4960" w:rsidRDefault="001B4960" w:rsidP="00D6232B">
            <w:pPr>
              <w:pStyle w:val="Tablehead"/>
            </w:pPr>
            <w:r w:rsidRPr="001B4960">
              <w:t>MULTIPLICADOR</w:t>
            </w:r>
          </w:p>
        </w:tc>
        <w:tc>
          <w:tcPr>
            <w:tcW w:w="1667" w:type="dxa"/>
            <w:vMerge w:val="restart"/>
            <w:vAlign w:val="center"/>
          </w:tcPr>
          <w:p w14:paraId="37CB9A4D" w14:textId="77777777" w:rsidR="001B4960" w:rsidRPr="001B4960" w:rsidRDefault="001B4960" w:rsidP="00D6232B">
            <w:pPr>
              <w:pStyle w:val="Tablehead"/>
            </w:pPr>
            <w:r w:rsidRPr="001B4960">
              <w:t>Variación de la remuneración neta</w:t>
            </w:r>
          </w:p>
        </w:tc>
      </w:tr>
      <w:tr w:rsidR="001B4960" w:rsidRPr="001B4960" w14:paraId="7809AD0A" w14:textId="77777777" w:rsidTr="00220FAA">
        <w:trPr>
          <w:trHeight w:val="417"/>
          <w:jc w:val="center"/>
        </w:trPr>
        <w:tc>
          <w:tcPr>
            <w:tcW w:w="1233" w:type="dxa"/>
            <w:vMerge/>
          </w:tcPr>
          <w:p w14:paraId="16002CFB" w14:textId="77777777" w:rsidR="001B4960" w:rsidRPr="001B4960" w:rsidRDefault="001B4960" w:rsidP="00D6232B">
            <w:pPr>
              <w:pStyle w:val="Tablehead"/>
            </w:pPr>
          </w:p>
        </w:tc>
        <w:tc>
          <w:tcPr>
            <w:tcW w:w="1284" w:type="dxa"/>
            <w:vAlign w:val="center"/>
          </w:tcPr>
          <w:p w14:paraId="1FCA55A7" w14:textId="77777777" w:rsidR="001B4960" w:rsidRPr="001B4960" w:rsidRDefault="001B4960" w:rsidP="00D6232B">
            <w:pPr>
              <w:pStyle w:val="Tablehead"/>
            </w:pPr>
            <w:r w:rsidRPr="001B4960">
              <w:t>24 de febrero</w:t>
            </w:r>
          </w:p>
        </w:tc>
        <w:tc>
          <w:tcPr>
            <w:tcW w:w="1132" w:type="dxa"/>
            <w:vAlign w:val="center"/>
          </w:tcPr>
          <w:p w14:paraId="3044B18C" w14:textId="77777777" w:rsidR="001B4960" w:rsidRPr="001B4960" w:rsidRDefault="001B4960" w:rsidP="00D6232B">
            <w:pPr>
              <w:pStyle w:val="Tablehead"/>
            </w:pPr>
            <w:r w:rsidRPr="001B4960">
              <w:t>24 de febrero</w:t>
            </w:r>
          </w:p>
        </w:tc>
        <w:tc>
          <w:tcPr>
            <w:tcW w:w="1233" w:type="dxa"/>
            <w:vMerge w:val="restart"/>
            <w:vAlign w:val="center"/>
          </w:tcPr>
          <w:p w14:paraId="565C2572" w14:textId="77777777" w:rsidR="001B4960" w:rsidRPr="001B4960" w:rsidRDefault="001B4960" w:rsidP="00D6232B">
            <w:pPr>
              <w:pStyle w:val="Tablehead"/>
            </w:pPr>
            <w:r w:rsidRPr="001B4960">
              <w:t>24 de febrero</w:t>
            </w:r>
          </w:p>
          <w:p w14:paraId="28155B3C" w14:textId="77777777" w:rsidR="001B4960" w:rsidRPr="001B4960" w:rsidRDefault="001B4960" w:rsidP="00D6232B">
            <w:pPr>
              <w:pStyle w:val="Tablehead"/>
            </w:pPr>
            <w:r w:rsidRPr="001B4960">
              <w:t>Regla del 0,5%</w:t>
            </w:r>
            <w:r w:rsidRPr="001B4960">
              <w:rPr>
                <w:position w:val="6"/>
                <w:sz w:val="16"/>
              </w:rPr>
              <w:footnoteReference w:id="2"/>
            </w:r>
          </w:p>
        </w:tc>
        <w:tc>
          <w:tcPr>
            <w:tcW w:w="1277" w:type="dxa"/>
            <w:vAlign w:val="center"/>
          </w:tcPr>
          <w:p w14:paraId="5659D7F3" w14:textId="77777777" w:rsidR="001B4960" w:rsidRPr="001B4960" w:rsidRDefault="001B4960" w:rsidP="00D6232B">
            <w:pPr>
              <w:pStyle w:val="Tablehead"/>
            </w:pPr>
            <w:r w:rsidRPr="001B4960">
              <w:t>24 de febrero</w:t>
            </w:r>
          </w:p>
        </w:tc>
        <w:tc>
          <w:tcPr>
            <w:tcW w:w="1235" w:type="dxa"/>
            <w:vAlign w:val="center"/>
          </w:tcPr>
          <w:p w14:paraId="4FBE663C" w14:textId="77777777" w:rsidR="001B4960" w:rsidRPr="001B4960" w:rsidRDefault="001B4960" w:rsidP="00D6232B">
            <w:pPr>
              <w:pStyle w:val="Tablehead"/>
            </w:pPr>
            <w:r w:rsidRPr="001B4960">
              <w:t>24 de febrero</w:t>
            </w:r>
          </w:p>
        </w:tc>
        <w:tc>
          <w:tcPr>
            <w:tcW w:w="1667" w:type="dxa"/>
            <w:vMerge/>
            <w:vAlign w:val="center"/>
          </w:tcPr>
          <w:p w14:paraId="5664E749" w14:textId="77777777" w:rsidR="001B4960" w:rsidRPr="001B4960" w:rsidRDefault="001B4960" w:rsidP="001B4960">
            <w:pPr>
              <w:spacing w:before="0" w:line="240" w:lineRule="exact"/>
            </w:pPr>
          </w:p>
        </w:tc>
      </w:tr>
      <w:tr w:rsidR="001B4960" w:rsidRPr="001B4960" w14:paraId="38F49008" w14:textId="77777777" w:rsidTr="00220FAA">
        <w:trPr>
          <w:jc w:val="center"/>
        </w:trPr>
        <w:tc>
          <w:tcPr>
            <w:tcW w:w="1233" w:type="dxa"/>
            <w:vMerge/>
          </w:tcPr>
          <w:p w14:paraId="26404A73" w14:textId="77777777" w:rsidR="001B4960" w:rsidRPr="001B4960" w:rsidRDefault="001B4960" w:rsidP="00D6232B">
            <w:pPr>
              <w:pStyle w:val="Tablehead"/>
            </w:pPr>
          </w:p>
        </w:tc>
        <w:tc>
          <w:tcPr>
            <w:tcW w:w="1284" w:type="dxa"/>
            <w:vAlign w:val="center"/>
          </w:tcPr>
          <w:p w14:paraId="0B74F453" w14:textId="77777777" w:rsidR="001B4960" w:rsidRPr="001B4960" w:rsidRDefault="001B4960" w:rsidP="00D6232B">
            <w:pPr>
              <w:pStyle w:val="Tablehead"/>
            </w:pPr>
            <w:r w:rsidRPr="001B4960">
              <w:t>Previo al aumento</w:t>
            </w:r>
          </w:p>
        </w:tc>
        <w:tc>
          <w:tcPr>
            <w:tcW w:w="1132" w:type="dxa"/>
            <w:vAlign w:val="center"/>
          </w:tcPr>
          <w:p w14:paraId="20CDBFC3" w14:textId="77777777" w:rsidR="001B4960" w:rsidRPr="001B4960" w:rsidRDefault="001B4960" w:rsidP="00D6232B">
            <w:pPr>
              <w:pStyle w:val="Tablehead"/>
            </w:pPr>
            <w:r w:rsidRPr="001B4960">
              <w:t>Posterior al aumento</w:t>
            </w:r>
          </w:p>
        </w:tc>
        <w:tc>
          <w:tcPr>
            <w:tcW w:w="1233" w:type="dxa"/>
            <w:vMerge/>
            <w:vAlign w:val="center"/>
          </w:tcPr>
          <w:p w14:paraId="10426ABE" w14:textId="77777777" w:rsidR="001B4960" w:rsidRPr="001B4960" w:rsidRDefault="001B4960" w:rsidP="00D6232B">
            <w:pPr>
              <w:pStyle w:val="Tablehead"/>
            </w:pPr>
          </w:p>
        </w:tc>
        <w:tc>
          <w:tcPr>
            <w:tcW w:w="1277" w:type="dxa"/>
            <w:vAlign w:val="center"/>
          </w:tcPr>
          <w:p w14:paraId="5F05B8C3" w14:textId="77777777" w:rsidR="001B4960" w:rsidRPr="001B4960" w:rsidRDefault="001B4960" w:rsidP="00D6232B">
            <w:pPr>
              <w:pStyle w:val="Tablehead"/>
            </w:pPr>
            <w:r w:rsidRPr="001B4960">
              <w:t>Previo al aumento</w:t>
            </w:r>
          </w:p>
        </w:tc>
        <w:tc>
          <w:tcPr>
            <w:tcW w:w="1235" w:type="dxa"/>
            <w:vAlign w:val="center"/>
          </w:tcPr>
          <w:p w14:paraId="798E0473" w14:textId="77777777" w:rsidR="001B4960" w:rsidRPr="001B4960" w:rsidRDefault="001B4960" w:rsidP="00D6232B">
            <w:pPr>
              <w:pStyle w:val="Tablehead"/>
            </w:pPr>
            <w:r w:rsidRPr="001B4960">
              <w:t>Posterior al aumento</w:t>
            </w:r>
          </w:p>
        </w:tc>
        <w:tc>
          <w:tcPr>
            <w:tcW w:w="1667" w:type="dxa"/>
            <w:vMerge/>
            <w:vAlign w:val="center"/>
          </w:tcPr>
          <w:p w14:paraId="584DBA65" w14:textId="77777777" w:rsidR="001B4960" w:rsidRPr="001B4960" w:rsidRDefault="001B4960" w:rsidP="001B4960">
            <w:pPr>
              <w:spacing w:before="0" w:line="240" w:lineRule="exact"/>
            </w:pPr>
          </w:p>
        </w:tc>
      </w:tr>
      <w:tr w:rsidR="001B4960" w:rsidRPr="001B4960" w14:paraId="04A51BEB" w14:textId="77777777" w:rsidTr="00220FAA">
        <w:trPr>
          <w:trHeight w:val="684"/>
          <w:jc w:val="center"/>
        </w:trPr>
        <w:tc>
          <w:tcPr>
            <w:tcW w:w="1233" w:type="dxa"/>
            <w:vAlign w:val="center"/>
          </w:tcPr>
          <w:p w14:paraId="1946467F" w14:textId="77777777" w:rsidR="001B4960" w:rsidRPr="001B4960" w:rsidRDefault="001B4960" w:rsidP="001E6899">
            <w:pPr>
              <w:pStyle w:val="Tabletext"/>
              <w:jc w:val="center"/>
            </w:pPr>
            <w:r w:rsidRPr="001B4960">
              <w:t>Estados Unidos, Nueva York</w:t>
            </w:r>
          </w:p>
        </w:tc>
        <w:tc>
          <w:tcPr>
            <w:tcW w:w="1284" w:type="dxa"/>
            <w:vAlign w:val="center"/>
          </w:tcPr>
          <w:p w14:paraId="380B2378" w14:textId="77777777" w:rsidR="001B4960" w:rsidRPr="001B4960" w:rsidRDefault="001B4960" w:rsidP="001E6899">
            <w:pPr>
              <w:pStyle w:val="Tabletext"/>
              <w:jc w:val="center"/>
            </w:pPr>
            <w:r w:rsidRPr="001B4960">
              <w:t>186,7</w:t>
            </w:r>
          </w:p>
        </w:tc>
        <w:tc>
          <w:tcPr>
            <w:tcW w:w="1132" w:type="dxa"/>
            <w:vAlign w:val="center"/>
          </w:tcPr>
          <w:p w14:paraId="1E5C8850" w14:textId="77777777" w:rsidR="001B4960" w:rsidRPr="001B4960" w:rsidRDefault="001B4960" w:rsidP="001E6899">
            <w:pPr>
              <w:pStyle w:val="Tabletext"/>
              <w:jc w:val="center"/>
            </w:pPr>
            <w:r w:rsidRPr="001B4960">
              <w:t>188,4</w:t>
            </w:r>
          </w:p>
        </w:tc>
        <w:tc>
          <w:tcPr>
            <w:tcW w:w="1233" w:type="dxa"/>
            <w:vAlign w:val="center"/>
          </w:tcPr>
          <w:p w14:paraId="5EE6371B" w14:textId="77777777" w:rsidR="001B4960" w:rsidRPr="001B4960" w:rsidRDefault="001B4960" w:rsidP="001E6899">
            <w:pPr>
              <w:pStyle w:val="Tabletext"/>
              <w:jc w:val="center"/>
            </w:pPr>
            <w:r w:rsidRPr="001B4960">
              <w:t>80,5</w:t>
            </w:r>
          </w:p>
        </w:tc>
        <w:tc>
          <w:tcPr>
            <w:tcW w:w="1277" w:type="dxa"/>
            <w:vAlign w:val="center"/>
          </w:tcPr>
          <w:p w14:paraId="40DD030A" w14:textId="77777777" w:rsidR="001B4960" w:rsidRPr="001B4960" w:rsidRDefault="001B4960" w:rsidP="001E6899">
            <w:pPr>
              <w:pStyle w:val="Tabletext"/>
              <w:jc w:val="center"/>
            </w:pPr>
            <w:r w:rsidRPr="001B4960">
              <w:t>86,7</w:t>
            </w:r>
          </w:p>
        </w:tc>
        <w:tc>
          <w:tcPr>
            <w:tcW w:w="1235" w:type="dxa"/>
            <w:vAlign w:val="center"/>
          </w:tcPr>
          <w:p w14:paraId="79CA769D" w14:textId="77777777" w:rsidR="001B4960" w:rsidRPr="001B4960" w:rsidRDefault="001B4960" w:rsidP="001E6899">
            <w:pPr>
              <w:pStyle w:val="Tabletext"/>
              <w:jc w:val="center"/>
            </w:pPr>
            <w:r w:rsidRPr="001B4960">
              <w:t>88,4</w:t>
            </w:r>
          </w:p>
        </w:tc>
        <w:tc>
          <w:tcPr>
            <w:tcW w:w="1667" w:type="dxa"/>
            <w:vAlign w:val="center"/>
          </w:tcPr>
          <w:p w14:paraId="67355906" w14:textId="77777777" w:rsidR="001B4960" w:rsidRPr="001B4960" w:rsidRDefault="001B4960" w:rsidP="001E6899">
            <w:pPr>
              <w:pStyle w:val="Tabletext"/>
              <w:jc w:val="center"/>
            </w:pPr>
            <w:r w:rsidRPr="001B4960">
              <w:t>Aumento del 4,4%</w:t>
            </w:r>
          </w:p>
        </w:tc>
      </w:tr>
      <w:tr w:rsidR="001B4960" w:rsidRPr="001B4960" w14:paraId="4EBBA9D7" w14:textId="77777777" w:rsidTr="00220FAA">
        <w:trPr>
          <w:trHeight w:val="684"/>
          <w:jc w:val="center"/>
        </w:trPr>
        <w:tc>
          <w:tcPr>
            <w:tcW w:w="1233" w:type="dxa"/>
            <w:vAlign w:val="center"/>
          </w:tcPr>
          <w:p w14:paraId="4D2CA697" w14:textId="77777777" w:rsidR="001B4960" w:rsidRPr="001B4960" w:rsidRDefault="001B4960" w:rsidP="001E6899">
            <w:pPr>
              <w:pStyle w:val="Tabletext"/>
              <w:jc w:val="center"/>
            </w:pPr>
            <w:r w:rsidRPr="001B4960">
              <w:t>Suiza</w:t>
            </w:r>
          </w:p>
        </w:tc>
        <w:tc>
          <w:tcPr>
            <w:tcW w:w="1284" w:type="dxa"/>
            <w:vAlign w:val="center"/>
          </w:tcPr>
          <w:p w14:paraId="44FFCCBE" w14:textId="77777777" w:rsidR="001B4960" w:rsidRPr="001B4960" w:rsidRDefault="001B4960" w:rsidP="001E6899">
            <w:pPr>
              <w:pStyle w:val="Tabletext"/>
              <w:jc w:val="center"/>
            </w:pPr>
            <w:r w:rsidRPr="001B4960">
              <w:t>188,0</w:t>
            </w:r>
          </w:p>
        </w:tc>
        <w:tc>
          <w:tcPr>
            <w:tcW w:w="1132" w:type="dxa"/>
            <w:vAlign w:val="center"/>
          </w:tcPr>
          <w:p w14:paraId="245E5F5B" w14:textId="77777777" w:rsidR="001B4960" w:rsidRPr="001B4960" w:rsidRDefault="001B4960" w:rsidP="001E6899">
            <w:pPr>
              <w:pStyle w:val="Tabletext"/>
              <w:jc w:val="center"/>
            </w:pPr>
            <w:r w:rsidRPr="001B4960">
              <w:t>189,7</w:t>
            </w:r>
          </w:p>
        </w:tc>
        <w:tc>
          <w:tcPr>
            <w:tcW w:w="1233" w:type="dxa"/>
            <w:vAlign w:val="center"/>
          </w:tcPr>
          <w:p w14:paraId="537CE0BA" w14:textId="77777777" w:rsidR="001B4960" w:rsidRPr="001B4960" w:rsidRDefault="001B4960" w:rsidP="001E6899">
            <w:pPr>
              <w:pStyle w:val="Tabletext"/>
              <w:jc w:val="center"/>
            </w:pPr>
            <w:r w:rsidRPr="001B4960">
              <w:t>83,8</w:t>
            </w:r>
          </w:p>
        </w:tc>
        <w:tc>
          <w:tcPr>
            <w:tcW w:w="1277" w:type="dxa"/>
            <w:vAlign w:val="center"/>
          </w:tcPr>
          <w:p w14:paraId="78C62206" w14:textId="77777777" w:rsidR="001B4960" w:rsidRPr="001B4960" w:rsidRDefault="001B4960" w:rsidP="001E6899">
            <w:pPr>
              <w:pStyle w:val="Tabletext"/>
              <w:jc w:val="center"/>
            </w:pPr>
            <w:r w:rsidRPr="001B4960">
              <w:t>88,0</w:t>
            </w:r>
          </w:p>
        </w:tc>
        <w:tc>
          <w:tcPr>
            <w:tcW w:w="1235" w:type="dxa"/>
            <w:vAlign w:val="center"/>
          </w:tcPr>
          <w:p w14:paraId="641433F1" w14:textId="77777777" w:rsidR="001B4960" w:rsidRPr="001B4960" w:rsidRDefault="001B4960" w:rsidP="001E6899">
            <w:pPr>
              <w:pStyle w:val="Tabletext"/>
              <w:jc w:val="center"/>
            </w:pPr>
            <w:r w:rsidRPr="001B4960">
              <w:t>89,7</w:t>
            </w:r>
          </w:p>
        </w:tc>
        <w:tc>
          <w:tcPr>
            <w:tcW w:w="1667" w:type="dxa"/>
            <w:vAlign w:val="center"/>
          </w:tcPr>
          <w:p w14:paraId="761996D0" w14:textId="77777777" w:rsidR="001B4960" w:rsidRPr="001B4960" w:rsidRDefault="001B4960" w:rsidP="001E6899">
            <w:pPr>
              <w:pStyle w:val="Tabletext"/>
              <w:jc w:val="center"/>
            </w:pPr>
            <w:r w:rsidRPr="001B4960">
              <w:t>Aumento del 3,2%</w:t>
            </w:r>
          </w:p>
        </w:tc>
      </w:tr>
    </w:tbl>
    <w:p w14:paraId="279D78A6" w14:textId="77777777" w:rsidR="00D6232B" w:rsidRPr="00406B8B" w:rsidRDefault="00D6232B" w:rsidP="001E6899">
      <w:pPr>
        <w:pStyle w:val="Reasons"/>
        <w:spacing w:before="0"/>
        <w:rPr>
          <w:lang w:val="fr-FR"/>
        </w:rPr>
      </w:pPr>
    </w:p>
    <w:p w14:paraId="58F43063" w14:textId="094D505D" w:rsidR="00927F93" w:rsidRPr="00D6232B" w:rsidRDefault="00D6232B" w:rsidP="001E6899">
      <w:pPr>
        <w:spacing w:before="0"/>
        <w:jc w:val="center"/>
        <w:rPr>
          <w:lang w:val="fr-FR"/>
        </w:rPr>
      </w:pPr>
      <w:r w:rsidRPr="00406B8B">
        <w:rPr>
          <w:lang w:val="fr-FR"/>
        </w:rPr>
        <w:t>______________</w:t>
      </w:r>
    </w:p>
    <w:sectPr w:rsidR="00927F93" w:rsidRPr="00D6232B"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F6B997D" w:rsidR="003273A4" w:rsidRDefault="003273A4" w:rsidP="003273A4">
          <w:pPr>
            <w:pStyle w:val="Header"/>
            <w:jc w:val="left"/>
            <w:rPr>
              <w:noProof/>
            </w:rPr>
          </w:pPr>
          <w:r>
            <w:rPr>
              <w:noProof/>
            </w:rPr>
            <w:t xml:space="preserve">DPS </w:t>
          </w:r>
          <w:r w:rsidR="001B4960">
            <w:rPr>
              <w:noProof/>
            </w:rPr>
            <w:t>2400550</w:t>
          </w:r>
        </w:p>
      </w:tc>
      <w:tc>
        <w:tcPr>
          <w:tcW w:w="8261" w:type="dxa"/>
        </w:tcPr>
        <w:p w14:paraId="31328314" w14:textId="1C40A9A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B4960">
            <w:rPr>
              <w:bCs/>
            </w:rPr>
            <w:t>56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0D6C1168" w:rsidR="00760F1C" w:rsidRPr="00D6232B" w:rsidRDefault="00D6232B" w:rsidP="00D6232B">
    <w:pPr>
      <w:pStyle w:val="Footer"/>
      <w:rPr>
        <w:szCs w:val="18"/>
      </w:rPr>
    </w:pPr>
    <w:r w:rsidRPr="008203F3">
      <w:rPr>
        <w:szCs w:val="18"/>
        <w:lang w:val="fr-CH"/>
      </w:rPr>
      <w:fldChar w:fldCharType="begin"/>
    </w:r>
    <w:r w:rsidRPr="00D6232B">
      <w:rPr>
        <w:szCs w:val="18"/>
      </w:rPr>
      <w:instrText xml:space="preserve"> FILENAME \p \* MERGEFORMAT </w:instrText>
    </w:r>
    <w:r w:rsidRPr="008203F3">
      <w:rPr>
        <w:szCs w:val="18"/>
        <w:lang w:val="fr-CH"/>
      </w:rPr>
      <w:fldChar w:fldCharType="separate"/>
    </w:r>
    <w:r w:rsidRPr="00D6232B">
      <w:rPr>
        <w:szCs w:val="18"/>
      </w:rPr>
      <w:t>P:\ESP\DCPMS\2024\2400550S.docx</w:t>
    </w:r>
    <w:r w:rsidRPr="008203F3">
      <w:rPr>
        <w:szCs w:val="18"/>
        <w:lang w:val="fr-CH"/>
      </w:rPr>
      <w:fldChar w:fldCharType="end"/>
    </w:r>
    <w:r w:rsidRPr="00D6232B">
      <w:rPr>
        <w:szCs w:val="18"/>
      </w:rPr>
      <w:t xml:space="preserve"> </w:t>
    </w:r>
    <w:r>
      <w:rPr>
        <w:szCs w:val="18"/>
      </w:rPr>
      <w:t>(2400550</w:t>
    </w:r>
    <w:r w:rsidRPr="00D6232B">
      <w:rPr>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84B7E90"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B4960">
            <w:rPr>
              <w:bCs/>
            </w:rPr>
            <w:t>56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2ABBBB14" w:rsidR="00760F1C" w:rsidRPr="00D6232B" w:rsidRDefault="00D6232B" w:rsidP="00F24B71">
    <w:pPr>
      <w:pStyle w:val="Footer"/>
      <w:rPr>
        <w:szCs w:val="18"/>
      </w:rPr>
    </w:pPr>
    <w:r w:rsidRPr="008203F3">
      <w:rPr>
        <w:szCs w:val="18"/>
        <w:lang w:val="fr-CH"/>
      </w:rPr>
      <w:fldChar w:fldCharType="begin"/>
    </w:r>
    <w:r w:rsidRPr="00D6232B">
      <w:rPr>
        <w:szCs w:val="18"/>
      </w:rPr>
      <w:instrText xml:space="preserve"> FILENAME \p \* MERGEFORMAT </w:instrText>
    </w:r>
    <w:r w:rsidRPr="008203F3">
      <w:rPr>
        <w:szCs w:val="18"/>
        <w:lang w:val="fr-CH"/>
      </w:rPr>
      <w:fldChar w:fldCharType="separate"/>
    </w:r>
    <w:r w:rsidRPr="00D6232B">
      <w:rPr>
        <w:szCs w:val="18"/>
      </w:rPr>
      <w:t>P:\ESP\DCPMS\2024\2400550S.docx</w:t>
    </w:r>
    <w:r w:rsidRPr="008203F3">
      <w:rPr>
        <w:szCs w:val="18"/>
        <w:lang w:val="fr-CH"/>
      </w:rPr>
      <w:fldChar w:fldCharType="end"/>
    </w:r>
    <w:r w:rsidRPr="00D6232B">
      <w:rPr>
        <w:szCs w:val="18"/>
      </w:rPr>
      <w:t xml:space="preserve"> </w:t>
    </w:r>
    <w:r>
      <w:rPr>
        <w:szCs w:val="18"/>
      </w:rPr>
      <w:t>(2400550</w:t>
    </w:r>
    <w:r w:rsidRPr="00D6232B">
      <w:rPr>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0BC5C681" w14:textId="77777777" w:rsidR="001E6899" w:rsidRDefault="001B4960" w:rsidP="001E6899">
      <w:pPr>
        <w:pStyle w:val="FootnoteText"/>
        <w:spacing w:before="0"/>
        <w:rPr>
          <w:rFonts w:eastAsia="Calibri"/>
          <w:lang w:val="es-ES"/>
        </w:rPr>
      </w:pPr>
      <w:r w:rsidRPr="45977724">
        <w:rPr>
          <w:rStyle w:val="FootnoteReference"/>
        </w:rPr>
        <w:footnoteRef/>
      </w:r>
      <w:r w:rsidRPr="00903212">
        <w:rPr>
          <w:rFonts w:eastAsia="Calibri"/>
          <w:szCs w:val="24"/>
          <w:lang w:val="es-ES"/>
        </w:rPr>
        <w:tab/>
      </w:r>
      <w:r>
        <w:rPr>
          <w:rFonts w:eastAsia="Calibri"/>
          <w:szCs w:val="24"/>
          <w:lang w:val="es-ES"/>
        </w:rPr>
        <w:t>"</w:t>
      </w:r>
      <w:r w:rsidRPr="00336B6B">
        <w:rPr>
          <w:rFonts w:eastAsia="Calibri"/>
          <w:lang w:val="es-ES"/>
        </w:rPr>
        <w:t>autorizar, durante la ejecución del presupuesto para 2024-2025, al Secretario General a ajustar las consignaciones de las partidas de gastos a) y b) siguientes, de conformidad con las modificaciones resultantes de la utilización de la Cuenta de Provisión, y siempre que ésta se mantenga al nivel prescrito en la Decisión 5 (Rev. Bucarest, 2022):</w:t>
      </w:r>
    </w:p>
    <w:p w14:paraId="6A9EA7B9" w14:textId="77777777" w:rsidR="001E6899" w:rsidRDefault="001B4960" w:rsidP="001E6899">
      <w:pPr>
        <w:pStyle w:val="FootnoteText"/>
        <w:tabs>
          <w:tab w:val="clear" w:pos="256"/>
        </w:tabs>
        <w:spacing w:before="0"/>
        <w:ind w:left="567" w:hanging="283"/>
        <w:rPr>
          <w:rFonts w:eastAsia="Calibri"/>
          <w:lang w:val="es-ES"/>
        </w:rPr>
      </w:pPr>
      <w:r w:rsidRPr="00903212">
        <w:rPr>
          <w:rFonts w:eastAsia="Calibri"/>
          <w:lang w:val="es-ES"/>
        </w:rPr>
        <w:t>a)</w:t>
      </w:r>
      <w:r w:rsidRPr="00903212">
        <w:rPr>
          <w:rFonts w:eastAsia="Calibri"/>
          <w:lang w:val="es-ES"/>
        </w:rPr>
        <w:tab/>
      </w:r>
      <w:r>
        <w:rPr>
          <w:rFonts w:eastAsia="Calibri"/>
          <w:lang w:val="es-ES"/>
        </w:rPr>
        <w:t xml:space="preserve">los </w:t>
      </w:r>
      <w:r w:rsidRPr="00336B6B">
        <w:rPr>
          <w:rFonts w:eastAsia="Calibri"/>
          <w:lang w:val="es-ES"/>
        </w:rPr>
        <w:t>aumentos de las escalas de sueldos, las contribuciones para pensiones y</w:t>
      </w:r>
      <w:r>
        <w:rPr>
          <w:rFonts w:eastAsia="Calibri"/>
          <w:lang w:val="es-ES"/>
        </w:rPr>
        <w:t xml:space="preserve"> los</w:t>
      </w:r>
      <w:r w:rsidRPr="00336B6B">
        <w:rPr>
          <w:rFonts w:eastAsia="Calibri"/>
          <w:lang w:val="es-ES"/>
        </w:rPr>
        <w:t xml:space="preserve"> subsidios, incluidos los ajustes por lugar de destino, aplicables en Ginebra, establecidos por el régimen común de las Naciones Unidas</w:t>
      </w:r>
      <w:r w:rsidRPr="00903212">
        <w:rPr>
          <w:rFonts w:eastAsia="Calibri"/>
          <w:lang w:val="es-ES"/>
        </w:rPr>
        <w:t>;</w:t>
      </w:r>
    </w:p>
    <w:p w14:paraId="7F59DB31" w14:textId="6395654E" w:rsidR="001B4960" w:rsidRPr="00903212" w:rsidRDefault="001B4960" w:rsidP="001E6899">
      <w:pPr>
        <w:pStyle w:val="FootnoteText"/>
        <w:tabs>
          <w:tab w:val="clear" w:pos="256"/>
        </w:tabs>
        <w:spacing w:before="0"/>
        <w:ind w:left="567" w:hanging="283"/>
        <w:rPr>
          <w:lang w:val="es-ES"/>
        </w:rPr>
      </w:pPr>
      <w:r w:rsidRPr="00903212">
        <w:rPr>
          <w:rFonts w:eastAsia="Calibri"/>
          <w:lang w:val="es-ES"/>
        </w:rPr>
        <w:t>b)</w:t>
      </w:r>
      <w:r w:rsidRPr="00903212">
        <w:rPr>
          <w:rFonts w:eastAsia="Calibri"/>
          <w:lang w:val="es-ES"/>
        </w:rPr>
        <w:tab/>
      </w:r>
      <w:r w:rsidRPr="00336B6B">
        <w:rPr>
          <w:rFonts w:eastAsia="Calibri"/>
          <w:lang w:val="es-ES"/>
        </w:rPr>
        <w:t>las fluctuaciones del tipo de cambio entre el franco suizo y el dólar de Estados Unidos en la medida en que dicho tipo afecte a los costes del personal al que se aplican las escalas de sueldos de las Naciones Unidas</w:t>
      </w:r>
      <w:r>
        <w:rPr>
          <w:rFonts w:eastAsia="Calibri"/>
          <w:lang w:val="es-ES"/>
        </w:rPr>
        <w:t>".</w:t>
      </w:r>
    </w:p>
  </w:footnote>
  <w:footnote w:id="2">
    <w:p w14:paraId="69F89B15" w14:textId="62FA0954" w:rsidR="001B4960" w:rsidRPr="00903212" w:rsidRDefault="001B4960" w:rsidP="001B4960">
      <w:pPr>
        <w:pStyle w:val="FootnoteText"/>
        <w:rPr>
          <w:sz w:val="20"/>
          <w:lang w:val="es-ES"/>
        </w:rPr>
      </w:pPr>
      <w:r w:rsidRPr="00D6232B">
        <w:rPr>
          <w:rStyle w:val="FootnoteReference"/>
        </w:rPr>
        <w:footnoteRef/>
      </w:r>
      <w:r w:rsidR="00D6232B">
        <w:rPr>
          <w:sz w:val="20"/>
          <w:lang w:val="es-ES"/>
        </w:rPr>
        <w:tab/>
      </w:r>
      <w:r w:rsidRPr="00DB1F1B">
        <w:t>El objetivo de la regla del 0,5% es estabilizar la paga líquida neta en la moneda local limitando las fluctuaciones causadas por el tipo de cambio a un margen de más o menos el 0,5% de un mes a otro. La paga líquida neta en moneda local se mantiene dentro de una horquilla de más o menos el 0,5% con respecto al nivel salarial establecido hasta la fecha del siguiente examen, es decir, hasta que se constata un aumento íntegro del 5% en el índice del costo de la vida o hasta que transcurren 12 meses, lo que suceda primero.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B4960"/>
    <w:rsid w:val="001C542B"/>
    <w:rsid w:val="001E6899"/>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AF408A"/>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50A36"/>
    <w:rsid w:val="00D6232B"/>
    <w:rsid w:val="00D62446"/>
    <w:rsid w:val="00DA4EA2"/>
    <w:rsid w:val="00DB1F1B"/>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6232B"/>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who.int/gb/ebwha/pdf_files/WHA76/A_RES_77_256_A-B-en.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23-CL-C-0118/es"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3-CL-C-0056/es" TargetMode="Externa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undocs.org/Home/Mobile?FinalSymbol=a%2Fres%2F69%2F251&amp;Language=E&amp;DeviceType=Desktop&amp;LangRequested=False" TargetMode="External"/><Relationship Id="rId4" Type="http://schemas.openxmlformats.org/officeDocument/2006/relationships/footnotes" Target="footnotes.xml"/><Relationship Id="rId9" Type="http://schemas.openxmlformats.org/officeDocument/2006/relationships/hyperlink" Target="https://undocs.org/Home/Mobile?FinalSymbol=A%2FRES%2F70%2F244&amp;Language=E&amp;DeviceType=Desktop&amp;LangRequested=Fal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1073</Words>
  <Characters>5653</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6713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Marin Matas, Juan Gabriel</cp:lastModifiedBy>
  <cp:revision>5</cp:revision>
  <cp:lastPrinted>2006-03-24T09:51:00Z</cp:lastPrinted>
  <dcterms:created xsi:type="dcterms:W3CDTF">2024-04-23T15:11:00Z</dcterms:created>
  <dcterms:modified xsi:type="dcterms:W3CDTF">2024-04-24T08:50:00Z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