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B459DF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03C63B85" w:rsidR="00796BD3" w:rsidRPr="00B459DF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B459DF">
              <w:rPr>
                <w:b/>
                <w:lang w:val="ru-RU"/>
              </w:rPr>
              <w:t>Пункт повестки дня:</w:t>
            </w:r>
            <w:r w:rsidR="0055137D" w:rsidRPr="00B459DF">
              <w:rPr>
                <w:b/>
                <w:lang w:val="ru-RU"/>
              </w:rPr>
              <w:t xml:space="preserve"> PL </w:t>
            </w:r>
            <w:r w:rsidR="00C11FE3" w:rsidRPr="00B459DF">
              <w:rPr>
                <w:b/>
                <w:lang w:val="ru-RU"/>
              </w:rPr>
              <w:t>2</w:t>
            </w:r>
          </w:p>
        </w:tc>
        <w:tc>
          <w:tcPr>
            <w:tcW w:w="5245" w:type="dxa"/>
          </w:tcPr>
          <w:p w14:paraId="6297DF48" w14:textId="05386813" w:rsidR="00796BD3" w:rsidRPr="00B459DF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459DF">
              <w:rPr>
                <w:b/>
                <w:lang w:val="ru-RU"/>
              </w:rPr>
              <w:t xml:space="preserve">Документ </w:t>
            </w:r>
            <w:r w:rsidR="00796BD3" w:rsidRPr="00B459DF">
              <w:rPr>
                <w:b/>
                <w:lang w:val="ru-RU"/>
              </w:rPr>
              <w:t>C2</w:t>
            </w:r>
            <w:r w:rsidR="00660449" w:rsidRPr="00B459DF">
              <w:rPr>
                <w:b/>
                <w:lang w:val="ru-RU"/>
              </w:rPr>
              <w:t>4</w:t>
            </w:r>
            <w:r w:rsidR="00796BD3" w:rsidRPr="00B459DF">
              <w:rPr>
                <w:b/>
                <w:lang w:val="ru-RU"/>
              </w:rPr>
              <w:t>/</w:t>
            </w:r>
            <w:r w:rsidR="00C11FE3" w:rsidRPr="00B459DF">
              <w:rPr>
                <w:b/>
                <w:lang w:val="ru-RU"/>
              </w:rPr>
              <w:t>55</w:t>
            </w:r>
            <w:r w:rsidR="00796BD3" w:rsidRPr="00B459DF">
              <w:rPr>
                <w:b/>
                <w:lang w:val="ru-RU"/>
              </w:rPr>
              <w:t>-R</w:t>
            </w:r>
          </w:p>
        </w:tc>
      </w:tr>
      <w:tr w:rsidR="00796BD3" w:rsidRPr="00B459DF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B459D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1204B1DA" w:rsidR="00796BD3" w:rsidRPr="00B459DF" w:rsidRDefault="008D21F1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B459DF">
              <w:rPr>
                <w:b/>
                <w:lang w:val="ru-RU"/>
              </w:rPr>
              <w:t>6</w:t>
            </w:r>
            <w:r w:rsidR="0055137D" w:rsidRPr="00B459DF">
              <w:rPr>
                <w:b/>
                <w:lang w:val="ru-RU"/>
              </w:rPr>
              <w:t xml:space="preserve"> мая</w:t>
            </w:r>
            <w:r w:rsidR="00796BD3" w:rsidRPr="00B459DF">
              <w:rPr>
                <w:b/>
                <w:lang w:val="ru-RU"/>
              </w:rPr>
              <w:t xml:space="preserve"> 202</w:t>
            </w:r>
            <w:r w:rsidR="00660449" w:rsidRPr="00B459DF">
              <w:rPr>
                <w:b/>
                <w:lang w:val="ru-RU"/>
              </w:rPr>
              <w:t>4</w:t>
            </w:r>
          </w:p>
        </w:tc>
      </w:tr>
      <w:tr w:rsidR="00796BD3" w:rsidRPr="00B459DF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B459D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B459DF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459DF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B459DF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B459D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B459DF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B459DF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B459DF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B459DF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B459DF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4914E023" w:rsidR="00796BD3" w:rsidRPr="00B459DF" w:rsidRDefault="00C11FE3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Start w:id="7" w:name="_Hlk136507695"/>
            <w:bookmarkStart w:id="8" w:name="lt_pId012"/>
            <w:bookmarkStart w:id="9" w:name="_Hlk165915708"/>
            <w:bookmarkEnd w:id="5"/>
            <w:r w:rsidRPr="00B459DF">
              <w:rPr>
                <w:sz w:val="32"/>
                <w:lang w:val="ru-RU" w:bidi="ru-RU"/>
              </w:rPr>
              <w:t>СОТРУДНИЧЕСТВО С СИСТЕМОЙ ОРГАНИЗАЦИИ ОБЪЕДИНЕННЫХ НАЦИЙ И ДРУГИМИ МЕЖДУНАРОДНЫМИ МЕЖПРАВИТЕЛЬСТВЕННЫМИ ПРОЦЕССАМИ</w:t>
            </w:r>
            <w:bookmarkEnd w:id="7"/>
            <w:r w:rsidRPr="00B459DF">
              <w:rPr>
                <w:sz w:val="32"/>
                <w:lang w:val="ru-RU" w:bidi="ru-RU"/>
              </w:rPr>
              <w:t>, В ТОМ ЧИСЛЕ В ОБЛАСТИ РАЗРАБОТКИ СТАНДАРТОВ</w:t>
            </w:r>
            <w:bookmarkEnd w:id="8"/>
            <w:bookmarkEnd w:id="9"/>
          </w:p>
        </w:tc>
      </w:tr>
      <w:tr w:rsidR="00796BD3" w:rsidRPr="00B459DF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4B689A29" w:rsidR="00796BD3" w:rsidRPr="00B459DF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459DF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3BE235DD" w:rsidR="00796BD3" w:rsidRPr="00B459DF" w:rsidRDefault="00C11FE3" w:rsidP="008D21F1">
            <w:pPr>
              <w:rPr>
                <w:lang w:val="ru-RU"/>
              </w:rPr>
            </w:pPr>
            <w:bookmarkStart w:id="10" w:name="lt_pId014"/>
            <w:r w:rsidRPr="00B459DF">
              <w:rPr>
                <w:lang w:val="ru-RU" w:bidi="ru-RU"/>
              </w:rPr>
              <w:t>В настоящем отчете представлены некоторые наиболее важные данные, касающиеся участия МСЭ в основных конференциях, процессах и направлениях работы Организации Объединенных Наций по цифровой тематике, а также вклада Союза в их проведение, в том числе в рамках реализации доклада Генерального секретаря Организации Объединенных Наций "Наша общая повестка дня".</w:t>
            </w:r>
            <w:bookmarkEnd w:id="10"/>
            <w:r w:rsidRPr="00B459DF">
              <w:rPr>
                <w:lang w:val="ru-RU" w:bidi="ru-RU"/>
              </w:rPr>
              <w:t xml:space="preserve"> Более полное описание можно найти в информационном документе о сотрудничестве с системой Организации Объединенных Наций.</w:t>
            </w:r>
          </w:p>
          <w:p w14:paraId="2376E3C8" w14:textId="77777777" w:rsidR="00796BD3" w:rsidRPr="00B459DF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459DF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5E18B81" w14:textId="2E2A48E1" w:rsidR="008D21F1" w:rsidRPr="00B459DF" w:rsidRDefault="00C11FE3" w:rsidP="008D21F1">
            <w:pPr>
              <w:pStyle w:val="Index1"/>
              <w:jc w:val="both"/>
              <w:rPr>
                <w:rFonts w:cs="Calibri"/>
                <w:szCs w:val="24"/>
                <w:lang w:val="ru-RU" w:eastAsia="zh-CN"/>
              </w:rPr>
            </w:pPr>
            <w:r w:rsidRPr="00B459DF">
              <w:rPr>
                <w:lang w:val="ru-RU" w:bidi="ru-RU"/>
              </w:rPr>
              <w:t xml:space="preserve">Совету МСЭ предлагается </w:t>
            </w:r>
            <w:r w:rsidRPr="00B459DF">
              <w:rPr>
                <w:b/>
                <w:lang w:val="ru-RU" w:bidi="ru-RU"/>
              </w:rPr>
              <w:t xml:space="preserve">принять к сведению </w:t>
            </w:r>
            <w:r w:rsidRPr="00B459DF">
              <w:rPr>
                <w:lang w:val="ru-RU" w:bidi="ru-RU"/>
              </w:rPr>
              <w:t>настоящий отчет</w:t>
            </w:r>
            <w:r w:rsidRPr="00B459DF">
              <w:rPr>
                <w:lang w:val="ru-RU" w:bidi="ru-RU"/>
              </w:rPr>
              <w:t>.</w:t>
            </w:r>
          </w:p>
          <w:p w14:paraId="4B76B099" w14:textId="77777777" w:rsidR="00796BD3" w:rsidRPr="00B459DF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459DF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1FC7AF56" w:rsidR="00796BD3" w:rsidRPr="00B459DF" w:rsidRDefault="00C11FE3" w:rsidP="00E31DCE">
            <w:pPr>
              <w:rPr>
                <w:lang w:val="ru-RU"/>
              </w:rPr>
            </w:pPr>
            <w:r w:rsidRPr="00B459DF">
              <w:rPr>
                <w:bCs/>
                <w:szCs w:val="24"/>
                <w:lang w:val="ru-RU"/>
              </w:rPr>
              <w:t>Партнерские отношения и международное сотрудничество</w:t>
            </w:r>
            <w:r w:rsidR="0055137D" w:rsidRPr="00B459DF">
              <w:rPr>
                <w:lang w:val="ru-RU" w:bidi="ru-RU"/>
              </w:rPr>
              <w:t>.</w:t>
            </w:r>
          </w:p>
          <w:p w14:paraId="0F84FABA" w14:textId="0ADD6850" w:rsidR="0055137D" w:rsidRPr="00B459DF" w:rsidRDefault="0033025A" w:rsidP="00E31DCE">
            <w:pPr>
              <w:spacing w:before="160"/>
              <w:rPr>
                <w:lang w:val="en-US" w:bidi="ru-RU"/>
              </w:rPr>
            </w:pPr>
            <w:r w:rsidRPr="00B459DF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8C34503" w14:textId="1B5463CA" w:rsidR="00796BD3" w:rsidRPr="00B459DF" w:rsidRDefault="0055137D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459DF">
              <w:rPr>
                <w:lang w:val="ru-RU" w:bidi="ru-RU"/>
              </w:rPr>
              <w:t>В рамках выделенного бюджета на 2024–2025 годы.</w:t>
            </w:r>
          </w:p>
          <w:p w14:paraId="763B8351" w14:textId="77777777" w:rsidR="00796BD3" w:rsidRPr="00B459DF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B459DF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B459DF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459DF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170A1EE3" w:rsidR="00796BD3" w:rsidRPr="00B459DF" w:rsidRDefault="00C11FE3" w:rsidP="00E31DCE">
            <w:pPr>
              <w:spacing w:after="160"/>
              <w:rPr>
                <w:lang w:val="ru-RU"/>
              </w:rPr>
            </w:pPr>
            <w:r w:rsidRPr="00B459DF">
              <w:rPr>
                <w:rFonts w:eastAsia="SimSun"/>
                <w:i/>
                <w:iCs/>
                <w:szCs w:val="22"/>
                <w:lang w:val="ru-RU"/>
              </w:rPr>
              <w:t xml:space="preserve">Документы </w:t>
            </w:r>
            <w:hyperlink r:id="rId7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C08/INF/8</w:t>
              </w:r>
            </w:hyperlink>
            <w:r w:rsidRPr="00B459DF">
              <w:rPr>
                <w:rFonts w:eastAsia="SimSun"/>
                <w:i/>
                <w:iCs/>
                <w:szCs w:val="22"/>
                <w:lang w:val="ru-RU"/>
              </w:rPr>
              <w:t xml:space="preserve">, </w:t>
            </w:r>
            <w:hyperlink r:id="rId8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C11/INF/6</w:t>
              </w:r>
            </w:hyperlink>
            <w:r w:rsidRPr="00B459DF">
              <w:rPr>
                <w:rFonts w:eastAsia="SimSun"/>
                <w:i/>
                <w:iCs/>
                <w:szCs w:val="22"/>
                <w:u w:val="single"/>
                <w:lang w:val="ru-RU"/>
              </w:rPr>
              <w:t>,</w:t>
            </w:r>
            <w:r w:rsidRPr="00B459DF">
              <w:rPr>
                <w:rFonts w:eastAsia="SimSun"/>
                <w:i/>
                <w:iCs/>
                <w:szCs w:val="22"/>
                <w:lang w:val="ru-RU"/>
              </w:rPr>
              <w:t xml:space="preserve"> </w:t>
            </w:r>
            <w:hyperlink r:id="rId9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C12/INF/1(Rev.1)</w:t>
              </w:r>
            </w:hyperlink>
            <w:r w:rsidRPr="00B459DF">
              <w:rPr>
                <w:rFonts w:eastAsia="SimSun"/>
                <w:i/>
                <w:iCs/>
                <w:szCs w:val="22"/>
                <w:u w:val="single"/>
                <w:lang w:val="ru-RU"/>
              </w:rPr>
              <w:t>,</w:t>
            </w:r>
            <w:r w:rsidRPr="00B459DF">
              <w:rPr>
                <w:rFonts w:eastAsia="SimSun"/>
                <w:i/>
                <w:iCs/>
                <w:szCs w:val="22"/>
                <w:lang w:val="ru-RU"/>
              </w:rPr>
              <w:t xml:space="preserve"> </w:t>
            </w:r>
            <w:hyperlink r:id="rId10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C13/INF/10</w:t>
              </w:r>
            </w:hyperlink>
            <w:r w:rsidRPr="00B459DF">
              <w:rPr>
                <w:rFonts w:eastAsia="SimSun"/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C14/INF/7</w:t>
              </w:r>
            </w:hyperlink>
            <w:r w:rsidRPr="00B459DF">
              <w:rPr>
                <w:rFonts w:eastAsia="SimSun"/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C15/INF/4</w:t>
              </w:r>
            </w:hyperlink>
            <w:r w:rsidRPr="00B459DF">
              <w:rPr>
                <w:rFonts w:eastAsia="SimSun"/>
                <w:bCs/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C16/57</w:t>
              </w:r>
            </w:hyperlink>
            <w:r w:rsidRPr="00B459DF">
              <w:rPr>
                <w:rFonts w:eastAsia="SimSun"/>
                <w:i/>
                <w:iCs/>
                <w:szCs w:val="22"/>
                <w:lang w:val="ru-RU"/>
              </w:rPr>
              <w:t xml:space="preserve"> и </w:t>
            </w:r>
            <w:hyperlink r:id="rId14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C17/INF/10</w:t>
              </w:r>
            </w:hyperlink>
            <w:r w:rsidRPr="00B459DF">
              <w:rPr>
                <w:rFonts w:eastAsia="SimSun"/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C18/INF/4</w:t>
              </w:r>
            </w:hyperlink>
            <w:r w:rsidRPr="00B459DF">
              <w:rPr>
                <w:rFonts w:eastAsia="SimSun"/>
                <w:i/>
                <w:iCs/>
                <w:szCs w:val="22"/>
                <w:u w:val="single"/>
                <w:lang w:val="ru-RU"/>
              </w:rPr>
              <w:t>,</w:t>
            </w:r>
            <w:r w:rsidRPr="00B459DF">
              <w:rPr>
                <w:rFonts w:eastAsia="SimSun"/>
                <w:i/>
                <w:iCs/>
                <w:szCs w:val="22"/>
                <w:lang w:val="ru-RU"/>
              </w:rPr>
              <w:t xml:space="preserve"> </w:t>
            </w:r>
            <w:hyperlink r:id="rId16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C19/INF/8</w:t>
              </w:r>
            </w:hyperlink>
            <w:r w:rsidRPr="00B459DF">
              <w:rPr>
                <w:rFonts w:eastAsia="SimSun"/>
                <w:i/>
                <w:iCs/>
                <w:szCs w:val="22"/>
                <w:lang w:val="ru-RU"/>
              </w:rPr>
              <w:t xml:space="preserve">, </w:t>
            </w:r>
            <w:hyperlink r:id="rId17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C20/INF/3</w:t>
              </w:r>
            </w:hyperlink>
            <w:r w:rsidRPr="00B459DF">
              <w:rPr>
                <w:rFonts w:eastAsia="SimSun"/>
                <w:i/>
                <w:iCs/>
                <w:szCs w:val="22"/>
                <w:lang w:val="ru-RU"/>
              </w:rPr>
              <w:t xml:space="preserve">; </w:t>
            </w:r>
            <w:hyperlink r:id="rId18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C21/INF/2</w:t>
              </w:r>
            </w:hyperlink>
            <w:r w:rsidRPr="00B459DF">
              <w:rPr>
                <w:rFonts w:eastAsia="SimSun"/>
                <w:i/>
                <w:iCs/>
                <w:szCs w:val="22"/>
                <w:lang w:val="ru-RU"/>
              </w:rPr>
              <w:t xml:space="preserve">; </w:t>
            </w:r>
            <w:hyperlink r:id="rId19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C22/INF/2</w:t>
              </w:r>
            </w:hyperlink>
            <w:r w:rsidRPr="00B459DF">
              <w:rPr>
                <w:rStyle w:val="Hyperlink"/>
                <w:rFonts w:eastAsia="SimSun"/>
                <w:i/>
                <w:iCs/>
                <w:szCs w:val="22"/>
                <w:lang w:val="ru-RU"/>
              </w:rPr>
              <w:t xml:space="preserve">; </w:t>
            </w:r>
            <w:hyperlink r:id="rId20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C23/INF/8</w:t>
              </w:r>
            </w:hyperlink>
            <w:r w:rsidRPr="00B459DF">
              <w:rPr>
                <w:rStyle w:val="Hyperlink"/>
                <w:rFonts w:eastAsia="SimSun"/>
                <w:i/>
                <w:iCs/>
                <w:szCs w:val="22"/>
                <w:lang w:val="ru-RU"/>
              </w:rPr>
              <w:t xml:space="preserve">; </w:t>
            </w:r>
            <w:hyperlink r:id="rId21" w:history="1">
              <w:r w:rsidRPr="00B459DF">
                <w:rPr>
                  <w:rStyle w:val="Hyperlink"/>
                  <w:rFonts w:eastAsia="SimSun"/>
                  <w:i/>
                  <w:iCs/>
                  <w:szCs w:val="22"/>
                  <w:lang w:val="ru-RU"/>
                </w:rPr>
                <w:t>C23/INF/9</w:t>
              </w:r>
            </w:hyperlink>
          </w:p>
        </w:tc>
      </w:tr>
      <w:bookmarkEnd w:id="2"/>
      <w:bookmarkEnd w:id="6"/>
    </w:tbl>
    <w:p w14:paraId="6EB9976D" w14:textId="77777777" w:rsidR="00796BD3" w:rsidRPr="00B459DF" w:rsidRDefault="00796BD3" w:rsidP="00796BD3">
      <w:pPr>
        <w:rPr>
          <w:lang w:val="ru-RU"/>
        </w:rPr>
      </w:pPr>
    </w:p>
    <w:p w14:paraId="60F31B98" w14:textId="77777777" w:rsidR="00165D06" w:rsidRPr="00B459DF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459DF">
        <w:rPr>
          <w:lang w:val="ru-RU"/>
        </w:rPr>
        <w:br w:type="page"/>
      </w:r>
    </w:p>
    <w:p w14:paraId="24FD3494" w14:textId="42E7136F" w:rsidR="0055137D" w:rsidRPr="00B459DF" w:rsidRDefault="000E7DE9" w:rsidP="000E7DE9">
      <w:pPr>
        <w:pStyle w:val="Heading1"/>
        <w:rPr>
          <w:bCs/>
          <w:lang w:val="ru-RU"/>
        </w:rPr>
      </w:pPr>
      <w:r w:rsidRPr="00B459DF">
        <w:rPr>
          <w:lang w:val="ru-RU" w:bidi="ru-RU"/>
        </w:rPr>
        <w:lastRenderedPageBreak/>
        <w:t>1</w:t>
      </w:r>
      <w:r w:rsidRPr="00B459DF">
        <w:rPr>
          <w:lang w:val="ru-RU" w:bidi="ru-RU"/>
        </w:rPr>
        <w:tab/>
      </w:r>
      <w:r w:rsidR="00C11FE3" w:rsidRPr="00B459DF">
        <w:rPr>
          <w:rFonts w:asciiTheme="minorHAnsi" w:eastAsia="SimSun" w:hAnsiTheme="minorHAnsi" w:cstheme="minorHAnsi"/>
          <w:bCs/>
          <w:szCs w:val="24"/>
          <w:lang w:val="ru-RU"/>
        </w:rPr>
        <w:t>Введение</w:t>
      </w:r>
    </w:p>
    <w:p w14:paraId="0B5707FE" w14:textId="7310251F" w:rsidR="00C11FE3" w:rsidRPr="00B459DF" w:rsidRDefault="00C11FE3" w:rsidP="00C11FE3">
      <w:pPr>
        <w:rPr>
          <w:lang w:val="ru-RU" w:bidi="ru-RU"/>
        </w:rPr>
      </w:pPr>
      <w:r w:rsidRPr="00B459DF">
        <w:rPr>
          <w:rFonts w:asciiTheme="minorHAnsi" w:hAnsiTheme="minorHAnsi" w:cstheme="minorHAnsi"/>
          <w:szCs w:val="24"/>
          <w:lang w:val="ru-RU"/>
        </w:rPr>
        <w:t>1</w:t>
      </w:r>
      <w:r w:rsidRPr="00B459DF">
        <w:rPr>
          <w:rFonts w:asciiTheme="minorHAnsi" w:hAnsiTheme="minorHAnsi" w:cstheme="minorHAnsi"/>
          <w:szCs w:val="24"/>
          <w:lang w:val="ru-RU"/>
        </w:rPr>
        <w:t>.1</w:t>
      </w:r>
      <w:r w:rsidRPr="00B459DF">
        <w:rPr>
          <w:rFonts w:asciiTheme="minorHAnsi" w:hAnsiTheme="minorHAnsi" w:cstheme="minorHAnsi"/>
          <w:szCs w:val="24"/>
          <w:lang w:val="ru-RU"/>
        </w:rPr>
        <w:tab/>
      </w:r>
      <w:r w:rsidRPr="00B459DF">
        <w:rPr>
          <w:lang w:val="ru-RU" w:bidi="ru-RU"/>
        </w:rPr>
        <w:t>Информационно-коммуникационные технологии (ИКТ) признаны в Повестке дня в области устойчивого развития на период до 2030 года в качестве одного из основных средств реализации. Ввиду того, что цифровые технологии продолжают играть все более важную роль в преобразовании глобальной экономической и социальной деятельности, максимальное использование их преимуществ и решение задач цифровой повестки дня стали рассматриваться в качестве общих интересов и первоочередных вопросов в рамках всей системы Организации Объединенных Наций (ООН), оставаясь одним из главных приоритетов Генерального секретаря ООН. Такая эволюция в системе ООН привела к появлению многочисленных направлений работы в сфере цифрового сотрудничества, а также к росту внимания к вопросам, связанным с цифровыми технологиями, в рамках крупных конференций и процессов ООН.</w:t>
      </w:r>
    </w:p>
    <w:p w14:paraId="5149D937" w14:textId="2EAE911D" w:rsidR="000E7DE9" w:rsidRPr="00B459DF" w:rsidRDefault="00C11FE3" w:rsidP="00C11FE3">
      <w:pPr>
        <w:rPr>
          <w:rFonts w:asciiTheme="minorHAnsi" w:hAnsiTheme="minorHAnsi" w:cstheme="minorHAnsi"/>
          <w:szCs w:val="24"/>
          <w:lang w:val="ru-RU"/>
        </w:rPr>
      </w:pPr>
      <w:r w:rsidRPr="00B459DF">
        <w:rPr>
          <w:rFonts w:asciiTheme="minorHAnsi" w:hAnsiTheme="minorHAnsi" w:cstheme="minorHAnsi"/>
          <w:szCs w:val="24"/>
          <w:lang w:val="ru-RU"/>
        </w:rPr>
        <w:t>1.2</w:t>
      </w:r>
      <w:r w:rsidRPr="00B459DF">
        <w:rPr>
          <w:rFonts w:asciiTheme="minorHAnsi" w:hAnsiTheme="minorHAnsi" w:cstheme="minorHAnsi"/>
          <w:szCs w:val="24"/>
          <w:lang w:val="ru-RU"/>
        </w:rPr>
        <w:tab/>
      </w:r>
      <w:r w:rsidRPr="00B459DF">
        <w:rPr>
          <w:lang w:val="ru-RU" w:bidi="ru-RU"/>
        </w:rPr>
        <w:t>В качестве специализированного учреждения Организации Объединенных Наций по вопросам ИКТ МСЭ активно сотрудничает и взаимодействует с различными процессами, механизмами и координационными сетями в рамках системы ООН, а также принимает в них непосредственное участие, внося свой вклад в различные совместные или межведомственные инициативы. Кроме того, используя свои знания и обширный опыт в области электросвязи/ИКТ, МСЭ демонстрирует проактивное лидерство в рамках системы ООН в решении вопросов, связанных с цифровыми технологиями, и выполнении задач цифровой повестки дня, включая, в частности, проведение Всемирной встречи на высшем уровне по вопросам информационного общества (ВВУИО)</w:t>
      </w:r>
      <w:r w:rsidR="000E7DE9" w:rsidRPr="00B459DF">
        <w:rPr>
          <w:szCs w:val="24"/>
          <w:lang w:val="ru-RU"/>
        </w:rPr>
        <w:t>.</w:t>
      </w:r>
    </w:p>
    <w:p w14:paraId="72299DED" w14:textId="0B362214" w:rsidR="000E7DE9" w:rsidRPr="00B459DF" w:rsidRDefault="000E7DE9" w:rsidP="00C11FE3">
      <w:pPr>
        <w:pStyle w:val="Heading1"/>
        <w:rPr>
          <w:lang w:val="ru-RU"/>
        </w:rPr>
      </w:pPr>
      <w:r w:rsidRPr="00B459DF">
        <w:rPr>
          <w:lang w:val="ru-RU"/>
        </w:rPr>
        <w:t>2</w:t>
      </w:r>
      <w:r w:rsidRPr="00B459DF">
        <w:rPr>
          <w:lang w:val="ru-RU"/>
        </w:rPr>
        <w:tab/>
      </w:r>
      <w:r w:rsidR="00C11FE3" w:rsidRPr="00B459DF">
        <w:rPr>
          <w:lang w:val="ru-RU"/>
        </w:rPr>
        <w:t>Наша общая повестка дня</w:t>
      </w:r>
    </w:p>
    <w:p w14:paraId="5AB8EC86" w14:textId="1E5C08A6" w:rsidR="00C11FE3" w:rsidRPr="00B459DF" w:rsidRDefault="00C11FE3" w:rsidP="00C11FE3">
      <w:pPr>
        <w:rPr>
          <w:lang w:val="ru-RU" w:bidi="ru-RU"/>
        </w:rPr>
      </w:pPr>
      <w:r w:rsidRPr="00B459DF">
        <w:rPr>
          <w:rFonts w:asciiTheme="minorHAnsi" w:eastAsia="SimSun" w:hAnsiTheme="minorHAnsi" w:cstheme="minorHAnsi"/>
          <w:szCs w:val="24"/>
          <w:lang w:val="ru-RU"/>
        </w:rPr>
        <w:t>2.1</w:t>
      </w:r>
      <w:r w:rsidRPr="00B459DF">
        <w:rPr>
          <w:rFonts w:asciiTheme="minorHAnsi" w:eastAsia="SimSun" w:hAnsiTheme="minorHAnsi" w:cstheme="minorHAnsi"/>
          <w:szCs w:val="24"/>
          <w:lang w:val="ru-RU"/>
        </w:rPr>
        <w:tab/>
      </w:r>
      <w:r w:rsidRPr="00B459DF">
        <w:rPr>
          <w:lang w:val="ru-RU" w:bidi="ru-RU"/>
        </w:rPr>
        <w:t xml:space="preserve">МСЭ вносит вклад как в усилия государств – членов Организации Объединенных Наций, так и в межведомственные усилия по выполнению доклада Генерального секретаря ООН </w:t>
      </w:r>
      <w:hyperlink r:id="rId22" w:history="1">
        <w:r w:rsidRPr="00B459DF">
          <w:rPr>
            <w:rStyle w:val="Hyperlink"/>
            <w:lang w:val="ru-RU" w:bidi="ru-RU"/>
          </w:rPr>
          <w:t>"Наша общая повестка дня"</w:t>
        </w:r>
      </w:hyperlink>
      <w:r w:rsidRPr="00B459DF">
        <w:rPr>
          <w:lang w:val="ru-RU" w:bidi="ru-RU"/>
        </w:rPr>
        <w:t xml:space="preserve">, который был представлен на 76-й сессии Генеральной Ассамблеи Организации Объединенных Наций (ГА ООН) в сентябре 2021 года. В соответствии с </w:t>
      </w:r>
      <w:hyperlink r:id="rId23">
        <w:r w:rsidR="00B459DF">
          <w:rPr>
            <w:rStyle w:val="Hyperlink"/>
            <w:rFonts w:asciiTheme="minorHAnsi" w:hAnsiTheme="minorHAnsi" w:cstheme="minorHAnsi"/>
            <w:szCs w:val="24"/>
            <w:lang w:val="ru-RU"/>
          </w:rPr>
          <w:t>р</w:t>
        </w:r>
        <w:r w:rsidRPr="00B459DF">
          <w:rPr>
            <w:rStyle w:val="Hyperlink"/>
            <w:rFonts w:asciiTheme="minorHAnsi" w:hAnsiTheme="minorHAnsi" w:cstheme="minorHAnsi"/>
            <w:szCs w:val="24"/>
            <w:lang w:val="ru-RU"/>
          </w:rPr>
          <w:t>езолюц</w:t>
        </w:r>
        <w:r w:rsidRPr="00B459DF">
          <w:rPr>
            <w:rStyle w:val="Hyperlink"/>
            <w:rFonts w:asciiTheme="minorHAnsi" w:hAnsiTheme="minorHAnsi" w:cstheme="minorHAnsi"/>
            <w:szCs w:val="24"/>
            <w:lang w:val="ru-RU"/>
          </w:rPr>
          <w:t>и</w:t>
        </w:r>
        <w:r w:rsidRPr="00B459DF">
          <w:rPr>
            <w:rStyle w:val="Hyperlink"/>
            <w:rFonts w:asciiTheme="minorHAnsi" w:hAnsiTheme="minorHAnsi" w:cstheme="minorHAnsi"/>
            <w:szCs w:val="24"/>
            <w:lang w:val="ru-RU"/>
          </w:rPr>
          <w:t>ей 75/1</w:t>
        </w:r>
      </w:hyperlink>
      <w:r w:rsidRPr="00B459DF">
        <w:rPr>
          <w:lang w:val="ru-RU" w:bidi="ru-RU"/>
        </w:rPr>
        <w:t xml:space="preserve"> ГА ООН, касающейся декларации о праздновании 75-й годовщины Организации Объединенных Наций, доклад "Наша общая повестка дня" включает, в частности, предложения в отношении Глобального цифрового договора и Саммита будущего с возможным сегментом по цифровым технологиям, а также многие другие предложения, так или иначе связанные с использованием цифровых технологий, в том числе предложения о трансформации образования, космическом пространстве и "ООН 2.0".</w:t>
      </w:r>
    </w:p>
    <w:p w14:paraId="30960DF2" w14:textId="53CF23B3" w:rsidR="00C11FE3" w:rsidRPr="00B459DF" w:rsidRDefault="00C11FE3" w:rsidP="00C11FE3">
      <w:pPr>
        <w:rPr>
          <w:lang w:val="ru-RU"/>
        </w:rPr>
      </w:pPr>
      <w:r w:rsidRPr="00B459DF">
        <w:rPr>
          <w:rFonts w:eastAsia="SimSun"/>
          <w:lang w:val="ru-RU"/>
        </w:rPr>
        <w:t>2.2</w:t>
      </w:r>
      <w:r w:rsidRPr="00B459DF">
        <w:rPr>
          <w:rFonts w:eastAsia="SimSun"/>
          <w:lang w:val="ru-RU"/>
        </w:rPr>
        <w:tab/>
      </w:r>
      <w:r w:rsidRPr="00B459DF">
        <w:rPr>
          <w:rFonts w:eastAsia="SimSun"/>
          <w:b/>
          <w:bCs/>
          <w:lang w:val="ru-RU"/>
        </w:rPr>
        <w:t>Саммит будущего</w:t>
      </w:r>
      <w:r w:rsidR="005C1CA2">
        <w:rPr>
          <w:rFonts w:eastAsia="SimSun"/>
          <w:bCs/>
          <w:lang w:val="ru-RU"/>
        </w:rPr>
        <w:t>.</w:t>
      </w:r>
      <w:r w:rsidR="00B459DF">
        <w:rPr>
          <w:rFonts w:eastAsia="SimSun"/>
          <w:bCs/>
          <w:lang w:val="en-US"/>
        </w:rPr>
        <w:t xml:space="preserve"> </w:t>
      </w:r>
      <w:r w:rsidRPr="00B459DF">
        <w:rPr>
          <w:lang w:val="ru-RU"/>
        </w:rPr>
        <w:t xml:space="preserve">В настоящее время в Генеральной Ассамблее ООН идет подготовка к </w:t>
      </w:r>
      <w:hyperlink r:id="rId24">
        <w:r w:rsidRPr="00B459DF">
          <w:rPr>
            <w:rStyle w:val="Hyperlink"/>
            <w:rFonts w:asciiTheme="minorHAnsi" w:hAnsiTheme="minorHAnsi" w:cstheme="minorHAnsi"/>
            <w:szCs w:val="24"/>
            <w:lang w:val="ru-RU"/>
          </w:rPr>
          <w:t>Саммиту будущего</w:t>
        </w:r>
      </w:hyperlink>
      <w:r w:rsidRPr="00B459DF">
        <w:rPr>
          <w:lang w:val="ru-RU"/>
        </w:rPr>
        <w:t xml:space="preserve">. Саммит, запланированный на 22−23 сентября 2024 года, призван сформировать новый глобальный </w:t>
      </w:r>
      <w:r w:rsidRPr="00B459DF">
        <w:rPr>
          <w:lang w:val="ru-RU" w:bidi="ru-RU"/>
        </w:rPr>
        <w:t>консенсус</w:t>
      </w:r>
      <w:r w:rsidRPr="00B459DF">
        <w:rPr>
          <w:lang w:val="ru-RU"/>
        </w:rPr>
        <w:t xml:space="preserve"> в целях принятия многосторонних решений. В</w:t>
      </w:r>
      <w:r w:rsidR="00B459DF">
        <w:rPr>
          <w:lang w:val="en-US"/>
        </w:rPr>
        <w:t> </w:t>
      </w:r>
      <w:r w:rsidRPr="00B459DF">
        <w:rPr>
          <w:lang w:val="ru-RU"/>
        </w:rPr>
        <w:t>соответствии с резолюцией ООН о порядке проведения Саммита будущего (</w:t>
      </w:r>
      <w:hyperlink r:id="rId25">
        <w:r w:rsidRPr="00B459DF">
          <w:rPr>
            <w:rStyle w:val="Hyperlink"/>
            <w:rFonts w:asciiTheme="minorHAnsi" w:hAnsiTheme="minorHAnsi" w:cstheme="minorHAnsi"/>
            <w:szCs w:val="24"/>
            <w:lang w:val="ru-RU"/>
          </w:rPr>
          <w:t>A/RES/76/307</w:t>
        </w:r>
      </w:hyperlink>
      <w:r w:rsidRPr="00B459DF">
        <w:rPr>
          <w:lang w:val="ru-RU"/>
        </w:rPr>
        <w:t>), на Саммите будет принят итоговый документ под названием "</w:t>
      </w:r>
      <w:hyperlink r:id="rId26">
        <w:r w:rsidRPr="00B459DF">
          <w:rPr>
            <w:rStyle w:val="Hyperlink"/>
            <w:rFonts w:asciiTheme="minorHAnsi" w:hAnsiTheme="minorHAnsi" w:cstheme="minorHAnsi"/>
            <w:szCs w:val="24"/>
            <w:lang w:val="ru-RU"/>
          </w:rPr>
          <w:t>Пакт во имя будущего</w:t>
        </w:r>
      </w:hyperlink>
      <w:r w:rsidRPr="00B459DF">
        <w:rPr>
          <w:lang w:val="ru-RU"/>
        </w:rPr>
        <w:t>"</w:t>
      </w:r>
      <w:r w:rsidRPr="00B459DF">
        <w:rPr>
          <w:rFonts w:asciiTheme="minorHAnsi" w:hAnsiTheme="minorHAnsi" w:cstheme="minorHAnsi"/>
          <w:szCs w:val="24"/>
          <w:lang w:val="ru-RU"/>
        </w:rPr>
        <w:t>.</w:t>
      </w:r>
      <w:r w:rsidRPr="00B459DF">
        <w:rPr>
          <w:lang w:val="ru-RU"/>
        </w:rPr>
        <w:t xml:space="preserve"> На сокоординаторов, в роли которых выступают постоянные представители Германии и Намибии при отделении ООН в Нью-Йорке, возложена задача по оказанию содействия проведению межправительственных консультаций для определения сферы охвата Саммита, тематики, организации интерактивных диалогов и процесса переговоров в целях выработки итогового документа с отведением достаточного времени для проведения переговорных сессий.</w:t>
      </w:r>
    </w:p>
    <w:p w14:paraId="07A1BD5B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2.3</w:t>
      </w:r>
      <w:r w:rsidRPr="00B459DF">
        <w:rPr>
          <w:lang w:val="ru-RU"/>
        </w:rPr>
        <w:tab/>
        <w:t xml:space="preserve">26 января 2024 года, после повторного назначения сокоординаторами Саммита будущего в ходе 78-й сессии ГА ООН, Германия и Намибия представили </w:t>
      </w:r>
      <w:hyperlink r:id="rId27">
        <w:r w:rsidRPr="00B459DF">
          <w:rPr>
            <w:rStyle w:val="Hyperlink"/>
            <w:rFonts w:asciiTheme="minorHAnsi" w:hAnsiTheme="minorHAnsi" w:cstheme="minorHAnsi"/>
            <w:szCs w:val="24"/>
            <w:lang w:val="ru-RU"/>
          </w:rPr>
          <w:t>нулевой проект Пакта во имя будущего</w:t>
        </w:r>
      </w:hyperlink>
      <w:r w:rsidRPr="00B459DF">
        <w:rPr>
          <w:lang w:val="ru-RU"/>
        </w:rPr>
        <w:t xml:space="preserve">, а также </w:t>
      </w:r>
      <w:hyperlink r:id="rId28">
        <w:r w:rsidRPr="00B459DF">
          <w:rPr>
            <w:rStyle w:val="Hyperlink"/>
            <w:rFonts w:asciiTheme="minorHAnsi" w:hAnsiTheme="minorHAnsi" w:cstheme="minorHAnsi"/>
            <w:szCs w:val="24"/>
            <w:lang w:val="ru-RU"/>
          </w:rPr>
          <w:t>дорожную карту для подготовительного процесса</w:t>
        </w:r>
      </w:hyperlink>
      <w:r w:rsidRPr="00B459DF">
        <w:rPr>
          <w:lang w:val="ru-RU"/>
        </w:rPr>
        <w:t xml:space="preserve">. Вопросы, связанные с цифровыми </w:t>
      </w:r>
      <w:r w:rsidRPr="00B459DF">
        <w:rPr>
          <w:lang w:val="ru-RU" w:bidi="ru-RU"/>
        </w:rPr>
        <w:t>технологиями</w:t>
      </w:r>
      <w:r w:rsidRPr="00B459DF">
        <w:rPr>
          <w:lang w:val="ru-RU"/>
        </w:rPr>
        <w:t xml:space="preserve">, затрагиваются во вступительной части нулевого проекта, а также в двух последующих главах "Международный мир и безопасность" и "Наука, </w:t>
      </w:r>
      <w:r w:rsidRPr="00B459DF">
        <w:rPr>
          <w:lang w:val="ru-RU"/>
        </w:rPr>
        <w:lastRenderedPageBreak/>
        <w:t xml:space="preserve">технологии, инновации и цифровое сотрудничество". Нулевой проект был предметом обсуждения на </w:t>
      </w:r>
      <w:r w:rsidRPr="00B459DF">
        <w:rPr>
          <w:lang w:val="ru-RU" w:bidi="ru-RU"/>
        </w:rPr>
        <w:t>межправительственных</w:t>
      </w:r>
      <w:r w:rsidRPr="00B459DF">
        <w:rPr>
          <w:lang w:val="ru-RU"/>
        </w:rPr>
        <w:t xml:space="preserve"> переговорах, в ходе которых Государствам-Членам было предложено представить письменные вклады к 12 февраля. В результате был подготовлен сводный документ нулевого проекта объемом 242 страницы. По состоянию на 25 апреля завершились первое и второе чтения документа, в результате чего был подготовлен сводный текст Пакта во имя будущего. Дополнительные консультации по Пакту были проведены 17 апреля (</w:t>
      </w:r>
      <w:hyperlink r:id="rId29">
        <w:r w:rsidRPr="00B459DF">
          <w:rPr>
            <w:rStyle w:val="Hyperlink"/>
            <w:rFonts w:asciiTheme="minorHAnsi" w:hAnsiTheme="minorHAnsi" w:cstheme="minorHAnsi"/>
            <w:szCs w:val="24"/>
            <w:lang w:val="ru-RU"/>
          </w:rPr>
          <w:t>письмо</w:t>
        </w:r>
      </w:hyperlink>
      <w:r w:rsidRPr="00B459DF">
        <w:rPr>
          <w:lang w:val="ru-RU"/>
        </w:rPr>
        <w:t xml:space="preserve">), а дальнейшее обсуждение состоится в ходе </w:t>
      </w:r>
      <w:hyperlink r:id="rId30">
        <w:r w:rsidRPr="00B459DF">
          <w:rPr>
            <w:rStyle w:val="Hyperlink"/>
            <w:rFonts w:asciiTheme="minorHAnsi" w:hAnsiTheme="minorHAnsi" w:cstheme="minorHAnsi"/>
            <w:szCs w:val="24"/>
            <w:lang w:val="ru-RU"/>
          </w:rPr>
          <w:t>Конференции ООН по гражданскому обществу</w:t>
        </w:r>
      </w:hyperlink>
      <w:r w:rsidRPr="00B459DF">
        <w:rPr>
          <w:lang w:val="ru-RU"/>
        </w:rPr>
        <w:t>, проведение которой запланировано на 9 и 10 мая в Найроби.</w:t>
      </w:r>
    </w:p>
    <w:p w14:paraId="62EA07A0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2.4</w:t>
      </w:r>
      <w:r w:rsidRPr="00B459DF">
        <w:rPr>
          <w:lang w:val="ru-RU"/>
        </w:rPr>
        <w:tab/>
      </w:r>
      <w:r w:rsidRPr="00B459DF">
        <w:rPr>
          <w:b/>
          <w:lang w:val="ru-RU"/>
        </w:rPr>
        <w:t>Глобальный цифровой договор (ГЦД)</w:t>
      </w:r>
      <w:r w:rsidRPr="00B459DF">
        <w:rPr>
          <w:lang w:val="ru-RU"/>
        </w:rPr>
        <w:t xml:space="preserve">. Параллельно с этим, в ходе 78-й сессии ГА ООН на роли сокоординаторов Глобального цифрового договора (ГЦД) были назначены постоянные представители Швеции и Замбии при отделении ООН в Нью-Йорке, причем представитель Швеции получил это </w:t>
      </w:r>
      <w:r w:rsidRPr="00B459DF">
        <w:rPr>
          <w:lang w:val="ru-RU" w:bidi="ru-RU"/>
        </w:rPr>
        <w:t>назначение</w:t>
      </w:r>
      <w:r w:rsidRPr="00B459DF">
        <w:rPr>
          <w:lang w:val="ru-RU"/>
        </w:rPr>
        <w:t xml:space="preserve"> повторно. Оценка, основанная на результатах углубленного анализа и более широких консультаций, проведенных в ходе 77-й сессии ГА ООН бывшими сокоординаторами ГЦД (постоянными представителями Швеции и Руанды при отделении ООН в Нью-Йорке), была представлена в их </w:t>
      </w:r>
      <w:hyperlink r:id="rId31">
        <w:r w:rsidRPr="00B459DF">
          <w:rPr>
            <w:rStyle w:val="Hyperlink"/>
            <w:rFonts w:asciiTheme="minorHAnsi" w:hAnsiTheme="minorHAnsi" w:cstheme="minorHAnsi"/>
            <w:szCs w:val="24"/>
            <w:lang w:val="ru-RU"/>
          </w:rPr>
          <w:t>Аналитическом документе для Генеральной Ассамблеи ООН</w:t>
        </w:r>
      </w:hyperlink>
      <w:r w:rsidRPr="00B459DF">
        <w:rPr>
          <w:rStyle w:val="Hyperlink"/>
          <w:rFonts w:asciiTheme="minorHAnsi" w:hAnsiTheme="minorHAnsi" w:cstheme="minorHAnsi"/>
          <w:szCs w:val="24"/>
          <w:lang w:val="ru-RU"/>
        </w:rPr>
        <w:t xml:space="preserve"> </w:t>
      </w:r>
      <w:r w:rsidRPr="00B459DF">
        <w:rPr>
          <w:lang w:val="ru-RU"/>
        </w:rPr>
        <w:t xml:space="preserve">в сентябре 2023 года. В этом документе сокоординаторы отметили широкую поддержку ГЦД, основанного на принципах Устава ООН, </w:t>
      </w:r>
      <w:r w:rsidRPr="00B459DF">
        <w:rPr>
          <w:lang w:val="ru-RU" w:bidi="ru-RU"/>
        </w:rPr>
        <w:t>Повестки дня в области устойчивого развития на период до 2030 года</w:t>
      </w:r>
      <w:r w:rsidRPr="00B459DF">
        <w:rPr>
          <w:lang w:val="ru-RU"/>
        </w:rPr>
        <w:t xml:space="preserve"> и Всеобщей декларации прав человека. Они подчеркнули необходимость совместных усилий для укрепления сотрудничества в области цифровых технологий, устранения цифрового разрыва и обеспечения инклюзивного, открытого, безопасного и надежного цифрового будущего для всех. Признавая роль различных агентств и форумов ООН, включая МСЭ и ВВУИО, они подчеркнули важность недопущения дублирования существующих процессов.</w:t>
      </w:r>
    </w:p>
    <w:p w14:paraId="47336E79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2.5</w:t>
      </w:r>
      <w:r w:rsidRPr="00B459DF">
        <w:rPr>
          <w:lang w:val="ru-RU"/>
        </w:rPr>
        <w:tab/>
        <w:t xml:space="preserve">В декабре 2023 года сокоординаторы ГЦД опубликовали </w:t>
      </w:r>
      <w:hyperlink r:id="rId32">
        <w:r w:rsidRPr="00B459DF">
          <w:rPr>
            <w:rStyle w:val="Hyperlink"/>
            <w:lang w:val="ru-RU"/>
          </w:rPr>
          <w:t>новую дорожную карту</w:t>
        </w:r>
      </w:hyperlink>
      <w:r w:rsidRPr="00B459DF">
        <w:rPr>
          <w:lang w:val="ru-RU"/>
        </w:rPr>
        <w:t xml:space="preserve"> для проведения дополнительных раундов консультаций по ГЦД, при этом предельный срок подачи письменных материалов устанавливался на 8 марта, а проведение межправительственного переговорного процесса планировалось на первые месяцы 2024 года. На протяжении всех консультаций основное внимание уделялось, в частности, правам человека, гендерному равенству, доступности цифровых технологий и аспекту развития. В то же время многие страны и заинтересованные стороны, включая Группу ООН по вопросам информационного общества (ГИО ООН, </w:t>
      </w:r>
      <w:hyperlink r:id="rId33">
        <w:r w:rsidRPr="00B459DF">
          <w:rPr>
            <w:rStyle w:val="Hyperlink"/>
            <w:lang w:val="ru-RU"/>
          </w:rPr>
          <w:t>заявления</w:t>
        </w:r>
      </w:hyperlink>
      <w:r w:rsidRPr="00B459DF">
        <w:rPr>
          <w:lang w:val="ru-RU"/>
        </w:rPr>
        <w:t>), подчеркнули значимость ВВУИО и выступили за укрепление существующих институтов и процессов ООН для последующей деятельности в рамках ГЦД. Они также подчеркнули важность многостороннего подхода, участия гражданского общества и вовлечения молодежи. Рекомендации касались вопросов управления искусственным интеллектом (ИИ), цифровых прав, доверия и безопасности, управления данными и доступа к цифровой инфраструктуре, при этом приоритетное внимание уделялось правам человека и цифровой грамотности.</w:t>
      </w:r>
    </w:p>
    <w:p w14:paraId="1B2200A2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2.6</w:t>
      </w:r>
      <w:r w:rsidRPr="00B459DF">
        <w:rPr>
          <w:lang w:val="ru-RU"/>
        </w:rPr>
        <w:tab/>
        <w:t xml:space="preserve">Впоследствии, 1 апреля 2024 года, </w:t>
      </w:r>
      <w:hyperlink r:id="rId34">
        <w:r w:rsidRPr="00B459DF">
          <w:rPr>
            <w:rStyle w:val="Hyperlink"/>
            <w:lang w:val="ru-RU"/>
          </w:rPr>
          <w:t>нулевой проект ГЦД</w:t>
        </w:r>
      </w:hyperlink>
      <w:r w:rsidRPr="00B459DF">
        <w:rPr>
          <w:lang w:val="ru-RU"/>
        </w:rPr>
        <w:t xml:space="preserve"> был опубликован сокоординаторами ГЦД (</w:t>
      </w:r>
      <w:hyperlink r:id="rId35">
        <w:r w:rsidRPr="00B459DF">
          <w:rPr>
            <w:rStyle w:val="Hyperlink"/>
            <w:lang w:val="ru-RU"/>
          </w:rPr>
          <w:t>письмо</w:t>
        </w:r>
      </w:hyperlink>
      <w:r w:rsidRPr="00B459DF">
        <w:rPr>
          <w:lang w:val="ru-RU"/>
        </w:rPr>
        <w:t xml:space="preserve">) перед его представлением Государствам-Членам 5 апреля. Нулевой проект является основой для межправительственных переговоров и содержит пять основных целей и десять принципов, направленных на достижение инклюзивного, открытого, безопасного и надежного цифрового будущего. В нулевом проекте изложены обязательства Государств-Членов по </w:t>
      </w:r>
      <w:r w:rsidRPr="00B459DF">
        <w:rPr>
          <w:lang w:val="ru-RU" w:bidi="ru-RU"/>
        </w:rPr>
        <w:t>достижению</w:t>
      </w:r>
      <w:r w:rsidRPr="00B459DF">
        <w:rPr>
          <w:lang w:val="ru-RU"/>
        </w:rPr>
        <w:t xml:space="preserve"> таких ключевых целей, как преодоление цифрового неравенства и содействие развитию инклюзивной цифровой экономики. В нем предлагаются новые механизмы ООН, такие как Консультативная служба по цифровым правам человека, Международная научная группа по ИИ, Ежегодный глобальный диалог по ИИ и Глобальный фонд для ИИ. Для последующей деятельности и обзора предлагается создать новый специальный офис ООН по координации цифровых технологий, а Генеральному секретарю ООН поручить представить в течение 12 месяцев практические предложения и дорожную карту реализации ГЦД. Кроме того, предлагается проводить два раза в год обзор Глобального </w:t>
      </w:r>
      <w:r w:rsidRPr="00B459DF">
        <w:rPr>
          <w:lang w:val="ru-RU"/>
        </w:rPr>
        <w:lastRenderedPageBreak/>
        <w:t xml:space="preserve">цифрового договора на высоком уровне (более подробная информация содержится в документе </w:t>
      </w:r>
      <w:hyperlink r:id="rId36">
        <w:r w:rsidRPr="00B459DF">
          <w:rPr>
            <w:rStyle w:val="Hyperlink"/>
            <w:rFonts w:eastAsia="SimSun"/>
            <w:lang w:val="ru-RU"/>
          </w:rPr>
          <w:t>C23/INF/8</w:t>
        </w:r>
      </w:hyperlink>
      <w:r w:rsidRPr="00B459DF">
        <w:rPr>
          <w:lang w:val="ru-RU"/>
        </w:rPr>
        <w:t>).</w:t>
      </w:r>
    </w:p>
    <w:p w14:paraId="027F172E" w14:textId="3D5A6AC8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2.7</w:t>
      </w:r>
      <w:r w:rsidRPr="00B459DF">
        <w:rPr>
          <w:lang w:val="ru-RU"/>
        </w:rPr>
        <w:tab/>
        <w:t xml:space="preserve">МСЭ, принимая во внимание настоятельные рекомендации Государств-Членов, высказанные в ходе </w:t>
      </w:r>
      <w:r w:rsidRPr="00B459DF">
        <w:rPr>
          <w:lang w:val="ru-RU" w:bidi="ru-RU"/>
        </w:rPr>
        <w:t>собраний</w:t>
      </w:r>
      <w:r w:rsidRPr="00B459DF">
        <w:rPr>
          <w:lang w:val="ru-RU"/>
        </w:rPr>
        <w:t xml:space="preserve"> Рабочей группы Совета по разработке Стратегического и Финансового планов (РГС-СФП) и Рабочей группы Совета по Всемирной встрече на высшем уровне по вопросам информационного общества и Целям в области устойчивого развития (РГС</w:t>
      </w:r>
      <w:r w:rsidR="005C1CA2">
        <w:rPr>
          <w:lang w:val="ru-RU"/>
        </w:rPr>
        <w:noBreakHyphen/>
      </w:r>
      <w:r w:rsidRPr="00B459DF">
        <w:rPr>
          <w:lang w:val="ru-RU"/>
        </w:rPr>
        <w:t>ВВУИО&amp;ЦУР), тесно сотрудничает с Канцелярией Генерального секретаря ООН и другими агентствами ООН по вопросам цифрового сотрудничества и другим вопросам, касающимся цифровых технологий и космоса, в рамках Нашей общей повестки дня. Среди предложений, содержащихся в Нашей общей повестки дня, МСЭ отслеживает около пятнадцати, которые в наибольшей степени касаются обеспечения универсальной возможности установления соединений и цифровой трансформации, включая предложения по Глобальному цифровому договору (ГЦД), космическому пространству, трансформации образования, а также участвует в обсуждениях в Консультативном совете высокого уровня по эффективной многосторонности и общей подготовке к Саммиту будущего.</w:t>
      </w:r>
    </w:p>
    <w:p w14:paraId="60A8E865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2.8</w:t>
      </w:r>
      <w:r w:rsidRPr="00B459DF">
        <w:rPr>
          <w:lang w:val="ru-RU"/>
        </w:rPr>
        <w:tab/>
        <w:t xml:space="preserve">МСЭ подчеркивает важнейшую роль ИКТ в обеспечении устойчивого развития при сведении к минимуму потенциальных рисков. Деятельность МСЭ в рамках процессов ГЦД основана на обсуждениях, проведенных в ходе ключевых мероприятий Союза, например, консультациях во время Полномочной конференции (ПК-22) и Круглого стола на уровне министров в Бухаресте, Всемирной конференции по развитию электросвязи (ВКРЭ-22) в Кигали, Форума ВВУИО 2023 года в Женеве, а также на итогах последнего Всемирного форума по политике в области электросвязи/ИКТ (ВФПЭ) и соответствующих резолюциях ПК. Вклад МСЭ в будущее развитие цифровых </w:t>
      </w:r>
      <w:r w:rsidRPr="00B459DF">
        <w:rPr>
          <w:lang w:val="ru-RU" w:bidi="ru-RU"/>
        </w:rPr>
        <w:t>технологий</w:t>
      </w:r>
      <w:r w:rsidRPr="00B459DF">
        <w:rPr>
          <w:lang w:val="ru-RU"/>
        </w:rPr>
        <w:t xml:space="preserve"> заключается, в частности, в содействии обеспечению всеобщей возможности подключения к интернету всех людей и всех школ мира на основе ориентированной на будущее политики и совместной нормативно-правовой базы, обеспечивающей доступность и инклюзивность. Генеральный секретарь МСЭ также выступил с заявлением на встрече министров в рамках Саммита будущего 21 сентября 2023 года в штаб-квартире ООН в Нью-Йорке во время Недели высокого уровня ГА ООН.</w:t>
      </w:r>
    </w:p>
    <w:p w14:paraId="4AE85CBC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2.9</w:t>
      </w:r>
      <w:r w:rsidRPr="00B459DF">
        <w:rPr>
          <w:lang w:val="ru-RU"/>
        </w:rPr>
        <w:tab/>
      </w:r>
      <w:bookmarkStart w:id="11" w:name="_Hlk160634451"/>
      <w:r w:rsidRPr="005C1CA2">
        <w:rPr>
          <w:b/>
          <w:bCs/>
          <w:lang w:val="ru-RU"/>
        </w:rPr>
        <w:t>Искусственный интеллект</w:t>
      </w:r>
      <w:r w:rsidRPr="00B459DF">
        <w:rPr>
          <w:lang w:val="ru-RU"/>
        </w:rPr>
        <w:t>. Одной из областей, которую Государства-Члены могут постановить включить в ГЦД и/или в главу "</w:t>
      </w:r>
      <w:r w:rsidRPr="00B459DF">
        <w:rPr>
          <w:lang w:val="ru-RU" w:bidi="ru-RU"/>
        </w:rPr>
        <w:t>Наука</w:t>
      </w:r>
      <w:r w:rsidRPr="00B459DF">
        <w:rPr>
          <w:lang w:val="ru-RU"/>
        </w:rPr>
        <w:t xml:space="preserve">, технологии и инновации (НТИ) и цифровое сотрудничество" Пакта во имя будущего, является искусственный интеллект. Генеральный секретарь ООН </w:t>
      </w:r>
      <w:hyperlink r:id="rId37">
        <w:r w:rsidRPr="00B459DF">
          <w:rPr>
            <w:rStyle w:val="Hyperlink"/>
            <w:lang w:val="ru-RU"/>
          </w:rPr>
          <w:t>объявил</w:t>
        </w:r>
      </w:hyperlink>
      <w:r w:rsidRPr="00B459DF">
        <w:rPr>
          <w:lang w:val="ru-RU"/>
        </w:rPr>
        <w:t xml:space="preserve"> о создании 23 октября 2023 года Консультативного органа по искусственному интеллекту (AIAB) для консультирования по вопросам связанных с ИИ рисков и возможностей, а также международного управления искусственным интеллектом. Генеральный секретарь МСЭ был приглашен выступить на пресс-конференции, посвященной началу работы AIAB. Предварительные рекомендации AIAB были обнародованы в конце 2023 года, а окончательные рекомендации должны быть представлены к лету 2024 года, в преддверии Саммита будущего. До настоящего времени МСЭ не получал приглашения для участия в собраниях AIAB. МСЭ пригласил членов AIAB на рабочий обед 11 марта 2024 года, чтобы ознакомить их с информацией об усилиях МСЭ в области ИИ. МСЭ было предложено организовать подробное обсуждение некоторых тем (например, стандартов, гендерных вопросов) для информирования членов AIAB или принять участие в таком обсуждении (более подробная информация содержится в документе </w:t>
      </w:r>
      <w:hyperlink r:id="rId38">
        <w:r w:rsidRPr="00B459DF">
          <w:rPr>
            <w:rStyle w:val="Hyperlink"/>
            <w:rFonts w:eastAsia="Calibri"/>
            <w:lang w:val="ru-RU"/>
          </w:rPr>
          <w:t>C24/67</w:t>
        </w:r>
      </w:hyperlink>
      <w:r w:rsidRPr="00B459DF">
        <w:rPr>
          <w:lang w:val="ru-RU"/>
        </w:rPr>
        <w:t>).</w:t>
      </w:r>
    </w:p>
    <w:p w14:paraId="4F3A744F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2.10</w:t>
      </w:r>
      <w:r w:rsidRPr="00B459DF">
        <w:rPr>
          <w:lang w:val="ru-RU"/>
        </w:rPr>
        <w:tab/>
      </w:r>
      <w:hyperlink r:id="rId39" w:history="1">
        <w:hyperlink r:id="rId40" w:history="1">
          <w:r w:rsidRPr="00B459DF">
            <w:rPr>
              <w:rStyle w:val="Hyperlink"/>
              <w:rFonts w:eastAsia="Calibri"/>
              <w:lang w:val="ru-RU"/>
            </w:rPr>
            <w:t>"Белая книга системы ООН по управлению ИИ: Анализ институциональных моделей, функций и существующих международных нормативных рамок системы ООН, применимых к управлению ИИ"</w:t>
          </w:r>
        </w:hyperlink>
      </w:hyperlink>
      <w:r w:rsidRPr="00B459DF">
        <w:rPr>
          <w:lang w:val="ru-RU"/>
        </w:rPr>
        <w:t xml:space="preserve"> была разработана Межучрежденческой рабочей группой ООН по искусственному интеллекту (IAWG-AI), совместно возглавляемой МСЭ и Организацией Объединенных Наций по вопросам </w:t>
      </w:r>
      <w:r w:rsidRPr="00B459DF">
        <w:rPr>
          <w:lang w:val="ru-RU" w:bidi="ru-RU"/>
        </w:rPr>
        <w:t>образования</w:t>
      </w:r>
      <w:r w:rsidRPr="00B459DF">
        <w:rPr>
          <w:lang w:val="ru-RU"/>
        </w:rPr>
        <w:t xml:space="preserve">, науки и культуры (ЮНЕСКО), в состав которой входят более 40 организаций системы ООН. Данный документ был разработан в ответ на просьбу совместной сессии Комитета высокого уровня по программам (КВУП) и Комитета </w:t>
      </w:r>
      <w:r w:rsidRPr="00B459DF">
        <w:rPr>
          <w:lang w:val="ru-RU"/>
        </w:rPr>
        <w:lastRenderedPageBreak/>
        <w:t xml:space="preserve">высокого уровня по вопросам управления (КВУУ) о подготовке белой книги по существующим институциональным моделям и соответствующим функциям, а также существующим международным нормативным базам в системе ООН, которые могут быть применены или использованы для международного управления ИИ. Белая книга была одобрена КВУП и утверждена Координационным советом руководителей ООН (КСР) для рассмотрения КВУП на его 47-й сессии. Данный документ призван </w:t>
      </w:r>
      <w:r w:rsidRPr="00B459DF">
        <w:rPr>
          <w:lang w:val="ru-RU" w:bidi="ru-RU"/>
        </w:rPr>
        <w:t>обеспечить</w:t>
      </w:r>
      <w:r w:rsidRPr="00B459DF">
        <w:rPr>
          <w:lang w:val="ru-RU"/>
        </w:rPr>
        <w:t xml:space="preserve"> основу для обсуждения вопросов, связанных с ИИ, в рамках системы ООН, а также является вкладом всей системы ООН в работу Консультативного органа высокого уровня по ИИ при Генеральном секретаре.</w:t>
      </w:r>
    </w:p>
    <w:bookmarkEnd w:id="11"/>
    <w:p w14:paraId="108CD6A4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2.11</w:t>
      </w:r>
      <w:r w:rsidRPr="00B459DF">
        <w:rPr>
          <w:lang w:val="ru-RU"/>
        </w:rPr>
        <w:tab/>
      </w:r>
      <w:r w:rsidRPr="005C1CA2">
        <w:rPr>
          <w:b/>
          <w:bCs/>
          <w:lang w:val="ru-RU"/>
        </w:rPr>
        <w:t>Космическое пространство</w:t>
      </w:r>
      <w:r w:rsidRPr="00B459DF">
        <w:rPr>
          <w:lang w:val="ru-RU"/>
        </w:rPr>
        <w:t xml:space="preserve">. В докладе "Наша общая повестка дня" содержится призыв к проведению в рамках Саммита будущего многостороннего диалога по вопросам, касающимся космического пространства, с целью достижения политического соглашения высокого уровня по мирному, безопасному и устойчивому использованию космического пространства, переходу к глобальному режиму координации трафика в космическом пространстве и принципам будущего управления деятельностью в космическом пространстве. После выхода </w:t>
      </w:r>
      <w:hyperlink r:id="rId41">
        <w:r w:rsidRPr="00B459DF">
          <w:rPr>
            <w:rStyle w:val="Hyperlink"/>
            <w:lang w:val="ru-RU"/>
          </w:rPr>
          <w:t>концептуальной записки Генерального секретаря ООН по космическому пространству</w:t>
        </w:r>
      </w:hyperlink>
      <w:r w:rsidRPr="00B459DF">
        <w:rPr>
          <w:lang w:val="ru-RU"/>
        </w:rPr>
        <w:t xml:space="preserve">, в которой МСЭ неоднократно упоминается как организация, способная содействовать международному сотрудничеству по вопросам устойчивости космического пространства, Ассамблея радиосвязи в ноябре 2023 года в Дубае приняла Резолюцию 74 МСЭ-R о деятельности в области устойчивого использования ресурсов радиочастотного спектра и связанных с ним спутниковых орбит космическими службами. Сектору радиосвязи МСЭ и Бюро радиосвязи предложено и поручено разработать Справочник по передовому опыту, новую Рекомендацию по стратегиям и методикам сведения с орбиты и/или захоронения космических станций НГСО, создать </w:t>
      </w:r>
      <w:hyperlink r:id="rId42">
        <w:r w:rsidRPr="00B459DF">
          <w:rPr>
            <w:rStyle w:val="Hyperlink"/>
            <w:lang w:val="ru-RU"/>
          </w:rPr>
          <w:t>подборку ссылок</w:t>
        </w:r>
      </w:hyperlink>
      <w:r w:rsidRPr="00B459DF">
        <w:rPr>
          <w:lang w:val="ru-RU"/>
        </w:rPr>
        <w:t xml:space="preserve"> с основного сайта МСЭ-R, а также сотрудничать и обмениваться информацией с другими организациями системы ООН, занимающимися космической деятельностью.</w:t>
      </w:r>
    </w:p>
    <w:p w14:paraId="06130030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2.12</w:t>
      </w:r>
      <w:r w:rsidRPr="00B459DF">
        <w:rPr>
          <w:lang w:val="ru-RU"/>
        </w:rPr>
        <w:tab/>
        <w:t xml:space="preserve">Консультативный совет высокого уровня по эффективной многосторонности. Еще одно важное предложение, указанное в докладе "Наша общая повестка дня", касается </w:t>
      </w:r>
      <w:hyperlink r:id="rId43">
        <w:r w:rsidRPr="00B459DF">
          <w:rPr>
            <w:rStyle w:val="Hyperlink"/>
            <w:lang w:val="ru-RU"/>
          </w:rPr>
          <w:t>Консультативного совета высокого уровня Генерального секретаря Организации Объединенных Наций по эффективной многосторонности (HLAB)</w:t>
        </w:r>
      </w:hyperlink>
      <w:r w:rsidRPr="00B459DF">
        <w:rPr>
          <w:lang w:val="ru-RU"/>
        </w:rPr>
        <w:t>, по результатам работы которого МСЭ также активно проводит контрольные мероприятия. В апреле 2023 года HLAB опубликовал свой доклад "</w:t>
      </w:r>
      <w:hyperlink r:id="rId44">
        <w:r w:rsidRPr="00B459DF">
          <w:rPr>
            <w:rStyle w:val="Hyperlink"/>
            <w:lang w:val="ru-RU"/>
          </w:rPr>
          <w:t>Прорыв для людей и планеты: эффективное и инклюзивное глобальное управление в настоящем и будуще</w:t>
        </w:r>
      </w:hyperlink>
      <w:r w:rsidRPr="00DB2545">
        <w:rPr>
          <w:rStyle w:val="Hyperlink"/>
          <w:lang w:val="ru-RU"/>
        </w:rPr>
        <w:t>м</w:t>
      </w:r>
      <w:r w:rsidRPr="00B459DF">
        <w:rPr>
          <w:lang w:val="ru-RU"/>
        </w:rPr>
        <w:t xml:space="preserve">", в котором приведен план укрепления глобальной архитектуры мира, безопасности и финансов, обеспечения справедливого перехода с точки зрения климата и цифровизации, а также большего равенства и справедливости в рамках глобального процесса принятия решений. Примечательно, что в нем есть глава, посвященная управлению цифровыми технологиями и данными, в которой </w:t>
      </w:r>
      <w:r w:rsidRPr="00B459DF">
        <w:rPr>
          <w:lang w:val="ru-RU" w:bidi="ru-RU"/>
        </w:rPr>
        <w:t>содержится</w:t>
      </w:r>
      <w:r w:rsidRPr="00B459DF">
        <w:rPr>
          <w:lang w:val="ru-RU"/>
        </w:rPr>
        <w:t xml:space="preserve"> призыв к обеспечению справедливого цифрового перехода, позволяющего максимально повысить ценность данных и при этом защитить их от вреда, наносимого цифровыми технологиями.</w:t>
      </w:r>
    </w:p>
    <w:p w14:paraId="21FAE42B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2.13</w:t>
      </w:r>
      <w:r w:rsidRPr="00B459DF">
        <w:rPr>
          <w:lang w:val="ru-RU"/>
        </w:rPr>
        <w:tab/>
        <w:t xml:space="preserve">В преддверии Саммита будущего 2024 года МСЭ внимательно следит за подготовительным процессом, </w:t>
      </w:r>
      <w:r w:rsidRPr="00B459DF">
        <w:rPr>
          <w:lang w:val="ru-RU" w:bidi="ru-RU"/>
        </w:rPr>
        <w:t>осуществляемым</w:t>
      </w:r>
      <w:r w:rsidRPr="00B459DF">
        <w:rPr>
          <w:lang w:val="ru-RU"/>
        </w:rPr>
        <w:t xml:space="preserve"> под руководством сокоординаторов под эгидой 78-й сессии ГА ООН, и оказывает ему поддержку и содействие в соответствии со своим мандатом. Как специализированное учреждение системы ООН, базирующееся в Женеве, МСЭ также доводит информацию о своей деятельности и мандате до сведения дипломатического сообщества Женевы, в том числе посредством таких инициатив, как завтрак Генерального секретаря МСЭ с сокоординаторами из Швеции и Замбии, посвященный обсуждению ГЦД, или встреча ГИО ООН с сокоординаторами, а также направление приглашений сокоординаторам Саммита будущего и сокоординаторам ГЦД для участия в собраниях РГС-ВВУИО&amp;ЦУР и других мероприятиях. Так, например, в июле 2023 года на выездном совещании членов Совета МСЭ </w:t>
      </w:r>
      <w:r w:rsidRPr="00B459DF">
        <w:rPr>
          <w:lang w:val="ru-RU"/>
        </w:rPr>
        <w:lastRenderedPageBreak/>
        <w:t>выступил Гай Райдер, заместитель Генерального секретаря ООН по вопросам политики, возглавляющий работу по реализации "Нашей общей повестки дня".</w:t>
      </w:r>
    </w:p>
    <w:p w14:paraId="310FF7F9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2.14</w:t>
      </w:r>
      <w:r w:rsidRPr="00B459DF">
        <w:rPr>
          <w:lang w:val="ru-RU"/>
        </w:rPr>
        <w:tab/>
        <w:t xml:space="preserve">Форум высокого уровня ВВУИО в мае 2024 года и его итоги могут послужить вкладом в процесс подготовки Саммита будущего, а Форум высокого уровня ВВУИО 2025 года может обеспечить поддержку реализации цифровых аспектов Пакта во имя будущего после его принятия. МСЭ также изучает возможность проведения совместно с другими агентствами ООН сопутствующего мероприятия перед Саммитом будущего в сентябре 2024 года в качестве вклада в его проведение. На данном </w:t>
      </w:r>
      <w:r w:rsidRPr="00B459DF">
        <w:rPr>
          <w:lang w:val="ru-RU" w:bidi="ru-RU"/>
        </w:rPr>
        <w:t>этапе</w:t>
      </w:r>
      <w:r w:rsidRPr="00B459DF">
        <w:rPr>
          <w:lang w:val="ru-RU"/>
        </w:rPr>
        <w:t xml:space="preserve"> неизвестно, какие возможности для выступлений могут быть предоставлены агентствам ООН в ходе самого Саммита будущего.</w:t>
      </w:r>
    </w:p>
    <w:p w14:paraId="4CA8E7B1" w14:textId="77777777" w:rsidR="00C11FE3" w:rsidRPr="00B459DF" w:rsidRDefault="00C11FE3" w:rsidP="00B459DF">
      <w:pPr>
        <w:rPr>
          <w:lang w:val="ru-RU"/>
        </w:rPr>
      </w:pPr>
      <w:r w:rsidRPr="00B459DF">
        <w:rPr>
          <w:rFonts w:eastAsia="SimSun"/>
          <w:lang w:val="ru-RU"/>
        </w:rPr>
        <w:t>2.15</w:t>
      </w:r>
      <w:r w:rsidRPr="00B459DF">
        <w:rPr>
          <w:lang w:val="ru-RU"/>
        </w:rPr>
        <w:tab/>
        <w:t xml:space="preserve">По настоятельному предложению Государств-Членов, высказанному в ходе собраний Рабочей группы Совета по СФП и Рабочей группы Совета по ВВУИО и ЦУР, МСЭ работал и будет продолжать работать в </w:t>
      </w:r>
      <w:r w:rsidRPr="00B459DF">
        <w:rPr>
          <w:lang w:val="ru-RU" w:bidi="ru-RU"/>
        </w:rPr>
        <w:t>очень</w:t>
      </w:r>
      <w:r w:rsidRPr="00B459DF">
        <w:rPr>
          <w:lang w:val="ru-RU"/>
        </w:rPr>
        <w:t xml:space="preserve"> тесном сотрудничестве с Канцелярией Генерального секретаря (КГС), Канцелярией Посланника Генерального секретаря по вопросам технологий (OSET) и другими учреждениями системы ООН над ускорением цифрового сотрудничества и другими цифровыми вопросами, упомянутыми в докладе "Наша общая повестка дня", в целях оказания поддержки усилиям Государств-Членов в преддверии Саммита будущего в сентябре 2024 года.</w:t>
      </w:r>
    </w:p>
    <w:p w14:paraId="06CD6226" w14:textId="0A36AAE7" w:rsidR="00C11FE3" w:rsidRPr="00B459DF" w:rsidRDefault="00C11FE3" w:rsidP="00C11FE3">
      <w:pPr>
        <w:pStyle w:val="Heading1"/>
        <w:rPr>
          <w:lang w:val="ru-RU"/>
        </w:rPr>
      </w:pPr>
      <w:r w:rsidRPr="00B459DF">
        <w:rPr>
          <w:lang w:val="ru-RU"/>
        </w:rPr>
        <w:t>3</w:t>
      </w:r>
      <w:r w:rsidRPr="00B459DF">
        <w:rPr>
          <w:lang w:val="ru-RU"/>
        </w:rPr>
        <w:tab/>
      </w:r>
      <w:r w:rsidRPr="00B459DF">
        <w:rPr>
          <w:lang w:val="ru-RU"/>
        </w:rPr>
        <w:t>Конференции и процессы, связанные с ЛЛДС и СИДС</w:t>
      </w:r>
    </w:p>
    <w:p w14:paraId="103AEE0D" w14:textId="77777777" w:rsidR="00C11FE3" w:rsidRPr="00B459DF" w:rsidRDefault="00C11FE3" w:rsidP="00B459DF">
      <w:pPr>
        <w:rPr>
          <w:lang w:val="ru-RU"/>
        </w:rPr>
      </w:pPr>
      <w:r w:rsidRPr="00B459DF">
        <w:rPr>
          <w:rFonts w:eastAsia="SimSun"/>
          <w:lang w:val="ru-RU"/>
        </w:rPr>
        <w:t>3.1</w:t>
      </w:r>
      <w:r w:rsidRPr="00B459DF">
        <w:rPr>
          <w:lang w:val="ru-RU"/>
        </w:rPr>
        <w:tab/>
      </w:r>
      <w:hyperlink r:id="rId45">
        <w:r w:rsidRPr="00B459DF">
          <w:rPr>
            <w:rStyle w:val="Hyperlink"/>
            <w:rFonts w:eastAsia="SimSun"/>
            <w:lang w:val="ru-RU"/>
          </w:rPr>
          <w:t>Четвертая международная конференция по малым островным развивающимся государствам (СИДС)</w:t>
        </w:r>
      </w:hyperlink>
      <w:r w:rsidRPr="00B459DF">
        <w:rPr>
          <w:lang w:val="ru-RU"/>
        </w:rPr>
        <w:t xml:space="preserve"> на тему "Наметить курс к устойчивому процветанию" запланирована к проведению на Антигуа и Барбуде с 27 по 30 мая 2024 года. После завершения реализации десятилетнего плана действий в рамках программы "Путь Самоа" на этой конференции по итогам обсуждения между </w:t>
      </w:r>
      <w:r w:rsidRPr="00B459DF">
        <w:rPr>
          <w:lang w:val="ru-RU" w:bidi="ru-RU"/>
        </w:rPr>
        <w:t>Государствами</w:t>
      </w:r>
      <w:r w:rsidRPr="00B459DF">
        <w:rPr>
          <w:lang w:val="ru-RU"/>
        </w:rPr>
        <w:t>-Членами будет принята следующая десятилетняя программа действий для СИДС. МСЭ планирует принять участие в конференции, чтобы универсальные и реальные возможности установления соединений и устойчивая цифровая трансформация продолжали поддерживать социально-экономическое развитие СИДС.</w:t>
      </w:r>
    </w:p>
    <w:p w14:paraId="3FCB1C93" w14:textId="3C7F936F" w:rsidR="00C11FE3" w:rsidRPr="00B459DF" w:rsidRDefault="00C11FE3" w:rsidP="00B459DF">
      <w:pPr>
        <w:rPr>
          <w:rFonts w:eastAsia="SimSun"/>
          <w:lang w:val="ru-RU"/>
        </w:rPr>
      </w:pPr>
      <w:r w:rsidRPr="00B459DF">
        <w:rPr>
          <w:rFonts w:eastAsia="SimSun"/>
          <w:lang w:val="ru-RU"/>
        </w:rPr>
        <w:t>3.2</w:t>
      </w:r>
      <w:r w:rsidRPr="00B459DF">
        <w:rPr>
          <w:rFonts w:eastAsia="SimSun"/>
          <w:lang w:val="ru-RU"/>
        </w:rPr>
        <w:tab/>
      </w:r>
      <w:hyperlink r:id="rId46">
        <w:r w:rsidRPr="00B459DF">
          <w:rPr>
            <w:rStyle w:val="Hyperlink"/>
            <w:rFonts w:eastAsia="SimSun"/>
            <w:lang w:val="ru-RU"/>
          </w:rPr>
          <w:t>Третья Международная конференция по странам, не имеющим выхода к морю</w:t>
        </w:r>
      </w:hyperlink>
      <w:r w:rsidRPr="00B459DF">
        <w:rPr>
          <w:rFonts w:eastAsia="SimSun"/>
          <w:lang w:val="ru-RU"/>
        </w:rPr>
        <w:t>, на тему "Достижение прогресса через партнерство" первоначально была запланирована на 18</w:t>
      </w:r>
      <w:r w:rsidR="005C1CA2">
        <w:rPr>
          <w:rFonts w:eastAsia="SimSun" w:cs="Calibri"/>
          <w:lang w:val="ru-RU"/>
        </w:rPr>
        <w:t>−</w:t>
      </w:r>
      <w:r w:rsidRPr="00B459DF">
        <w:rPr>
          <w:rFonts w:eastAsia="SimSun"/>
          <w:lang w:val="ru-RU"/>
        </w:rPr>
        <w:t>22 июня 2024 года в Кигали, Руанда. Однако теперь она отложена, и новые даты будут обнародованы по мере поступления информации.</w:t>
      </w:r>
    </w:p>
    <w:p w14:paraId="6E14018D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3.3</w:t>
      </w:r>
      <w:r w:rsidRPr="00B459DF">
        <w:rPr>
          <w:lang w:val="ru-RU"/>
        </w:rPr>
        <w:tab/>
        <w:t xml:space="preserve">Вклад МСЭ в </w:t>
      </w:r>
      <w:r w:rsidRPr="00B459DF">
        <w:rPr>
          <w:lang w:val="ru-RU" w:bidi="ru-RU"/>
        </w:rPr>
        <w:t>СИДС</w:t>
      </w:r>
      <w:r w:rsidRPr="00B459DF">
        <w:rPr>
          <w:lang w:val="ru-RU"/>
        </w:rPr>
        <w:t> 4 включает:</w:t>
      </w:r>
    </w:p>
    <w:p w14:paraId="108C6960" w14:textId="469D31DE" w:rsidR="00C11FE3" w:rsidRPr="00B459DF" w:rsidRDefault="00C11FE3" w:rsidP="00C11FE3">
      <w:pPr>
        <w:pStyle w:val="enumlev1"/>
        <w:rPr>
          <w:rFonts w:eastAsia="Calibri"/>
          <w:u w:val="single"/>
          <w:lang w:val="ru-RU"/>
        </w:rPr>
      </w:pPr>
      <w:r w:rsidRPr="00B459DF">
        <w:rPr>
          <w:rFonts w:eastAsia="Calibri"/>
          <w:lang w:val="ru-RU"/>
        </w:rPr>
        <w:t>•</w:t>
      </w:r>
      <w:r w:rsidRPr="00B459DF">
        <w:rPr>
          <w:rFonts w:eastAsia="Calibri"/>
          <w:lang w:val="ru-RU"/>
        </w:rPr>
        <w:tab/>
      </w:r>
      <w:r w:rsidRPr="00B459DF">
        <w:rPr>
          <w:rFonts w:eastAsia="Calibri"/>
          <w:lang w:val="ru-RU"/>
        </w:rPr>
        <w:t xml:space="preserve">Два специальных выпуска флагманского отчета "Измерение цифрового развития: факты и цифры", содержащие подробный анализ возможностей установления и регулирования цифровых соединений в СИДС и ЛЛДС. Отчеты были выпущены в марте и апреле 2024 года соответственно, ознакомиться с ними можно </w:t>
      </w:r>
      <w:hyperlink r:id="rId47" w:history="1">
        <w:r w:rsidRPr="00B459DF">
          <w:rPr>
            <w:rStyle w:val="Hyperlink"/>
            <w:rFonts w:eastAsia="Calibri" w:cs="Calibri"/>
            <w:szCs w:val="24"/>
            <w:lang w:val="ru-RU"/>
          </w:rPr>
          <w:t>здесь</w:t>
        </w:r>
      </w:hyperlink>
      <w:r w:rsidRPr="00B459DF">
        <w:rPr>
          <w:lang w:val="ru-RU"/>
        </w:rPr>
        <w:t xml:space="preserve">. </w:t>
      </w:r>
    </w:p>
    <w:p w14:paraId="75B331C2" w14:textId="01BCDE8E" w:rsidR="00C11FE3" w:rsidRPr="00B459DF" w:rsidRDefault="00C11FE3" w:rsidP="00C11FE3">
      <w:pPr>
        <w:pStyle w:val="enumlev1"/>
        <w:rPr>
          <w:rFonts w:eastAsia="Calibri" w:cs="Calibri"/>
          <w:color w:val="000000" w:themeColor="text1"/>
          <w:szCs w:val="24"/>
          <w:lang w:val="ru-RU"/>
        </w:rPr>
      </w:pPr>
      <w:r w:rsidRPr="00B459DF">
        <w:rPr>
          <w:rFonts w:eastAsia="Calibri"/>
          <w:lang w:val="ru-RU"/>
        </w:rPr>
        <w:t>•</w:t>
      </w:r>
      <w:r w:rsidRPr="00B459DF">
        <w:rPr>
          <w:rFonts w:eastAsia="Calibri"/>
          <w:lang w:val="ru-RU"/>
        </w:rPr>
        <w:tab/>
      </w:r>
      <w:r w:rsidRPr="00B459DF">
        <w:rPr>
          <w:rFonts w:eastAsia="Calibri" w:cs="Calibri"/>
          <w:color w:val="000000" w:themeColor="text1"/>
          <w:szCs w:val="24"/>
          <w:lang w:val="ru-RU"/>
        </w:rPr>
        <w:t>Участие в официальной программе, в частности в Интерактивном диалоге высокого уровня 4: Использование данных и цифровых технологий и создание эффективных институтов в целях обеспечения устойчивого будущего для малых островных развивающихся государств.</w:t>
      </w:r>
    </w:p>
    <w:p w14:paraId="7688CDEB" w14:textId="6BC8644D" w:rsidR="00C11FE3" w:rsidRPr="00B459DF" w:rsidRDefault="00C11FE3" w:rsidP="00C11FE3">
      <w:pPr>
        <w:pStyle w:val="enumlev1"/>
        <w:rPr>
          <w:rFonts w:eastAsia="Calibri" w:cs="Calibri"/>
          <w:color w:val="000000" w:themeColor="text1"/>
          <w:szCs w:val="24"/>
          <w:lang w:val="ru-RU"/>
        </w:rPr>
      </w:pPr>
      <w:r w:rsidRPr="00B459DF">
        <w:rPr>
          <w:rFonts w:eastAsia="Calibri"/>
          <w:lang w:val="ru-RU"/>
        </w:rPr>
        <w:t>•</w:t>
      </w:r>
      <w:r w:rsidRPr="00B459DF">
        <w:rPr>
          <w:rFonts w:eastAsia="Calibri"/>
          <w:lang w:val="ru-RU"/>
        </w:rPr>
        <w:tab/>
      </w:r>
      <w:r w:rsidRPr="00B459DF">
        <w:rPr>
          <w:rFonts w:eastAsia="Calibri" w:cs="Calibri"/>
          <w:color w:val="000000" w:themeColor="text1"/>
          <w:szCs w:val="24"/>
          <w:lang w:val="ru-RU"/>
        </w:rPr>
        <w:t xml:space="preserve">В рамках </w:t>
      </w:r>
      <w:r w:rsidRPr="00B459DF">
        <w:rPr>
          <w:rFonts w:eastAsia="Calibri"/>
          <w:lang w:val="ru-RU"/>
        </w:rPr>
        <w:t>конференции</w:t>
      </w:r>
      <w:r w:rsidRPr="00B459DF">
        <w:rPr>
          <w:rFonts w:eastAsia="Calibri" w:cs="Calibri"/>
          <w:color w:val="000000" w:themeColor="text1"/>
          <w:szCs w:val="24"/>
          <w:lang w:val="ru-RU"/>
        </w:rPr>
        <w:t xml:space="preserve"> пройдет ряд сопутствующих мероприятий, в том числе по вопросам обеспечения универсальной и реальной возможности установления соединений, цифровой трансформации и раннего предупреждения для всех. С более подробной информацией можно ознакомиться на </w:t>
      </w:r>
      <w:hyperlink r:id="rId48" w:history="1">
        <w:r w:rsidRPr="00B459DF">
          <w:rPr>
            <w:rStyle w:val="Hyperlink"/>
            <w:rFonts w:eastAsia="Calibri" w:cs="Calibri"/>
            <w:szCs w:val="24"/>
            <w:lang w:val="ru-RU"/>
          </w:rPr>
          <w:t>специальном веб-сайте МСЭ</w:t>
        </w:r>
      </w:hyperlink>
      <w:r w:rsidRPr="00B459DF">
        <w:rPr>
          <w:rFonts w:eastAsia="Calibri" w:cs="Calibri"/>
          <w:color w:val="000000" w:themeColor="text1"/>
          <w:szCs w:val="24"/>
          <w:lang w:val="ru-RU"/>
        </w:rPr>
        <w:t>.</w:t>
      </w:r>
    </w:p>
    <w:p w14:paraId="7950A6AE" w14:textId="22D76117" w:rsidR="00C11FE3" w:rsidRPr="00B459DF" w:rsidRDefault="00C11FE3" w:rsidP="00C11FE3">
      <w:pPr>
        <w:pStyle w:val="enumlev1"/>
        <w:rPr>
          <w:rFonts w:eastAsia="Calibri" w:cs="Calibri"/>
          <w:color w:val="000000" w:themeColor="text1"/>
          <w:szCs w:val="24"/>
          <w:lang w:val="ru-RU"/>
        </w:rPr>
      </w:pPr>
      <w:r w:rsidRPr="00B459DF">
        <w:rPr>
          <w:rFonts w:eastAsia="Calibri"/>
          <w:lang w:val="ru-RU"/>
        </w:rPr>
        <w:t>•</w:t>
      </w:r>
      <w:r w:rsidRPr="00B459DF">
        <w:rPr>
          <w:rFonts w:eastAsia="Calibri"/>
          <w:lang w:val="ru-RU"/>
        </w:rPr>
        <w:tab/>
      </w:r>
      <w:hyperlink r:id="rId49" w:history="1">
        <w:r w:rsidRPr="00B459DF">
          <w:rPr>
            <w:rStyle w:val="Hyperlink"/>
            <w:rFonts w:eastAsia="Calibri" w:cs="Calibri"/>
            <w:szCs w:val="24"/>
            <w:lang w:val="ru-RU"/>
          </w:rPr>
          <w:t>Встреча членов коалиции "Партнерства для подключения" во время собрания Подготовительной комиссии 2 в Нью-Йорке</w:t>
        </w:r>
      </w:hyperlink>
      <w:r w:rsidRPr="00B459DF">
        <w:rPr>
          <w:rFonts w:eastAsia="Calibri" w:cs="Calibri"/>
          <w:szCs w:val="24"/>
          <w:lang w:val="ru-RU"/>
        </w:rPr>
        <w:t xml:space="preserve"> 2 апреля. В ходе конференции МСЭ также расскажет об обязательствах, взятых через </w:t>
      </w:r>
      <w:hyperlink r:id="rId50" w:history="1">
        <w:r w:rsidRPr="00B459DF">
          <w:rPr>
            <w:rStyle w:val="Hyperlink"/>
            <w:rFonts w:eastAsia="Calibri" w:cs="Calibri"/>
            <w:szCs w:val="24"/>
            <w:lang w:val="ru-RU"/>
          </w:rPr>
          <w:t>"Партнерства для подключения"</w:t>
        </w:r>
      </w:hyperlink>
      <w:r w:rsidRPr="00B459DF">
        <w:rPr>
          <w:rFonts w:eastAsia="Calibri" w:cs="Calibri"/>
          <w:szCs w:val="24"/>
          <w:lang w:val="ru-RU"/>
        </w:rPr>
        <w:t>, которые будут реализованы в СИДС.</w:t>
      </w:r>
    </w:p>
    <w:p w14:paraId="26175A39" w14:textId="4F455CE8" w:rsidR="00C11FE3" w:rsidRPr="00B459DF" w:rsidRDefault="00C11FE3" w:rsidP="00C11FE3">
      <w:pPr>
        <w:pStyle w:val="Heading1"/>
        <w:rPr>
          <w:lang w:val="ru-RU"/>
        </w:rPr>
      </w:pPr>
      <w:r w:rsidRPr="00B459DF">
        <w:rPr>
          <w:lang w:val="ru-RU"/>
        </w:rPr>
        <w:lastRenderedPageBreak/>
        <w:t>4</w:t>
      </w:r>
      <w:r w:rsidRPr="00B459DF">
        <w:rPr>
          <w:lang w:val="ru-RU"/>
        </w:rPr>
        <w:tab/>
      </w:r>
      <w:r w:rsidRPr="00B459DF">
        <w:rPr>
          <w:lang w:val="ru-RU"/>
        </w:rPr>
        <w:t>Комиссия по положению женщин (КПЖ)</w:t>
      </w:r>
    </w:p>
    <w:p w14:paraId="68ECFDAB" w14:textId="77777777" w:rsidR="00C11FE3" w:rsidRPr="00B459DF" w:rsidRDefault="00C11FE3" w:rsidP="00C11FE3">
      <w:pPr>
        <w:rPr>
          <w:highlight w:val="yellow"/>
          <w:lang w:val="ru-RU"/>
        </w:rPr>
      </w:pPr>
      <w:r w:rsidRPr="00B459DF">
        <w:rPr>
          <w:lang w:val="ru-RU"/>
        </w:rPr>
        <w:t xml:space="preserve">С 11 по 24 марта 2024 года в Нью-Йорке прошла </w:t>
      </w:r>
      <w:hyperlink r:id="rId51" w:history="1">
        <w:r w:rsidRPr="00B459DF">
          <w:rPr>
            <w:rStyle w:val="Hyperlink"/>
            <w:rFonts w:asciiTheme="minorHAnsi" w:hAnsiTheme="minorHAnsi" w:cstheme="minorHAnsi"/>
            <w:szCs w:val="24"/>
            <w:lang w:val="ru-RU"/>
          </w:rPr>
          <w:t>68-я сессия Комиссии по положению женщин (КПЖ-68)</w:t>
        </w:r>
      </w:hyperlink>
      <w:r w:rsidRPr="00B459DF">
        <w:rPr>
          <w:lang w:val="ru-RU"/>
        </w:rPr>
        <w:t xml:space="preserve">, посвященная вопросам финансового обеспечения и борьбы с бедностью с учетом гендерных аспектов. После КПЖ-67 в 2023 году, в ходе которой впервые обсуждались вопросы инноваций, </w:t>
      </w:r>
      <w:r w:rsidRPr="00B459DF">
        <w:rPr>
          <w:lang w:val="ru-RU" w:bidi="ru-RU"/>
        </w:rPr>
        <w:t>технологический</w:t>
      </w:r>
      <w:r w:rsidRPr="00B459DF">
        <w:rPr>
          <w:lang w:val="ru-RU"/>
        </w:rPr>
        <w:t xml:space="preserve"> изменений и образования в цифровую эпоху, интерес к решению проблем, связанных с цифровыми технологиями, возрос. Итоговый документ КПЖ-68 включает 27 ссылок на цифровые темы, охватывая такие области, как цифровой разрыв, цифровые навыки и образование, цифровая экономика и охват цифровыми финансовыми услугами. МСЭ активно участвует в работе комиссии по преодолению цифрового разрыва и расширению доступа к цифровым технологиям. В этом году в рамках инициативы "РАВНЫЕ" МСЭ в сотрудничестве с партнерами приступил к внедрению программы обучения цифровым навыкам, основанной на гендерных преобразованиях – передовой образовательной модели, направленной на обучение цифровым навыкам всех заинтересованных сторон.</w:t>
      </w:r>
    </w:p>
    <w:p w14:paraId="66CC7577" w14:textId="6790285E" w:rsidR="00C11FE3" w:rsidRPr="00B459DF" w:rsidRDefault="00C11FE3" w:rsidP="00C11FE3">
      <w:pPr>
        <w:pStyle w:val="Heading1"/>
        <w:rPr>
          <w:lang w:val="ru-RU"/>
        </w:rPr>
      </w:pPr>
      <w:r w:rsidRPr="00B459DF">
        <w:rPr>
          <w:lang w:val="ru-RU"/>
        </w:rPr>
        <w:t>5</w:t>
      </w:r>
      <w:r w:rsidRPr="00B459DF">
        <w:rPr>
          <w:lang w:val="ru-RU"/>
        </w:rPr>
        <w:tab/>
      </w:r>
      <w:r w:rsidRPr="00B459DF">
        <w:rPr>
          <w:lang w:val="ru-RU"/>
        </w:rPr>
        <w:t xml:space="preserve">Зеленая цифровая кампания </w:t>
      </w:r>
    </w:p>
    <w:p w14:paraId="4CC34918" w14:textId="77777777" w:rsidR="00C11FE3" w:rsidRPr="00B459DF" w:rsidRDefault="00C11FE3" w:rsidP="00B459DF">
      <w:pPr>
        <w:rPr>
          <w:rFonts w:eastAsia="SimSun"/>
          <w:lang w:val="ru-RU"/>
        </w:rPr>
      </w:pPr>
      <w:r w:rsidRPr="00B459DF">
        <w:rPr>
          <w:rFonts w:eastAsia="SimSun"/>
          <w:lang w:val="ru-RU"/>
        </w:rPr>
        <w:t>МСЭ совместно с более чем 40 партнерами из системы ООН, правительствами, деловыми кругами и гражданским обществом организовал сегмент "Зеленая цифровая кампания" в ходе 28-й сессии Конференции сторон (КС-28) Рамочной конвенции ООН об изменении климата (РКИК ООН), которая проходила в Дубае с 30 ноября по 12 декабря 2023 года. "Зеленая цифровая кампания" – это инициатива, объединяющая сообщество ИКТ для мобилизации и принятия новых обязательств и решительных мер по ускорению двойного "зеленого" и цифрового перехода со стороны правительств, деловых кругов, гражданского общества и других организаций, а также для расширения возможностей по налаживанию партнерских отношений и более активной координации ресурсов в сотрудничестве с основными существующими механизмами, такими как Коалиция за цифровую экологическую устойчивость, инициатива Организации Объединенных Наций "Раннее предупреждение для всех" и цифровая коалиция "Партнерства для подключения". МСЭ продолжает взаимодействовать с РКИК ООН и странами, принимающими КС, с целью продвижения цифровых технологий в качестве одной из ключевых тем климатической повестки дня.</w:t>
      </w:r>
    </w:p>
    <w:p w14:paraId="7AD80903" w14:textId="571FA65A" w:rsidR="00C11FE3" w:rsidRPr="00B459DF" w:rsidRDefault="00C11FE3" w:rsidP="00C11FE3">
      <w:pPr>
        <w:pStyle w:val="Heading1"/>
        <w:rPr>
          <w:lang w:val="ru-RU"/>
        </w:rPr>
      </w:pPr>
      <w:r w:rsidRPr="00B459DF">
        <w:rPr>
          <w:lang w:val="ru-RU"/>
        </w:rPr>
        <w:t>6</w:t>
      </w:r>
      <w:r w:rsidRPr="00B459DF">
        <w:rPr>
          <w:lang w:val="ru-RU"/>
        </w:rPr>
        <w:tab/>
      </w:r>
      <w:r w:rsidRPr="00B459DF">
        <w:rPr>
          <w:lang w:val="ru-RU"/>
        </w:rPr>
        <w:t>Совместный фонд ЦУР</w:t>
      </w:r>
    </w:p>
    <w:p w14:paraId="4CDEBC7D" w14:textId="1CC2D720" w:rsidR="00C11FE3" w:rsidRPr="00B459DF" w:rsidRDefault="00C11FE3" w:rsidP="00B459DF">
      <w:pPr>
        <w:rPr>
          <w:rFonts w:eastAsia="SimSun"/>
          <w:lang w:val="ru-RU"/>
        </w:rPr>
      </w:pPr>
      <w:r w:rsidRPr="00B459DF">
        <w:rPr>
          <w:rFonts w:eastAsia="SimSun"/>
          <w:lang w:val="ru-RU"/>
        </w:rPr>
        <w:t>Совместный фонд ЦУР – это межучрежденческий объединенный механизм для комплексной поддержки политики и стратегического финансирования. МСЭ совместно с ПРООН выступает в качестве координатора группы технической поддержки "Окна цифровой трансформации". В</w:t>
      </w:r>
      <w:r w:rsidRPr="00B459DF">
        <w:rPr>
          <w:rFonts w:eastAsia="SimSun"/>
          <w:lang w:val="ru-RU"/>
        </w:rPr>
        <w:t> </w:t>
      </w:r>
      <w:r w:rsidRPr="00B459DF">
        <w:rPr>
          <w:rFonts w:eastAsia="SimSun"/>
          <w:lang w:val="ru-RU"/>
        </w:rPr>
        <w:t xml:space="preserve">рамках данной деятельности было оказано содействие процессу предоставления 23 грантов в первом раунде финансирования на общую сумму 30 млн евро. Заместитель Генерального секретаря также входит в состав Оперативного руководящего комитета Совместного фонда ЦУР. Участие МСЭ в работе </w:t>
      </w:r>
      <w:r w:rsidRPr="00B459DF">
        <w:rPr>
          <w:rFonts w:eastAsia="SimSun"/>
          <w:lang w:val="ru-RU" w:bidi="ru-RU"/>
        </w:rPr>
        <w:t>Фонда</w:t>
      </w:r>
      <w:r w:rsidRPr="00B459DF">
        <w:rPr>
          <w:rFonts w:eastAsia="SimSun"/>
          <w:lang w:val="ru-RU"/>
        </w:rPr>
        <w:t xml:space="preserve"> позволяет Союзу вносить свой вклад в использование возможностей установления цифровых соединений и устойчивых цифровых преобразований в целях обеспечения устойчивого развития в рамках более широкой системы ООН.</w:t>
      </w:r>
    </w:p>
    <w:p w14:paraId="17F1DFC1" w14:textId="0FF61A78" w:rsidR="00C11FE3" w:rsidRPr="00B459DF" w:rsidRDefault="00C11FE3" w:rsidP="00C11FE3">
      <w:pPr>
        <w:pStyle w:val="Heading1"/>
        <w:rPr>
          <w:lang w:val="ru-RU"/>
        </w:rPr>
      </w:pPr>
      <w:r w:rsidRPr="00B459DF">
        <w:rPr>
          <w:lang w:val="ru-RU"/>
        </w:rPr>
        <w:t>7</w:t>
      </w:r>
      <w:r w:rsidRPr="00B459DF">
        <w:rPr>
          <w:lang w:val="ru-RU"/>
        </w:rPr>
        <w:tab/>
      </w:r>
      <w:r w:rsidRPr="00B459DF">
        <w:rPr>
          <w:lang w:val="ru-RU"/>
        </w:rPr>
        <w:t>Инициатива с высокой степенью воздействия по созданию "цифровой общественной инфраструктуры"</w:t>
      </w:r>
    </w:p>
    <w:p w14:paraId="3521A882" w14:textId="77777777" w:rsidR="00C11FE3" w:rsidRPr="00B459DF" w:rsidRDefault="00C11FE3" w:rsidP="00B459DF">
      <w:pPr>
        <w:rPr>
          <w:rFonts w:eastAsia="SimSun"/>
          <w:lang w:val="ru-RU"/>
        </w:rPr>
      </w:pPr>
      <w:r w:rsidRPr="00B459DF">
        <w:rPr>
          <w:rFonts w:eastAsia="SimSun"/>
          <w:lang w:val="ru-RU"/>
        </w:rPr>
        <w:t xml:space="preserve">В рамках "Дня ускорения достижения ЦУР" в сентябре 2023 года МСЭ и ПРООН совместно возглавили </w:t>
      </w:r>
      <w:r w:rsidRPr="00B459DF">
        <w:rPr>
          <w:rFonts w:eastAsia="SimSun"/>
          <w:lang w:val="ru-RU" w:bidi="ru-RU"/>
        </w:rPr>
        <w:t>Инициативу</w:t>
      </w:r>
      <w:r w:rsidRPr="00B459DF">
        <w:rPr>
          <w:rFonts w:eastAsia="SimSun"/>
          <w:lang w:val="ru-RU"/>
        </w:rPr>
        <w:t xml:space="preserve"> с высокой степенью воздействия по созданию "цифровой общественной инфраструктуры" (DPI). Главная цель инициативы – расширить охват и открытость цифровых экосистем для достижения ЦУР. К 2030 году реализация Инициативы с </w:t>
      </w:r>
      <w:r w:rsidRPr="00B459DF">
        <w:rPr>
          <w:rFonts w:eastAsia="SimSun"/>
          <w:lang w:val="ru-RU"/>
        </w:rPr>
        <w:lastRenderedPageBreak/>
        <w:t>высокой степенью воздействия по созданию DPI, благодаря работе с лидерами и использованию масштабируемых моделей, должна позволить добиться необходимого уровня коллективного взаимодействия, чтобы обеспечить целевую поддержку для внедрения и укрепления "цифровой общественной инфраструктуры" в 100 странах и гарантировать ее безопасность, доступность, приемлемость по цене, экологичность, финансирование и готовность к будущему. Основными направлениями инициативы являются: универсальные гарантии; инновации для обеспечения инклюзивности на "последней миле"; доступность и открытость; устойчивость и экологичность; финансирование DPI в целях устойчивого развития. В 2024 году совместно с ПРООН и другими ключевыми организациями, работающими в сфере DPI, планируется провести Глобальный саммит по вопросу создания "цифровой общественной инфраструктуры".</w:t>
      </w:r>
    </w:p>
    <w:p w14:paraId="674A624F" w14:textId="16AE032F" w:rsidR="00C11FE3" w:rsidRPr="00B459DF" w:rsidRDefault="00C11FE3" w:rsidP="00C11FE3">
      <w:pPr>
        <w:pStyle w:val="Heading1"/>
        <w:rPr>
          <w:lang w:val="ru-RU"/>
        </w:rPr>
      </w:pPr>
      <w:r w:rsidRPr="00B459DF">
        <w:rPr>
          <w:lang w:val="ru-RU"/>
        </w:rPr>
        <w:t>8</w:t>
      </w:r>
      <w:r w:rsidRPr="00B459DF">
        <w:rPr>
          <w:lang w:val="ru-RU"/>
        </w:rPr>
        <w:tab/>
      </w:r>
      <w:r w:rsidRPr="00B459DF">
        <w:rPr>
          <w:lang w:val="ru-RU"/>
        </w:rPr>
        <w:t>"Цифровые технологии для ЦУР" 2024 года</w:t>
      </w:r>
    </w:p>
    <w:p w14:paraId="2BAA5DCC" w14:textId="77777777" w:rsidR="00C11FE3" w:rsidRPr="00B459DF" w:rsidRDefault="00C11FE3" w:rsidP="00B459DF">
      <w:pPr>
        <w:rPr>
          <w:rFonts w:eastAsia="SimSun"/>
          <w:lang w:val="ru-RU"/>
        </w:rPr>
      </w:pPr>
      <w:r w:rsidRPr="00B459DF">
        <w:rPr>
          <w:rFonts w:eastAsia="SimSun"/>
          <w:lang w:val="ru-RU"/>
        </w:rPr>
        <w:t xml:space="preserve">В прошлом году по случаю Саммита ООН по ЦУР и Генеральной Ассамблеи ООН МСЭ, ПРООН и другие партнеры внесли свой вклад в историю, приняв стратегически важное решение о выдвижении цифровых технологий на передний план дискуссий по вопросам устойчивого развития в рамках мероприятия "Цифровые технологии для ЦУР", где было наглядно продемонстрировано, как цифровые достижения могут способствовать прогрессу в достижении 70 процентов из 169 целей ЦУР. Мероприятие "Цифровые технологии для ЦУР" вновь состоится в 2024 году и будет </w:t>
      </w:r>
      <w:r w:rsidRPr="00B459DF">
        <w:rPr>
          <w:rFonts w:eastAsia="SimSun"/>
          <w:lang w:val="ru-RU" w:bidi="ru-RU"/>
        </w:rPr>
        <w:t>приурочено</w:t>
      </w:r>
      <w:r w:rsidRPr="00B459DF">
        <w:rPr>
          <w:rFonts w:eastAsia="SimSun"/>
          <w:lang w:val="ru-RU"/>
        </w:rPr>
        <w:t xml:space="preserve"> к проведению сессии Генеральной Ассамблеи ООН и Саммита будущего, чтобы продемонстрировать всему миру преобразующий потенциал цифровых технологий в создании лучшего и более инклюзивного будущего для всех.</w:t>
      </w:r>
    </w:p>
    <w:p w14:paraId="41DD2091" w14:textId="5D61E6AB" w:rsidR="00C11FE3" w:rsidRPr="00B459DF" w:rsidRDefault="00C11FE3" w:rsidP="00C11FE3">
      <w:pPr>
        <w:pStyle w:val="Heading1"/>
        <w:rPr>
          <w:lang w:val="ru-RU"/>
        </w:rPr>
      </w:pPr>
      <w:r w:rsidRPr="00B459DF">
        <w:rPr>
          <w:lang w:val="ru-RU"/>
        </w:rPr>
        <w:t>9</w:t>
      </w:r>
      <w:r w:rsidRPr="00B459DF">
        <w:rPr>
          <w:lang w:val="ru-RU"/>
        </w:rPr>
        <w:tab/>
      </w:r>
      <w:r w:rsidRPr="00B459DF">
        <w:rPr>
          <w:lang w:val="ru-RU"/>
        </w:rPr>
        <w:t>Группа семи и Группа двадцати</w:t>
      </w:r>
    </w:p>
    <w:p w14:paraId="5B374320" w14:textId="77777777" w:rsidR="00C11FE3" w:rsidRPr="00B459DF" w:rsidRDefault="00C11FE3" w:rsidP="00B459DF">
      <w:pPr>
        <w:rPr>
          <w:rFonts w:eastAsia="SimSun"/>
          <w:lang w:val="ru-RU"/>
        </w:rPr>
      </w:pPr>
      <w:r w:rsidRPr="00B459DF">
        <w:rPr>
          <w:rFonts w:eastAsia="SimSun"/>
          <w:lang w:val="ru-RU"/>
        </w:rPr>
        <w:t>9.1</w:t>
      </w:r>
      <w:r w:rsidRPr="00B459DF">
        <w:rPr>
          <w:lang w:val="ru-RU"/>
        </w:rPr>
        <w:tab/>
      </w:r>
      <w:r w:rsidRPr="00B459DF">
        <w:rPr>
          <w:rFonts w:eastAsia="SimSun"/>
          <w:lang w:val="ru-RU"/>
        </w:rPr>
        <w:t>МСЭ участвует в заседаниях Группы семи и Группы двадцати на министерском и техническом уровнях (Рабочая группа).</w:t>
      </w:r>
    </w:p>
    <w:p w14:paraId="72170467" w14:textId="77777777" w:rsidR="00C11FE3" w:rsidRPr="00B459DF" w:rsidRDefault="00C11FE3" w:rsidP="00B459DF">
      <w:pPr>
        <w:rPr>
          <w:lang w:val="ru-RU"/>
        </w:rPr>
      </w:pPr>
      <w:r w:rsidRPr="00B459DF">
        <w:rPr>
          <w:rFonts w:eastAsia="SimSun"/>
          <w:lang w:val="ru-RU"/>
        </w:rPr>
        <w:t>9.2</w:t>
      </w:r>
      <w:r w:rsidRPr="00B459DF">
        <w:rPr>
          <w:lang w:val="ru-RU"/>
        </w:rPr>
        <w:tab/>
        <w:t xml:space="preserve">Генеральный </w:t>
      </w:r>
      <w:r w:rsidRPr="00B459DF">
        <w:rPr>
          <w:lang w:val="ru-RU" w:bidi="ru-RU"/>
        </w:rPr>
        <w:t>секретарь</w:t>
      </w:r>
      <w:r w:rsidRPr="00B459DF">
        <w:rPr>
          <w:lang w:val="ru-RU"/>
        </w:rPr>
        <w:t xml:space="preserve"> МСЭ принял участие во встрече министров цифрового и технологического секторов стран Группы семи в Вероне в марте 2024 года. Работа МСЭ была отмечена в Декларации министров. В Декларации также говорится о продолжении сотрудничества с МСЭ в целях создания безопасной и устойчивой цифровой инфраструктуры в развивающихся странах.</w:t>
      </w:r>
    </w:p>
    <w:p w14:paraId="57BD8DD0" w14:textId="77777777" w:rsidR="00C11FE3" w:rsidRPr="00B459DF" w:rsidRDefault="00C11FE3" w:rsidP="00B459DF">
      <w:pPr>
        <w:rPr>
          <w:lang w:val="ru-RU"/>
        </w:rPr>
      </w:pPr>
      <w:r w:rsidRPr="00B459DF">
        <w:rPr>
          <w:rFonts w:eastAsia="SimSun"/>
          <w:lang w:val="ru-RU"/>
        </w:rPr>
        <w:t>9.3</w:t>
      </w:r>
      <w:r w:rsidRPr="00B459DF">
        <w:rPr>
          <w:lang w:val="ru-RU"/>
        </w:rPr>
        <w:tab/>
        <w:t xml:space="preserve">МСЭ был приглашен на встречу Группы двадцати бразильским председателем в качестве информационно-аналитического партнера Рабочей группы по цифровой экономике (DEWG). </w:t>
      </w:r>
      <w:r w:rsidRPr="00B459DF">
        <w:rPr>
          <w:rFonts w:eastAsia="SimSun"/>
          <w:lang w:val="ru-RU"/>
        </w:rPr>
        <w:t>Будучи</w:t>
      </w:r>
      <w:r w:rsidRPr="00B459DF">
        <w:rPr>
          <w:lang w:val="ru-RU"/>
        </w:rPr>
        <w:t xml:space="preserve"> информационно-аналитическим партнером DEWG, МСЭ играет ведущую роль в усилиях председательства в области обеспечения цифровой инклюзивности/универсальной и реальной возможности установления соединений, а также активно участвует в направлениях работы, касающихся цифрового правительства, цифровой идентификации и управления данными, целостности информации в интернете и доверия в цифровой экономике, использования искусственного интеллекта для устойчивого развития и сокращения неравенства. В этом контексте МСЭ в сотрудничестве с международными и региональными финансовыми институтами развития объявил об Инициативе по инвестициям в цифровую инфраструктуру с целью определить инновационные механизмы и инструменты финансирования, которые международные организации и частные или государственные плюрилатеральные/многосторонние финансовые институты могут использовать для ускорения достижения цели по обеспечению универсальной и реальной возможности установления соединений к 2030 году. МСЭ ожидает, что основные выводы, полученные в рамках реализации этой инициативы, смогут также помочь в разработке инновационных механизмов финансирования и стимулов в соответствии с нулевым проектом Глобального цифрового </w:t>
      </w:r>
      <w:r w:rsidRPr="00B459DF">
        <w:rPr>
          <w:lang w:val="ru-RU"/>
        </w:rPr>
        <w:lastRenderedPageBreak/>
        <w:t>договора. Генеральный секретарь МСЭ должен принять участие во встрече DEWG на уровне министров в сентябре 2024 года.</w:t>
      </w:r>
    </w:p>
    <w:p w14:paraId="3B3579B8" w14:textId="743DB40B" w:rsidR="00C11FE3" w:rsidRPr="00B459DF" w:rsidRDefault="00C11FE3" w:rsidP="00C11FE3">
      <w:pPr>
        <w:pStyle w:val="Heading1"/>
        <w:rPr>
          <w:lang w:val="ru-RU"/>
        </w:rPr>
      </w:pPr>
      <w:r w:rsidRPr="00B459DF">
        <w:rPr>
          <w:lang w:val="ru-RU"/>
        </w:rPr>
        <w:t>10</w:t>
      </w:r>
      <w:r w:rsidRPr="00B459DF">
        <w:rPr>
          <w:lang w:val="ru-RU"/>
        </w:rPr>
        <w:tab/>
      </w:r>
      <w:r w:rsidRPr="00B459DF">
        <w:rPr>
          <w:lang w:val="ru-RU"/>
        </w:rPr>
        <w:t>Права человека и технологии</w:t>
      </w:r>
    </w:p>
    <w:p w14:paraId="0D8B577F" w14:textId="77777777" w:rsidR="00C11FE3" w:rsidRPr="00B459DF" w:rsidRDefault="00C11FE3" w:rsidP="00B459DF">
      <w:pPr>
        <w:rPr>
          <w:rFonts w:eastAsiaTheme="minorEastAsia"/>
          <w:lang w:val="ru-RU"/>
        </w:rPr>
      </w:pPr>
      <w:r w:rsidRPr="00B459DF">
        <w:rPr>
          <w:rFonts w:eastAsiaTheme="minorEastAsia"/>
          <w:lang w:val="ru-RU"/>
        </w:rPr>
        <w:t>10.1</w:t>
      </w:r>
      <w:r w:rsidRPr="00B459DF">
        <w:rPr>
          <w:rFonts w:eastAsiaTheme="minorEastAsia"/>
          <w:lang w:val="ru-RU"/>
        </w:rPr>
        <w:tab/>
        <w:t xml:space="preserve">24 февраля 2023 года Верховный комиссар ООН по правам человека (УВКПЧ) Фолькер Тюрк объяснил важность учета прав человека при разработке технических стандартов в ходе </w:t>
      </w:r>
      <w:hyperlink r:id="rId52">
        <w:r w:rsidRPr="00B459DF">
          <w:rPr>
            <w:rStyle w:val="Hyperlink"/>
            <w:rFonts w:eastAsiaTheme="minorEastAsia"/>
            <w:lang w:val="ru-RU"/>
          </w:rPr>
          <w:t>встречи</w:t>
        </w:r>
      </w:hyperlink>
      <w:r w:rsidRPr="00B459DF">
        <w:rPr>
          <w:rFonts w:eastAsiaTheme="minorEastAsia"/>
          <w:lang w:val="ru-RU"/>
        </w:rPr>
        <w:t xml:space="preserve"> высокого уровня Всемирного сотрудничества по стандартам (ВСС). Совет МСЭ также обсудил этот вопрос на своем </w:t>
      </w:r>
      <w:hyperlink r:id="rId53">
        <w:r w:rsidRPr="00B459DF">
          <w:rPr>
            <w:rStyle w:val="Hyperlink"/>
            <w:rFonts w:eastAsiaTheme="minorEastAsia"/>
            <w:lang w:val="ru-RU"/>
          </w:rPr>
          <w:t>собрании</w:t>
        </w:r>
      </w:hyperlink>
      <w:r w:rsidRPr="00B459DF">
        <w:rPr>
          <w:rFonts w:eastAsiaTheme="minorEastAsia"/>
          <w:lang w:val="ru-RU"/>
        </w:rPr>
        <w:t xml:space="preserve"> в июле 2023 года и был проинформирован о докладе УВКПЧ (</w:t>
      </w:r>
      <w:hyperlink r:id="rId54" w:history="1">
        <w:r w:rsidRPr="00B459DF">
          <w:rPr>
            <w:rStyle w:val="Hyperlink"/>
            <w:rFonts w:eastAsiaTheme="minorEastAsia"/>
            <w:lang w:val="ru-RU"/>
          </w:rPr>
          <w:t>C23/INF/15</w:t>
        </w:r>
      </w:hyperlink>
      <w:r w:rsidRPr="00B459DF">
        <w:rPr>
          <w:rFonts w:eastAsiaTheme="minorEastAsia"/>
          <w:lang w:val="ru-RU"/>
        </w:rPr>
        <w:t>) о правах человека и процессах установления технических стандартов для новых и возникающих цифровых технологий.</w:t>
      </w:r>
    </w:p>
    <w:p w14:paraId="35A859D6" w14:textId="602C6BDF" w:rsidR="00C11FE3" w:rsidRPr="00B459DF" w:rsidRDefault="00C11FE3" w:rsidP="00B459DF">
      <w:pPr>
        <w:rPr>
          <w:rFonts w:eastAsiaTheme="minorEastAsia"/>
          <w:lang w:val="ru-RU"/>
        </w:rPr>
      </w:pPr>
      <w:bookmarkStart w:id="12" w:name="_Hlk167714604"/>
      <w:r w:rsidRPr="00B459DF">
        <w:rPr>
          <w:rFonts w:eastAsiaTheme="minorEastAsia"/>
          <w:lang w:val="ru-RU"/>
        </w:rPr>
        <w:t>10.2</w:t>
      </w:r>
      <w:r w:rsidRPr="00B459DF">
        <w:rPr>
          <w:rFonts w:eastAsiaTheme="minorEastAsia"/>
          <w:lang w:val="ru-RU"/>
        </w:rPr>
        <w:tab/>
        <w:t xml:space="preserve">Кроме того, Генеральный секретарь МСЭ </w:t>
      </w:r>
      <w:hyperlink r:id="rId55">
        <w:r w:rsidRPr="00B459DF">
          <w:rPr>
            <w:rStyle w:val="Hyperlink"/>
            <w:rFonts w:eastAsiaTheme="minorEastAsia"/>
            <w:lang w:val="ru-RU"/>
          </w:rPr>
          <w:t>выступил</w:t>
        </w:r>
        <w:r w:rsidR="009075B1">
          <w:rPr>
            <w:rStyle w:val="Hyperlink"/>
            <w:rFonts w:eastAsiaTheme="minorEastAsia"/>
            <w:lang w:val="ru-RU"/>
          </w:rPr>
          <w:t>а</w:t>
        </w:r>
        <w:r w:rsidRPr="00B459DF">
          <w:rPr>
            <w:rStyle w:val="Hyperlink"/>
            <w:rFonts w:eastAsiaTheme="minorEastAsia"/>
            <w:lang w:val="ru-RU"/>
          </w:rPr>
          <w:t xml:space="preserve"> модератором</w:t>
        </w:r>
      </w:hyperlink>
      <w:r w:rsidRPr="00B459DF">
        <w:rPr>
          <w:rFonts w:eastAsiaTheme="minorEastAsia"/>
          <w:lang w:val="ru-RU"/>
        </w:rPr>
        <w:t xml:space="preserve"> круглого стола "Будущее прав человека и цифровых технологий" в рамках мероприятия высокого уровня "Права человека 75", организованного УВКПЧ 11 декабря 2023 года. На этом круглом столе обсуждались способы обеспечения </w:t>
      </w:r>
      <w:r w:rsidRPr="00B459DF">
        <w:rPr>
          <w:rFonts w:eastAsiaTheme="minorEastAsia"/>
          <w:lang w:val="ru-RU" w:bidi="ru-RU"/>
        </w:rPr>
        <w:t>того</w:t>
      </w:r>
      <w:r w:rsidRPr="00B459DF">
        <w:rPr>
          <w:rFonts w:eastAsiaTheme="minorEastAsia"/>
          <w:lang w:val="ru-RU"/>
        </w:rPr>
        <w:t>, чтобы права человека занимали центральное место в процессе разработки и использования технологий, а также в ходе управления ими, в том числе посредством реализации последних инициатив ООН.</w:t>
      </w:r>
    </w:p>
    <w:bookmarkEnd w:id="12"/>
    <w:p w14:paraId="168B3126" w14:textId="77777777" w:rsidR="00C11FE3" w:rsidRPr="00B459DF" w:rsidRDefault="00C11FE3" w:rsidP="00B459DF">
      <w:pPr>
        <w:rPr>
          <w:rFonts w:eastAsiaTheme="minorEastAsia"/>
          <w:lang w:val="ru-RU"/>
        </w:rPr>
      </w:pPr>
      <w:r w:rsidRPr="00B459DF">
        <w:rPr>
          <w:rFonts w:eastAsiaTheme="minorEastAsia"/>
          <w:lang w:val="ru-RU"/>
        </w:rPr>
        <w:t>10.3</w:t>
      </w:r>
      <w:r w:rsidRPr="00B459DF">
        <w:rPr>
          <w:lang w:val="ru-RU"/>
        </w:rPr>
        <w:tab/>
        <w:t xml:space="preserve">Более того, в соответствии с информацией, представленной КГРЭ, МСЭ-Т проводит ряд мероприятий по </w:t>
      </w:r>
      <w:r w:rsidRPr="00B459DF">
        <w:rPr>
          <w:lang w:val="ru-RU" w:bidi="ru-RU"/>
        </w:rPr>
        <w:t>вопросам</w:t>
      </w:r>
      <w:r w:rsidRPr="00B459DF">
        <w:rPr>
          <w:lang w:val="ru-RU"/>
        </w:rPr>
        <w:t>, касающимся прав человека и стандартов</w:t>
      </w:r>
      <w:r w:rsidRPr="00B459DF">
        <w:rPr>
          <w:rFonts w:eastAsiaTheme="minorEastAsia"/>
          <w:lang w:val="ru-RU"/>
        </w:rPr>
        <w:t>.</w:t>
      </w:r>
    </w:p>
    <w:p w14:paraId="74E94070" w14:textId="72AE5D59" w:rsidR="00C11FE3" w:rsidRPr="00B459DF" w:rsidRDefault="00C11FE3" w:rsidP="00C11FE3">
      <w:pPr>
        <w:pStyle w:val="Heading1"/>
        <w:rPr>
          <w:lang w:val="ru-RU"/>
        </w:rPr>
      </w:pPr>
      <w:r w:rsidRPr="00B459DF">
        <w:rPr>
          <w:lang w:val="ru-RU"/>
        </w:rPr>
        <w:t>11</w:t>
      </w:r>
      <w:r w:rsidRPr="00B459DF">
        <w:rPr>
          <w:lang w:val="ru-RU"/>
        </w:rPr>
        <w:tab/>
        <w:t>Разработка стандартов и сопутствующая деятельность</w:t>
      </w:r>
    </w:p>
    <w:p w14:paraId="335A0D63" w14:textId="3895A6CA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11.1</w:t>
      </w:r>
      <w:r w:rsidRPr="00B459DF">
        <w:rPr>
          <w:lang w:val="ru-RU"/>
        </w:rPr>
        <w:tab/>
        <w:t xml:space="preserve">Работа Бюро радиосвязи (БР) с региональными организациями электросвязи (РОЭ) является неотъемлемой частью глобальной подготовки к проведению всемирных конференций радиосвязи (ВКР) и способствует наращиванию потенциала в регионах. В координации с региональными отделениями МСЭ БР сотрудничает с РОЭ в проведении мероприятий по созданию потенциала (например, семинаров и семинаров-практикумов) для </w:t>
      </w:r>
      <w:r w:rsidRPr="00B459DF">
        <w:rPr>
          <w:lang w:val="ru-RU" w:bidi="ru-RU"/>
        </w:rPr>
        <w:t>членов</w:t>
      </w:r>
      <w:r w:rsidRPr="00B459DF">
        <w:rPr>
          <w:lang w:val="ru-RU"/>
        </w:rPr>
        <w:t xml:space="preserve"> МСЭ в соответствующих регионах. РОЭ координируют разработку общих предложений (т.</w:t>
      </w:r>
      <w:r w:rsidR="009075B1">
        <w:rPr>
          <w:lang w:val="ru-RU"/>
        </w:rPr>
        <w:t> </w:t>
      </w:r>
      <w:r w:rsidRPr="00B459DF">
        <w:rPr>
          <w:lang w:val="ru-RU"/>
        </w:rPr>
        <w:t>н.</w:t>
      </w:r>
      <w:r w:rsidR="009075B1">
        <w:rPr>
          <w:lang w:val="ru-RU"/>
        </w:rPr>
        <w:t> </w:t>
      </w:r>
      <w:r w:rsidRPr="00B459DF">
        <w:rPr>
          <w:lang w:val="ru-RU"/>
        </w:rPr>
        <w:t>региональных предложений) от имени своих Государств-Членов для ВКР. Кроме того, РОЭ активно содействуют достижению консенсуса между регионами, а также способствуют достижению консенсуса и принятию решений на ВКР.</w:t>
      </w:r>
    </w:p>
    <w:p w14:paraId="20C05CD1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11.2</w:t>
      </w:r>
      <w:r w:rsidRPr="00B459DF">
        <w:rPr>
          <w:lang w:val="ru-RU"/>
        </w:rPr>
        <w:tab/>
        <w:t xml:space="preserve">Межправительственные организации (например, МАМС, ИАТА, IMSO, МБМВ) участвуют в работе исследовательских комиссий МСЭ-R в ходе подготовки к всемирным конференциям </w:t>
      </w:r>
      <w:r w:rsidRPr="00B459DF">
        <w:rPr>
          <w:lang w:val="ru-RU" w:bidi="ru-RU"/>
        </w:rPr>
        <w:t>радиосвязи</w:t>
      </w:r>
      <w:r w:rsidRPr="00B459DF">
        <w:rPr>
          <w:lang w:val="ru-RU"/>
        </w:rPr>
        <w:t xml:space="preserve"> и в качестве консультантов на ВКР в целях решения вопросов повестки дня, которые затрагивают выполнение их мандатов.</w:t>
      </w:r>
    </w:p>
    <w:p w14:paraId="0EB58D34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11.3</w:t>
      </w:r>
      <w:r w:rsidRPr="00B459DF">
        <w:rPr>
          <w:lang w:val="ru-RU"/>
        </w:rPr>
        <w:tab/>
        <w:t xml:space="preserve">В области </w:t>
      </w:r>
      <w:r w:rsidRPr="00B459DF">
        <w:rPr>
          <w:lang w:val="ru-RU" w:bidi="ru-RU"/>
        </w:rPr>
        <w:t>разработки</w:t>
      </w:r>
      <w:r w:rsidRPr="00B459DF">
        <w:rPr>
          <w:lang w:val="ru-RU"/>
        </w:rPr>
        <w:t xml:space="preserve"> стандартов МСЭ-R сотрудничает с несколькими ОРС в целях создания международных стандартов в области технологий подвижной радиосвязи (например, 4G, 5G и будущих стандартов 6G), а также стандартов для интеллектуальных транспортных систем. </w:t>
      </w:r>
    </w:p>
    <w:p w14:paraId="65F6BE1C" w14:textId="77777777" w:rsidR="00C11FE3" w:rsidRPr="00B459DF" w:rsidRDefault="00C11FE3" w:rsidP="00B459DF">
      <w:pPr>
        <w:rPr>
          <w:lang w:val="ru-RU"/>
        </w:rPr>
      </w:pPr>
      <w:r w:rsidRPr="00B459DF">
        <w:rPr>
          <w:rFonts w:eastAsia="Calibri"/>
          <w:lang w:val="ru-RU"/>
        </w:rPr>
        <w:t>11.4</w:t>
      </w:r>
      <w:r w:rsidRPr="00B459DF">
        <w:rPr>
          <w:lang w:val="ru-RU"/>
        </w:rPr>
        <w:tab/>
        <w:t xml:space="preserve">Бюро стандартизации электросвязи (БСЭ) активно сотрудничает с организациями системы ООН, в том числе с ООН-Хабитат и другими 17 организациями системы ООН по вопросу "умных" устойчивых городов, с МВЦ ООН и другими 19 организациями системы ООН – по вопросу метавселенной и виртуальных миров, с ВОЗ и ВОИС – по использованию ИИ в сфере здравоохранения, с ФАО – по интернету вещей и использованию ИИ для цифрового сельского хозяйства, с ВМО и ЮНЕП – по подводным кабелям SMART и использованию ИИ для борьбы со стихийными бедствиями, с ЕЭК ООН − по интеллектуальным транспортным системам и автономному вождению, с ЮНИДО, ЮНЕП и Секретариатом Базельской конвенции – по вопросам, связанным с электронными отходами и циркуляционной экономикой, с РКИК ООН – по вопросам борьбы с изменением климата, а также с другими структурами ООН по таким </w:t>
      </w:r>
      <w:r w:rsidRPr="00B459DF">
        <w:rPr>
          <w:lang w:val="ru-RU"/>
        </w:rPr>
        <w:lastRenderedPageBreak/>
        <w:t xml:space="preserve">направлениям, как права человека, энергоэффективность, борьба с контрафактной продукцией и многое другое. C более подробной информацией можно ознакомиться в документе </w:t>
      </w:r>
      <w:hyperlink r:id="rId56" w:history="1">
        <w:r w:rsidRPr="00B459DF">
          <w:rPr>
            <w:rStyle w:val="Hyperlink"/>
            <w:rFonts w:eastAsia="Calibri"/>
            <w:lang w:val="ru-RU"/>
          </w:rPr>
          <w:t>C24/67</w:t>
        </w:r>
      </w:hyperlink>
      <w:r w:rsidRPr="00B459DF">
        <w:rPr>
          <w:rFonts w:eastAsia="Calibri"/>
          <w:lang w:val="ru-RU"/>
        </w:rPr>
        <w:t>.</w:t>
      </w:r>
    </w:p>
    <w:p w14:paraId="45E8172E" w14:textId="77777777" w:rsidR="00C11FE3" w:rsidRPr="00B459DF" w:rsidRDefault="00C11FE3" w:rsidP="00B459DF">
      <w:pPr>
        <w:rPr>
          <w:lang w:val="ru-RU"/>
        </w:rPr>
      </w:pPr>
      <w:r w:rsidRPr="00B459DF">
        <w:rPr>
          <w:rFonts w:eastAsia="Calibri"/>
          <w:lang w:val="ru-RU"/>
        </w:rPr>
        <w:t>11.5</w:t>
      </w:r>
      <w:r w:rsidRPr="00B459DF">
        <w:rPr>
          <w:lang w:val="ru-RU"/>
        </w:rPr>
        <w:tab/>
        <w:t>МСЭ сотрудничает с Международной электротехнической комиссией (МЭК) и Международной организацией по стандартизации (ИСО) в рамках Всемирного сотрудничества по стандартам (ВСС). Это сотрудничество на высоком уровне направлено на продвижение международных стандартов в глобальном масштабе и решение любых вопросов технического сотрудничества между тремя ведущими мировыми организациями по разработке стандартов.</w:t>
      </w:r>
    </w:p>
    <w:p w14:paraId="73CE25D6" w14:textId="398D4691" w:rsidR="00C11FE3" w:rsidRPr="00B459DF" w:rsidRDefault="00C11FE3" w:rsidP="00C11FE3">
      <w:pPr>
        <w:pStyle w:val="Heading1"/>
        <w:rPr>
          <w:rFonts w:eastAsia="SimSun"/>
          <w:lang w:val="ru-RU" w:eastAsia="ko-KR"/>
          <w14:ligatures w14:val="standardContextual"/>
        </w:rPr>
      </w:pPr>
      <w:r w:rsidRPr="00B459DF">
        <w:rPr>
          <w:lang w:val="ru-RU"/>
        </w:rPr>
        <w:t>12</w:t>
      </w:r>
      <w:r w:rsidRPr="00B459DF">
        <w:rPr>
          <w:lang w:val="ru-RU"/>
        </w:rPr>
        <w:tab/>
        <w:t>Заключение</w:t>
      </w:r>
    </w:p>
    <w:p w14:paraId="468E72AF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12.1</w:t>
      </w:r>
      <w:r w:rsidRPr="00B459DF">
        <w:rPr>
          <w:lang w:val="ru-RU"/>
        </w:rPr>
        <w:tab/>
        <w:t xml:space="preserve">Вопросы, связанные с развитием цифровых технологий, получают все большее распространение как в штаб-квартире ООН в Нью-Йорке, так и в рамках всей системы ООН в целом. Исследование, </w:t>
      </w:r>
      <w:r w:rsidRPr="00B459DF">
        <w:rPr>
          <w:lang w:val="ru-RU" w:bidi="ru-RU"/>
        </w:rPr>
        <w:t>проведенное</w:t>
      </w:r>
      <w:r w:rsidRPr="00B459DF">
        <w:rPr>
          <w:lang w:val="ru-RU"/>
        </w:rPr>
        <w:t xml:space="preserve"> Департаментом ООН по экономическим и социальным вопросам и OSET в начале 2022 года, выявило в рамках ООН более 500 инициатив, связанных с использованием цифровых технологий, и с тех пор их число, вероятно, еще больше увеличилось. Более того, цифровая тематика все чаще встречается на крупных конференциях Организации Объединенных Наций, а также в докладах, резолюциях и итоговых документах Генерального секретаря. </w:t>
      </w:r>
    </w:p>
    <w:p w14:paraId="12EB85F8" w14:textId="77777777" w:rsidR="00C11FE3" w:rsidRPr="00B459DF" w:rsidRDefault="00C11FE3" w:rsidP="00B459DF">
      <w:pPr>
        <w:rPr>
          <w:lang w:val="ru-RU"/>
        </w:rPr>
      </w:pPr>
      <w:r w:rsidRPr="00B459DF">
        <w:rPr>
          <w:lang w:val="ru-RU"/>
        </w:rPr>
        <w:t>12.2</w:t>
      </w:r>
      <w:r w:rsidRPr="00B459DF">
        <w:rPr>
          <w:lang w:val="ru-RU"/>
        </w:rPr>
        <w:tab/>
        <w:t xml:space="preserve">В настоящем отчете содержится информация о недавнем участии МСЭ в некоторых основных конференциях, процессах и направлениях работы ООН и о вкладе Союза в их проведение. Более подробную информацию можно найти в документе </w:t>
      </w:r>
      <w:hyperlink r:id="rId57" w:history="1">
        <w:r w:rsidRPr="00B459DF">
          <w:rPr>
            <w:rStyle w:val="Hyperlink"/>
            <w:lang w:val="ru-RU"/>
          </w:rPr>
          <w:t>C24/INF/9</w:t>
        </w:r>
      </w:hyperlink>
      <w:r w:rsidRPr="00B459DF">
        <w:rPr>
          <w:lang w:val="ru-RU"/>
        </w:rPr>
        <w:t xml:space="preserve">. Учитывая, что 2024 год </w:t>
      </w:r>
      <w:r w:rsidRPr="00B459DF">
        <w:rPr>
          <w:lang w:val="ru-RU" w:bidi="ru-RU"/>
        </w:rPr>
        <w:t>является</w:t>
      </w:r>
      <w:r w:rsidRPr="00B459DF">
        <w:rPr>
          <w:lang w:val="ru-RU"/>
        </w:rPr>
        <w:t xml:space="preserve"> исключительно важным для ООН, особенно в связи с переговорами по Глобальному цифровому договору и приближением Саммита будущего, в настоящее время Государства-Члены проводят множество обсуждений и вырабатывают договоренности по важнейшим пунктам цифровой повестки дня. Вовлеченность МСЭ в эти процессы и совместные усилия в рамках ООН будут и впредь способствовать удовлетворению растущего спроса в этой области.</w:t>
      </w:r>
    </w:p>
    <w:p w14:paraId="597DF078" w14:textId="77777777" w:rsidR="00C11FE3" w:rsidRPr="00B459DF" w:rsidRDefault="00C11FE3" w:rsidP="00C11FE3">
      <w:pPr>
        <w:spacing w:before="720"/>
        <w:jc w:val="center"/>
        <w:rPr>
          <w:lang w:val="ru-RU"/>
        </w:rPr>
      </w:pPr>
      <w:r w:rsidRPr="00B459DF">
        <w:rPr>
          <w:lang w:val="ru-RU"/>
        </w:rPr>
        <w:t>______________</w:t>
      </w:r>
    </w:p>
    <w:sectPr w:rsidR="00C11FE3" w:rsidRPr="00B459DF" w:rsidSect="00796BD3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8137" w14:textId="77777777" w:rsidR="00C05660" w:rsidRDefault="00C05660">
      <w:r>
        <w:separator/>
      </w:r>
    </w:p>
  </w:endnote>
  <w:endnote w:type="continuationSeparator" w:id="0">
    <w:p w14:paraId="5BBE121D" w14:textId="77777777" w:rsidR="00C05660" w:rsidRDefault="00C0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639B" w14:textId="77777777" w:rsidR="00944298" w:rsidRDefault="00944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38C285E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5A24B076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C11FE3">
            <w:rPr>
              <w:bCs/>
            </w:rPr>
            <w:t>55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060260F5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C11FE3">
            <w:rPr>
              <w:bCs/>
            </w:rPr>
            <w:t>55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3807" w14:textId="77777777" w:rsidR="00C05660" w:rsidRDefault="00C05660">
      <w:r>
        <w:t>____________________</w:t>
      </w:r>
    </w:p>
  </w:footnote>
  <w:footnote w:type="continuationSeparator" w:id="0">
    <w:p w14:paraId="114A2150" w14:textId="77777777" w:rsidR="00C05660" w:rsidRDefault="00C0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1B2" w14:textId="77777777" w:rsidR="00944298" w:rsidRDefault="00944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F186" w14:textId="77777777" w:rsidR="00944298" w:rsidRDefault="00944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0673270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DD1C952" w14:textId="37821FAE" w:rsidR="00796BD3" w:rsidRPr="00944298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  <w:lang w:val="ru-RU"/>
            </w:rPr>
          </w:pPr>
        </w:p>
      </w:tc>
    </w:tr>
  </w:tbl>
  <w:bookmarkEnd w:id="13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C2A0F"/>
    <w:multiLevelType w:val="hybridMultilevel"/>
    <w:tmpl w:val="55C60378"/>
    <w:lvl w:ilvl="0" w:tplc="DE585B8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7EF7"/>
    <w:multiLevelType w:val="hybridMultilevel"/>
    <w:tmpl w:val="3C9C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033A1"/>
    <w:multiLevelType w:val="hybridMultilevel"/>
    <w:tmpl w:val="DDA0C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E6DF5"/>
    <w:multiLevelType w:val="multilevel"/>
    <w:tmpl w:val="1C880C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5" w15:restartNumberingAfterBreak="0">
    <w:nsid w:val="7697BF65"/>
    <w:multiLevelType w:val="hybridMultilevel"/>
    <w:tmpl w:val="799E27AE"/>
    <w:lvl w:ilvl="0" w:tplc="C4C070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BAF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08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43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86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22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EE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4B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AC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240477942">
    <w:abstractNumId w:val="1"/>
  </w:num>
  <w:num w:numId="3" w16cid:durableId="1126661787">
    <w:abstractNumId w:val="2"/>
  </w:num>
  <w:num w:numId="4" w16cid:durableId="631253367">
    <w:abstractNumId w:val="3"/>
  </w:num>
  <w:num w:numId="5" w16cid:durableId="570777361">
    <w:abstractNumId w:val="5"/>
  </w:num>
  <w:num w:numId="6" w16cid:durableId="1739204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63974"/>
    <w:rsid w:val="00080E82"/>
    <w:rsid w:val="000B2DE7"/>
    <w:rsid w:val="000E568E"/>
    <w:rsid w:val="000E7DE9"/>
    <w:rsid w:val="0014734F"/>
    <w:rsid w:val="0015710D"/>
    <w:rsid w:val="00163A32"/>
    <w:rsid w:val="00165D06"/>
    <w:rsid w:val="001850D8"/>
    <w:rsid w:val="00192B41"/>
    <w:rsid w:val="001B7B09"/>
    <w:rsid w:val="001E6719"/>
    <w:rsid w:val="001E7F50"/>
    <w:rsid w:val="00225368"/>
    <w:rsid w:val="00227FF0"/>
    <w:rsid w:val="00291EB6"/>
    <w:rsid w:val="002B7DD4"/>
    <w:rsid w:val="002D2F57"/>
    <w:rsid w:val="002D48C5"/>
    <w:rsid w:val="0033025A"/>
    <w:rsid w:val="003E7254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5137D"/>
    <w:rsid w:val="005A64D5"/>
    <w:rsid w:val="005B3DEC"/>
    <w:rsid w:val="005C1CA2"/>
    <w:rsid w:val="00600689"/>
    <w:rsid w:val="00601994"/>
    <w:rsid w:val="00660449"/>
    <w:rsid w:val="00672F8A"/>
    <w:rsid w:val="006867EB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C6349"/>
    <w:rsid w:val="008D21F1"/>
    <w:rsid w:val="008D2D7B"/>
    <w:rsid w:val="008E0737"/>
    <w:rsid w:val="008F7C2C"/>
    <w:rsid w:val="009075B1"/>
    <w:rsid w:val="00940E96"/>
    <w:rsid w:val="00944298"/>
    <w:rsid w:val="009B0BAE"/>
    <w:rsid w:val="009C1C89"/>
    <w:rsid w:val="009F3448"/>
    <w:rsid w:val="00A01CF9"/>
    <w:rsid w:val="00A71773"/>
    <w:rsid w:val="00AE2C85"/>
    <w:rsid w:val="00AF19E2"/>
    <w:rsid w:val="00B11C9D"/>
    <w:rsid w:val="00B12A37"/>
    <w:rsid w:val="00B41837"/>
    <w:rsid w:val="00B459DF"/>
    <w:rsid w:val="00B63EF2"/>
    <w:rsid w:val="00BA7D89"/>
    <w:rsid w:val="00BC0D39"/>
    <w:rsid w:val="00BC7BC0"/>
    <w:rsid w:val="00BD57B7"/>
    <w:rsid w:val="00BE63E2"/>
    <w:rsid w:val="00C05660"/>
    <w:rsid w:val="00C11FE3"/>
    <w:rsid w:val="00CD2009"/>
    <w:rsid w:val="00CF629C"/>
    <w:rsid w:val="00D92EEA"/>
    <w:rsid w:val="00DA5D4E"/>
    <w:rsid w:val="00DB2545"/>
    <w:rsid w:val="00E176BA"/>
    <w:rsid w:val="00E423EC"/>
    <w:rsid w:val="00E55121"/>
    <w:rsid w:val="00EA7E04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55137D"/>
    <w:rPr>
      <w:color w:val="605E5C"/>
      <w:shd w:val="clear" w:color="auto" w:fill="E1DFDD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,Listenabsatz Standard"/>
    <w:basedOn w:val="Normal"/>
    <w:link w:val="ListParagraphChar"/>
    <w:uiPriority w:val="34"/>
    <w:qFormat/>
    <w:rsid w:val="000E7D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EOMainDocParagraph">
    <w:name w:val="CEO_MainDoc_Paragraph"/>
    <w:basedOn w:val="Normal"/>
    <w:qFormat/>
    <w:rsid w:val="000E7D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Cs w:val="19"/>
      <w:lang w:eastAsia="zh-CN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basedOn w:val="DefaultParagraphFont"/>
    <w:link w:val="ListParagraph"/>
    <w:uiPriority w:val="34"/>
    <w:locked/>
    <w:rsid w:val="00C11FE3"/>
    <w:rPr>
      <w:rFonts w:ascii="Calibri" w:hAnsi="Calibri"/>
      <w:sz w:val="24"/>
      <w:lang w:val="en-GB" w:eastAsia="en-US"/>
    </w:rPr>
  </w:style>
  <w:style w:type="paragraph" w:customStyle="1" w:styleId="paragraph">
    <w:name w:val="paragraph"/>
    <w:basedOn w:val="Normal"/>
    <w:rsid w:val="00C11F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C1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n.org/en/summit-of-the-future/pact-for-the-future-zero-draft" TargetMode="External"/><Relationship Id="rId21" Type="http://schemas.openxmlformats.org/officeDocument/2006/relationships/hyperlink" Target="https://www.itu.int/md/S23-CL-INF-0009/en" TargetMode="External"/><Relationship Id="rId34" Type="http://schemas.openxmlformats.org/officeDocument/2006/relationships/hyperlink" Target="https://www.un.org/sites/un2.un.org/files/sotf-global-digital-compact-zero-draft.pdf" TargetMode="External"/><Relationship Id="rId42" Type="http://schemas.openxmlformats.org/officeDocument/2006/relationships/hyperlink" Target="https://www.itu.int/space-sustainability/" TargetMode="External"/><Relationship Id="rId47" Type="http://schemas.openxmlformats.org/officeDocument/2006/relationships/hyperlink" Target="https://www.itu.int/itu-d/sites/ldcs/?lang=en" TargetMode="External"/><Relationship Id="rId50" Type="http://schemas.openxmlformats.org/officeDocument/2006/relationships/hyperlink" Target="https://www.itu.int/itu-d/sites/partner2connect/" TargetMode="External"/><Relationship Id="rId55" Type="http://schemas.openxmlformats.org/officeDocument/2006/relationships/hyperlink" Target="https://webtv.un.org/en/asset/k1d/k1diw7g1wv" TargetMode="External"/><Relationship Id="rId63" Type="http://schemas.openxmlformats.org/officeDocument/2006/relationships/footer" Target="footer3.xml"/><Relationship Id="rId7" Type="http://schemas.openxmlformats.org/officeDocument/2006/relationships/hyperlink" Target="http://www.itu.int/md/S08-CL-INF-0008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9-CL-INF-0008/en" TargetMode="External"/><Relationship Id="rId29" Type="http://schemas.openxmlformats.org/officeDocument/2006/relationships/hyperlink" Target="https://www.un.org/sites/un2.un.org/files/sotf-cso-letter-post-2nd-reading.pdf" TargetMode="External"/><Relationship Id="rId11" Type="http://schemas.openxmlformats.org/officeDocument/2006/relationships/hyperlink" Target="http://www.itu.int/md/S14-CL-INF-0007/en" TargetMode="External"/><Relationship Id="rId24" Type="http://schemas.openxmlformats.org/officeDocument/2006/relationships/hyperlink" Target="https://www.un.org/en/common-agenda/summit-of-the-future" TargetMode="External"/><Relationship Id="rId32" Type="http://schemas.openxmlformats.org/officeDocument/2006/relationships/hyperlink" Target="https://www.un.org/techenvoy/sites/www.un.org.techenvoy/files/Co-facs_letter_Global_Digital_Compact_December_15.pdf" TargetMode="External"/><Relationship Id="rId37" Type="http://schemas.openxmlformats.org/officeDocument/2006/relationships/hyperlink" Target="https://www.un.org/sg/en/content/sg/personnel-appointments/2023-10-26/secretary-generals-advisory-body-members-artificial-intelligence" TargetMode="External"/><Relationship Id="rId40" Type="http://schemas.openxmlformats.org/officeDocument/2006/relationships/hyperlink" Target="https://unsceb.org/united-nations-system-white-paper-ai-governance" TargetMode="External"/><Relationship Id="rId45" Type="http://schemas.openxmlformats.org/officeDocument/2006/relationships/hyperlink" Target="https://sdgs.un.org/conferences/sids2024" TargetMode="External"/><Relationship Id="rId53" Type="http://schemas.openxmlformats.org/officeDocument/2006/relationships/hyperlink" Target="https://www.itu.int/md/S23-CL-C-0074/en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hyperlink" Target="https://www.itu.int/md/S22-CL-INF-0002/en" TargetMode="External"/><Relationship Id="rId14" Type="http://schemas.openxmlformats.org/officeDocument/2006/relationships/hyperlink" Target="https://www.itu.int/md/S17-CL-INF-0010/en" TargetMode="External"/><Relationship Id="rId22" Type="http://schemas.openxmlformats.org/officeDocument/2006/relationships/hyperlink" Target="https://www.un.org/en/content/common-agenda-report/assets/pdf/Common_Agenda_Report_English.pdf" TargetMode="External"/><Relationship Id="rId27" Type="http://schemas.openxmlformats.org/officeDocument/2006/relationships/hyperlink" Target="https://www.un.org/sites/un2.un.org/files/sotf-co-facilitators-zero-draft_pact-for-the-future.pdf" TargetMode="External"/><Relationship Id="rId30" Type="http://schemas.openxmlformats.org/officeDocument/2006/relationships/hyperlink" Target="https://www.un.org/en/civilsociety/2024uncsc" TargetMode="External"/><Relationship Id="rId35" Type="http://schemas.openxmlformats.org/officeDocument/2006/relationships/hyperlink" Target="https://www.un.org/pga/78/2024/04/01/letter-from-president-general-assembly-on-global-digital-compact-zero-draft/" TargetMode="External"/><Relationship Id="rId43" Type="http://schemas.openxmlformats.org/officeDocument/2006/relationships/hyperlink" Target="https://highleveladvisoryboard.org/breakthrough/" TargetMode="External"/><Relationship Id="rId48" Type="http://schemas.openxmlformats.org/officeDocument/2006/relationships/hyperlink" Target="https://www.itu.int/itu-d/sites/ldcs/2024/02/20/itu-at-sids4/" TargetMode="External"/><Relationship Id="rId56" Type="http://schemas.openxmlformats.org/officeDocument/2006/relationships/hyperlink" Target="https://www.itu.int/md/S24-CL-C-0067/en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itu.int/md/S11-CL-INF-0006/en" TargetMode="External"/><Relationship Id="rId51" Type="http://schemas.openxmlformats.org/officeDocument/2006/relationships/hyperlink" Target="https://www.unwomen.org/en/how-we-work/commission-on-the-status-of-wom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S15-CL-INF-0004/en" TargetMode="External"/><Relationship Id="rId17" Type="http://schemas.openxmlformats.org/officeDocument/2006/relationships/hyperlink" Target="https://www.itu.int/md/S20-CL-INF-0003/en" TargetMode="External"/><Relationship Id="rId25" Type="http://schemas.openxmlformats.org/officeDocument/2006/relationships/hyperlink" Target="https://undocs.org/A/RES/76/307" TargetMode="External"/><Relationship Id="rId33" Type="http://schemas.openxmlformats.org/officeDocument/2006/relationships/hyperlink" Target="https://www.itu.int/net4/wsis/ungis/" TargetMode="External"/><Relationship Id="rId38" Type="http://schemas.openxmlformats.org/officeDocument/2006/relationships/hyperlink" Target="http://www.itu.int/md/S24-CL-C-0067/en" TargetMode="External"/><Relationship Id="rId46" Type="http://schemas.openxmlformats.org/officeDocument/2006/relationships/hyperlink" Target="https://www.un.org/en/landlocked/about-third-un-conference-lldcs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www.itu.int/md/S23-CL-INF-0008/en" TargetMode="External"/><Relationship Id="rId41" Type="http://schemas.openxmlformats.org/officeDocument/2006/relationships/hyperlink" Target="https://eur03.safelinks.protection.outlook.com/?url=https%3A%2F%2Fwww.un.org%2Fsites%2Fun2.un.org%2Ffiles%2Four-common-agenda-policy-brief-outer-space-en.pdf&amp;data=05%7C02%7CJeoungHee.Kim%40itu.int%7Cfd7d58469da34b1c724e08dc3dceaa84%7C23e464d704e64b87913c24bd89219fd3%7C0%7C0%7C638453205039395201%7CUnknown%7CTWFpbGZsb3d8eyJWIjoiMC4wLjAwMDAiLCJQIjoiV2luMzIiLCJBTiI6Ik1haWwiLCJXVCI6Mn0%3D%7C0%7C%7C%7C&amp;sdata=dScZqlqS9SYidjs%2F6xzw0Z9HigShzbIg%2FbJssfgDn58%3D&amp;reserved=0" TargetMode="External"/><Relationship Id="rId54" Type="http://schemas.openxmlformats.org/officeDocument/2006/relationships/hyperlink" Target="https://www.itu.int/md/S23-CL-INF-0015/en" TargetMode="External"/><Relationship Id="rId6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18-CL-INF-0004/en" TargetMode="External"/><Relationship Id="rId23" Type="http://schemas.openxmlformats.org/officeDocument/2006/relationships/hyperlink" Target="https://www.google.com/url?sa=t&amp;rct=j&amp;q=&amp;esrc=s&amp;source=web&amp;cd=&amp;ved=2ahUKEwiWlZD7rdiFAxVS_7sIHaz0CRoQFnoECBIQAQ&amp;url=https%3A%2F%2Fundocs.org%2FA%2FRES%2F75%2F1&amp;usg=AOvVaw2EaceNcGwuxpvYh9G6yKYy&amp;opi=89978449" TargetMode="External"/><Relationship Id="rId28" Type="http://schemas.openxmlformats.org/officeDocument/2006/relationships/hyperlink" Target="https://www.un.org/sites/un2.un.org/files/sotf-co-facs_ms-letter_zero-draft-presentation.pdf" TargetMode="External"/><Relationship Id="rId36" Type="http://schemas.openxmlformats.org/officeDocument/2006/relationships/hyperlink" Target="https://www.itu.int/md/S23-CL-INF-0008/en" TargetMode="External"/><Relationship Id="rId49" Type="http://schemas.openxmlformats.org/officeDocument/2006/relationships/hyperlink" Target="https://www.itu.int/itu-d/sites/partner2connect/p2c-at-sids-4-conference/" TargetMode="External"/><Relationship Id="rId57" Type="http://schemas.openxmlformats.org/officeDocument/2006/relationships/hyperlink" Target="https://www.itu.int/md/S24-CL-INF-0009/en" TargetMode="External"/><Relationship Id="rId10" Type="http://schemas.openxmlformats.org/officeDocument/2006/relationships/hyperlink" Target="http://www.itu.int/md/S13-CL-INF-0010/en" TargetMode="External"/><Relationship Id="rId31" Type="http://schemas.openxmlformats.org/officeDocument/2006/relationships/hyperlink" Target="https://www.un.org/pga/77/wp-content/uploads/sites/105/2023/09/Global-Digital-Compact-Issues-paper-September-1-2023.pdf" TargetMode="External"/><Relationship Id="rId44" Type="http://schemas.openxmlformats.org/officeDocument/2006/relationships/hyperlink" Target="https://www.highleveladvisoryboard.org/breakthrough/pdf/56892_UNU_HLAB_report_Final_LOWRES.pdf" TargetMode="External"/><Relationship Id="rId52" Type="http://schemas.openxmlformats.org/officeDocument/2006/relationships/hyperlink" Target="https://www.itu.int/md/T22-TSAG-230530-TD-GEN-0213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2-CL-INF-0001/en" TargetMode="External"/><Relationship Id="rId13" Type="http://schemas.openxmlformats.org/officeDocument/2006/relationships/hyperlink" Target="http://www.itu.int/md/S16-CL-C-0057/en" TargetMode="External"/><Relationship Id="rId18" Type="http://schemas.openxmlformats.org/officeDocument/2006/relationships/hyperlink" Target="https://www.itu.int/md/S21-CL-INF-0002/en" TargetMode="External"/><Relationship Id="rId39" Type="http://schemas.openxmlformats.org/officeDocument/2006/relationships/hyperlink" Target="https://unsceb.org/united-nations-system-white-paper-ai-governanc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30</TotalTime>
  <Pages>10</Pages>
  <Words>4203</Words>
  <Characters>32722</Characters>
  <Application>Microsoft Office Word</Application>
  <DocSecurity>0</DocSecurity>
  <Lines>272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36852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Elena Fedosova</cp:lastModifiedBy>
  <cp:revision>8</cp:revision>
  <cp:lastPrinted>2006-03-28T16:12:00Z</cp:lastPrinted>
  <dcterms:created xsi:type="dcterms:W3CDTF">2024-05-27T12:37:00Z</dcterms:created>
  <dcterms:modified xsi:type="dcterms:W3CDTF">2024-05-27T13:12:00Z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