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537D297D">
        <w:trPr>
          <w:cantSplit/>
          <w:trHeight w:val="23"/>
        </w:trPr>
        <w:tc>
          <w:tcPr>
            <w:tcW w:w="3969" w:type="dxa"/>
            <w:vMerge w:val="restart"/>
            <w:tcMar>
              <w:left w:w="0" w:type="dxa"/>
            </w:tcMar>
          </w:tcPr>
          <w:p w14:paraId="60A806D3" w14:textId="65EF18A2"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8E1BDC">
              <w:rPr>
                <w:b/>
              </w:rPr>
              <w:t>ADM 3</w:t>
            </w:r>
          </w:p>
        </w:tc>
        <w:tc>
          <w:tcPr>
            <w:tcW w:w="5245" w:type="dxa"/>
          </w:tcPr>
          <w:p w14:paraId="291AB2A2" w14:textId="74F4DF0C"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8E1BDC">
              <w:rPr>
                <w:b/>
              </w:rPr>
              <w:t>54</w:t>
            </w:r>
            <w:r>
              <w:rPr>
                <w:b/>
              </w:rPr>
              <w:t>-E</w:t>
            </w:r>
          </w:p>
        </w:tc>
      </w:tr>
      <w:tr w:rsidR="00AD3606" w:rsidRPr="00813E5E" w14:paraId="789B45BA" w14:textId="77777777" w:rsidTr="537D297D">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47BA8EC" w:rsidR="00AD3606" w:rsidRPr="00E85629" w:rsidRDefault="00E23379" w:rsidP="00AD3606">
            <w:pPr>
              <w:tabs>
                <w:tab w:val="left" w:pos="851"/>
              </w:tabs>
              <w:spacing w:before="0"/>
              <w:jc w:val="right"/>
              <w:rPr>
                <w:b/>
              </w:rPr>
            </w:pPr>
            <w:r>
              <w:rPr>
                <w:b/>
              </w:rPr>
              <w:t>8</w:t>
            </w:r>
            <w:r>
              <w:rPr>
                <w:b/>
              </w:rPr>
              <w:t xml:space="preserve"> </w:t>
            </w:r>
            <w:r w:rsidR="008E1BDC">
              <w:rPr>
                <w:b/>
              </w:rPr>
              <w:t>May</w:t>
            </w:r>
            <w:r w:rsidR="00AD3606">
              <w:rPr>
                <w:b/>
              </w:rPr>
              <w:t xml:space="preserve"> 202</w:t>
            </w:r>
            <w:r w:rsidR="00E23618">
              <w:rPr>
                <w:b/>
              </w:rPr>
              <w:t>4</w:t>
            </w:r>
          </w:p>
        </w:tc>
      </w:tr>
      <w:tr w:rsidR="00AD3606" w:rsidRPr="00813E5E" w14:paraId="58A84C4A" w14:textId="77777777" w:rsidTr="537D297D">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537D297D">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37D297D">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537D297D">
        <w:trPr>
          <w:cantSplit/>
        </w:trPr>
        <w:tc>
          <w:tcPr>
            <w:tcW w:w="9214" w:type="dxa"/>
            <w:gridSpan w:val="2"/>
            <w:tcMar>
              <w:left w:w="0" w:type="dxa"/>
            </w:tcMar>
          </w:tcPr>
          <w:p w14:paraId="47B91AA8" w14:textId="48916B7C" w:rsidR="00AD3606" w:rsidRPr="006850BE" w:rsidRDefault="00E74C23" w:rsidP="006850BE">
            <w:pPr>
              <w:pStyle w:val="Subtitle"/>
              <w:framePr w:hSpace="0" w:wrap="auto" w:xAlign="left" w:yAlign="inline"/>
            </w:pPr>
            <w:bookmarkStart w:id="9" w:name="dtitle1" w:colFirst="0" w:colLast="0"/>
            <w:bookmarkStart w:id="10" w:name="_Hlk166093182"/>
            <w:bookmarkEnd w:id="8"/>
            <w:r w:rsidRPr="00E74C23">
              <w:t>REPORT ON ESTABLISHING A GOVERNANCE STRUCTURE FOR CYBER SECURITY, ICT AND DATA/INFORMATION</w:t>
            </w:r>
            <w:bookmarkEnd w:id="10"/>
          </w:p>
        </w:tc>
      </w:tr>
      <w:tr w:rsidR="00AD3606" w:rsidRPr="00813E5E" w14:paraId="1F564D2D" w14:textId="77777777" w:rsidTr="537D297D">
        <w:trPr>
          <w:cantSplit/>
        </w:trPr>
        <w:tc>
          <w:tcPr>
            <w:tcW w:w="9214" w:type="dxa"/>
            <w:gridSpan w:val="2"/>
            <w:tcBorders>
              <w:top w:val="single" w:sz="4" w:space="0" w:color="auto"/>
              <w:bottom w:val="single" w:sz="4" w:space="0" w:color="auto"/>
            </w:tcBorders>
            <w:tcMar>
              <w:left w:w="0" w:type="dxa"/>
            </w:tcMar>
          </w:tcPr>
          <w:p w14:paraId="7AD73B47" w14:textId="5F543D1B" w:rsidR="00AD3606" w:rsidRPr="00F16BAB" w:rsidRDefault="00F16BAB" w:rsidP="00F16BAB">
            <w:pPr>
              <w:spacing w:before="160"/>
              <w:rPr>
                <w:b/>
                <w:bCs/>
                <w:sz w:val="26"/>
                <w:szCs w:val="26"/>
              </w:rPr>
            </w:pPr>
            <w:r w:rsidRPr="00F16BAB">
              <w:rPr>
                <w:b/>
                <w:bCs/>
                <w:sz w:val="26"/>
                <w:szCs w:val="26"/>
              </w:rPr>
              <w:t>Purpose</w:t>
            </w:r>
          </w:p>
          <w:p w14:paraId="2E09FE8B" w14:textId="0926DB26" w:rsidR="00AD3606" w:rsidRPr="00813E5E" w:rsidRDefault="00E74C23" w:rsidP="00F16BAB">
            <w:r w:rsidRPr="00E74C23">
              <w:t>This document provides the status of the implementation of IT/cybersecurity and data governance in ITU.</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03AA580F" w14:textId="10A486E5" w:rsidR="00E74C23" w:rsidRPr="00E74C23" w:rsidRDefault="00E74C23" w:rsidP="00E74C23">
            <w:r w:rsidRPr="00E74C23">
              <w:t>The Council is invited to note the report.</w:t>
            </w:r>
          </w:p>
          <w:p w14:paraId="0F8F1F03" w14:textId="3CB69CDC" w:rsidR="00F16BAB" w:rsidRDefault="00F16BAB" w:rsidP="00F16BAB">
            <w:pPr>
              <w:spacing w:before="160"/>
              <w:rPr>
                <w:b/>
                <w:bCs/>
                <w:sz w:val="26"/>
                <w:szCs w:val="26"/>
              </w:rPr>
            </w:pPr>
            <w:r>
              <w:rPr>
                <w:b/>
                <w:bCs/>
                <w:sz w:val="26"/>
                <w:szCs w:val="26"/>
              </w:rPr>
              <w:t>Relevant link</w:t>
            </w:r>
            <w:r w:rsidR="00C81318">
              <w:rPr>
                <w:b/>
                <w:bCs/>
                <w:sz w:val="26"/>
                <w:szCs w:val="26"/>
              </w:rPr>
              <w:t>(s)</w:t>
            </w:r>
            <w:r>
              <w:rPr>
                <w:b/>
                <w:bCs/>
                <w:sz w:val="26"/>
                <w:szCs w:val="26"/>
              </w:rPr>
              <w:t xml:space="preserve"> with the Strategic Plan</w:t>
            </w:r>
          </w:p>
          <w:p w14:paraId="00A55EA1" w14:textId="61EBA624" w:rsidR="00F16BAB" w:rsidRPr="00F16BAB" w:rsidRDefault="22731799" w:rsidP="00F16BAB">
            <w:r w:rsidRPr="00E23379">
              <w:t xml:space="preserve">Excellence in human resources and </w:t>
            </w:r>
            <w:r w:rsidR="5C29D880" w:rsidRPr="00E23379">
              <w:t>or</w:t>
            </w:r>
            <w:r w:rsidR="00360148" w:rsidRPr="00E23379">
              <w:t>ganizational</w:t>
            </w:r>
            <w:r w:rsidR="4831B168" w:rsidRPr="00E23379">
              <w:t xml:space="preserve"> innovation</w:t>
            </w:r>
            <w:r w:rsidR="00360148">
              <w:t>.</w:t>
            </w:r>
          </w:p>
          <w:p w14:paraId="632C043A" w14:textId="14112DC4" w:rsidR="00F16BAB" w:rsidRDefault="00F16BAB" w:rsidP="00F16BAB">
            <w:pPr>
              <w:spacing w:before="160"/>
              <w:rPr>
                <w:b/>
                <w:bCs/>
                <w:sz w:val="26"/>
                <w:szCs w:val="26"/>
              </w:rPr>
            </w:pPr>
            <w:r>
              <w:rPr>
                <w:b/>
                <w:bCs/>
                <w:sz w:val="26"/>
                <w:szCs w:val="26"/>
              </w:rPr>
              <w:t>Financial implications</w:t>
            </w:r>
          </w:p>
          <w:p w14:paraId="6306F15B" w14:textId="21AEC337" w:rsidR="00E74C23" w:rsidRPr="00484009" w:rsidRDefault="00E74C23" w:rsidP="00E74C23">
            <w:r w:rsidRPr="00E74C23">
              <w:t xml:space="preserve">Financial </w:t>
            </w:r>
            <w:r w:rsidR="008E1BDC">
              <w:t>i</w:t>
            </w:r>
            <w:r w:rsidRPr="00E74C23">
              <w:t xml:space="preserve">mplications are included in document </w:t>
            </w:r>
            <w:hyperlink r:id="rId11" w:history="1">
              <w:r w:rsidRPr="008E1BDC">
                <w:rPr>
                  <w:rStyle w:val="Hyperlink"/>
                </w:rPr>
                <w:t>C24/52</w:t>
              </w:r>
            </w:hyperlink>
            <w:r w:rsidRPr="00E74C23">
              <w:t xml:space="preserve"> and the funding of which is proposed in </w:t>
            </w:r>
            <w:r w:rsidR="008E1BDC">
              <w:t>d</w:t>
            </w:r>
            <w:r w:rsidRPr="00E74C23">
              <w:t xml:space="preserve">ocument </w:t>
            </w:r>
            <w:hyperlink r:id="rId12" w:history="1">
              <w:r w:rsidRPr="008E1BDC">
                <w:rPr>
                  <w:rStyle w:val="Hyperlink"/>
                </w:rPr>
                <w:t>C24/19</w:t>
              </w:r>
            </w:hyperlink>
            <w:r w:rsidRPr="00E74C23">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F247CE8" w:rsidR="00AD3606" w:rsidRPr="00E23379" w:rsidRDefault="008E1BDC" w:rsidP="00B642C2">
            <w:pPr>
              <w:spacing w:after="160"/>
              <w:rPr>
                <w:i/>
                <w:iCs/>
                <w:sz w:val="22"/>
                <w:szCs w:val="22"/>
              </w:rPr>
            </w:pPr>
            <w:r w:rsidRPr="00E23379">
              <w:rPr>
                <w:i/>
                <w:iCs/>
                <w:sz w:val="22"/>
                <w:szCs w:val="22"/>
              </w:rPr>
              <w:t xml:space="preserve">CWG-FHR documents </w:t>
            </w:r>
            <w:hyperlink r:id="rId13" w:history="1">
              <w:r w:rsidR="00E74C23" w:rsidRPr="00E23379">
                <w:rPr>
                  <w:rStyle w:val="Hyperlink"/>
                  <w:rFonts w:cstheme="minorHAnsi"/>
                  <w:i/>
                  <w:iCs/>
                  <w:sz w:val="22"/>
                  <w:szCs w:val="22"/>
                  <w:lang w:val="en-US"/>
                </w:rPr>
                <w:t>CWG-FHR-16/</w:t>
              </w:r>
              <w:r w:rsidR="00B642C2" w:rsidRPr="00E23379">
                <w:rPr>
                  <w:rStyle w:val="Hyperlink"/>
                  <w:rFonts w:cstheme="minorHAnsi"/>
                  <w:i/>
                  <w:iCs/>
                  <w:sz w:val="22"/>
                  <w:szCs w:val="22"/>
                  <w:lang w:val="en-US"/>
                </w:rPr>
                <w:t>6(Rev.1)</w:t>
              </w:r>
            </w:hyperlink>
            <w:r w:rsidR="00E74C23" w:rsidRPr="00E23379">
              <w:rPr>
                <w:rFonts w:cstheme="minorHAnsi"/>
                <w:i/>
                <w:iCs/>
                <w:sz w:val="22"/>
                <w:szCs w:val="22"/>
                <w:lang w:val="en-US"/>
              </w:rPr>
              <w:t xml:space="preserve">, </w:t>
            </w:r>
            <w:hyperlink r:id="rId14" w:history="1">
              <w:r w:rsidR="00E74C23" w:rsidRPr="00E23379">
                <w:rPr>
                  <w:rStyle w:val="Hyperlink"/>
                  <w:rFonts w:cstheme="minorHAnsi"/>
                  <w:i/>
                  <w:iCs/>
                  <w:sz w:val="22"/>
                  <w:szCs w:val="22"/>
                  <w:lang w:val="en-US"/>
                </w:rPr>
                <w:t>CWG-FHR-17/5</w:t>
              </w:r>
            </w:hyperlink>
            <w:r w:rsidR="00E74C23" w:rsidRPr="00E23379">
              <w:rPr>
                <w:rFonts w:cstheme="minorHAnsi"/>
                <w:i/>
                <w:iCs/>
                <w:sz w:val="22"/>
                <w:szCs w:val="22"/>
                <w:lang w:val="en-US"/>
              </w:rPr>
              <w:t>,</w:t>
            </w:r>
            <w:r w:rsidRPr="00E23379">
              <w:rPr>
                <w:rFonts w:cstheme="minorHAnsi"/>
                <w:i/>
                <w:iCs/>
                <w:sz w:val="22"/>
                <w:szCs w:val="22"/>
                <w:lang w:val="en-US"/>
              </w:rPr>
              <w:t xml:space="preserve"> Council documents</w:t>
            </w:r>
            <w:r w:rsidRPr="00E23379">
              <w:rPr>
                <w:i/>
                <w:iCs/>
                <w:sz w:val="22"/>
                <w:szCs w:val="22"/>
              </w:rPr>
              <w:t xml:space="preserve"> </w:t>
            </w:r>
            <w:hyperlink r:id="rId15" w:history="1">
              <w:r w:rsidRPr="00E23379">
                <w:rPr>
                  <w:rStyle w:val="Hyperlink"/>
                  <w:i/>
                  <w:iCs/>
                  <w:sz w:val="22"/>
                  <w:szCs w:val="22"/>
                </w:rPr>
                <w:t>C22/57</w:t>
              </w:r>
            </w:hyperlink>
            <w:r w:rsidRPr="00E23379">
              <w:rPr>
                <w:i/>
                <w:iCs/>
                <w:sz w:val="22"/>
                <w:szCs w:val="22"/>
              </w:rPr>
              <w:t>,</w:t>
            </w:r>
            <w:r w:rsidR="00E74C23" w:rsidRPr="00E23379">
              <w:rPr>
                <w:rFonts w:cstheme="minorHAnsi"/>
                <w:i/>
                <w:iCs/>
                <w:sz w:val="22"/>
                <w:szCs w:val="22"/>
                <w:lang w:val="en-US"/>
              </w:rPr>
              <w:t xml:space="preserve"> </w:t>
            </w:r>
            <w:hyperlink r:id="rId16" w:history="1">
              <w:r w:rsidR="00E74C23" w:rsidRPr="00E23379">
                <w:rPr>
                  <w:rStyle w:val="Hyperlink"/>
                  <w:i/>
                  <w:iCs/>
                  <w:sz w:val="22"/>
                  <w:szCs w:val="22"/>
                </w:rPr>
                <w:t>C23/22</w:t>
              </w:r>
            </w:hyperlink>
            <w:r w:rsidR="00E74C23" w:rsidRPr="00E23379">
              <w:rPr>
                <w:i/>
                <w:iCs/>
                <w:sz w:val="22"/>
                <w:szCs w:val="22"/>
              </w:rPr>
              <w:t xml:space="preserve">, </w:t>
            </w:r>
            <w:hyperlink r:id="rId17" w:history="1">
              <w:r w:rsidR="00E74C23" w:rsidRPr="00E23379">
                <w:rPr>
                  <w:rStyle w:val="Hyperlink"/>
                  <w:i/>
                  <w:iCs/>
                  <w:sz w:val="22"/>
                  <w:szCs w:val="22"/>
                </w:rPr>
                <w:t>C23/52</w:t>
              </w:r>
            </w:hyperlink>
            <w:r w:rsidR="00E74C23" w:rsidRPr="00E23379">
              <w:rPr>
                <w:i/>
                <w:iCs/>
                <w:sz w:val="22"/>
                <w:szCs w:val="22"/>
              </w:rPr>
              <w:t xml:space="preserve">, </w:t>
            </w:r>
            <w:hyperlink r:id="rId18" w:history="1">
              <w:r w:rsidR="00E74C23" w:rsidRPr="00E23379">
                <w:rPr>
                  <w:rStyle w:val="Hyperlink"/>
                  <w:i/>
                  <w:iCs/>
                  <w:sz w:val="22"/>
                  <w:szCs w:val="22"/>
                </w:rPr>
                <w:t>C23/INF/11</w:t>
              </w:r>
            </w:hyperlink>
            <w:r w:rsidR="00E74C23" w:rsidRPr="00E23379">
              <w:rPr>
                <w:i/>
                <w:iCs/>
                <w:sz w:val="22"/>
                <w:szCs w:val="22"/>
              </w:rPr>
              <w:t xml:space="preserve">, </w:t>
            </w:r>
            <w:hyperlink r:id="rId19" w:history="1">
              <w:r w:rsidR="00E74C23" w:rsidRPr="00E23379">
                <w:rPr>
                  <w:rStyle w:val="Hyperlink"/>
                  <w:i/>
                  <w:iCs/>
                  <w:sz w:val="22"/>
                  <w:szCs w:val="22"/>
                </w:rPr>
                <w:t>C24/52</w:t>
              </w:r>
            </w:hyperlink>
            <w:r w:rsidR="00E74C23" w:rsidRPr="00E23379">
              <w:rPr>
                <w:i/>
                <w:iCs/>
                <w:sz w:val="22"/>
                <w:szCs w:val="22"/>
              </w:rPr>
              <w:t xml:space="preserve">, </w:t>
            </w:r>
            <w:hyperlink r:id="rId20" w:history="1">
              <w:r w:rsidR="00E74C23" w:rsidRPr="00E23379">
                <w:rPr>
                  <w:rStyle w:val="Hyperlink"/>
                  <w:i/>
                  <w:iCs/>
                  <w:sz w:val="22"/>
                  <w:szCs w:val="22"/>
                </w:rPr>
                <w:t>C24/19</w:t>
              </w:r>
            </w:hyperlink>
            <w:r w:rsidR="00E74C23" w:rsidRPr="00E23379">
              <w:rPr>
                <w:i/>
                <w:iCs/>
                <w:sz w:val="22"/>
                <w:szCs w:val="22"/>
              </w:rPr>
              <w:t xml:space="preserve">. </w:t>
            </w:r>
            <w:hyperlink r:id="rId21" w:history="1">
              <w:r w:rsidR="00E74C23" w:rsidRPr="00E23379">
                <w:rPr>
                  <w:rStyle w:val="Hyperlink"/>
                  <w:i/>
                  <w:iCs/>
                  <w:sz w:val="22"/>
                  <w:szCs w:val="22"/>
                </w:rPr>
                <w:t>JIU/REP/2021/3</w:t>
              </w:r>
            </w:hyperlink>
            <w:r w:rsidR="00E74C23" w:rsidRPr="00E23379">
              <w:rPr>
                <w:rStyle w:val="Hyperlink"/>
                <w:i/>
                <w:iCs/>
                <w:sz w:val="22"/>
                <w:szCs w:val="22"/>
              </w:rPr>
              <w:t>:</w:t>
            </w:r>
            <w:r w:rsidR="00E74C23" w:rsidRPr="00E23379">
              <w:rPr>
                <w:i/>
                <w:iCs/>
                <w:sz w:val="22"/>
                <w:szCs w:val="22"/>
              </w:rPr>
              <w:t xml:space="preserve"> Cybersecurity in the United Nations system organizations</w:t>
            </w:r>
            <w:r w:rsidR="00B642C2" w:rsidRPr="00E23379">
              <w:rPr>
                <w:i/>
                <w:iCs/>
                <w:sz w:val="22"/>
                <w:szCs w:val="22"/>
              </w:rPr>
              <w:t>.</w:t>
            </w:r>
          </w:p>
        </w:tc>
      </w:tr>
    </w:tbl>
    <w:p w14:paraId="4CDB8B60" w14:textId="2A4D9B15" w:rsidR="00E227F3" w:rsidRPr="00E74C2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E74C2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74C23">
        <w:br w:type="page"/>
      </w:r>
    </w:p>
    <w:bookmarkEnd w:id="5"/>
    <w:bookmarkEnd w:id="11"/>
    <w:p w14:paraId="7DC145B9" w14:textId="29A07987" w:rsidR="00B642C2" w:rsidRPr="00975946" w:rsidRDefault="00B642C2" w:rsidP="00E23379">
      <w:pPr>
        <w:tabs>
          <w:tab w:val="clear" w:pos="567"/>
          <w:tab w:val="clear" w:pos="1134"/>
          <w:tab w:val="clear" w:pos="1701"/>
          <w:tab w:val="clear" w:pos="2268"/>
          <w:tab w:val="clear" w:pos="2835"/>
        </w:tabs>
        <w:overflowPunct/>
        <w:autoSpaceDE/>
        <w:autoSpaceDN/>
        <w:adjustRightInd/>
        <w:spacing w:after="120"/>
        <w:textAlignment w:val="auto"/>
        <w:rPr>
          <w:b/>
          <w:bCs/>
          <w:szCs w:val="24"/>
        </w:rPr>
      </w:pPr>
      <w:r w:rsidRPr="00975946">
        <w:rPr>
          <w:b/>
          <w:bCs/>
          <w:szCs w:val="24"/>
        </w:rPr>
        <w:lastRenderedPageBreak/>
        <w:t>Background</w:t>
      </w:r>
    </w:p>
    <w:p w14:paraId="48536A0B" w14:textId="77190AA7" w:rsidR="00B642C2" w:rsidRP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r w:rsidRPr="00B642C2">
        <w:t>The ICT Capital Fund, initially established by Council Resolution 1173 in 2001, serves as an internal resource within the secretariat, earmarked for financing the enhancement of existing ICT systems or the development and acquisition of new ones. Governed by Service Order 11/06, the fund has operated under the purview of the Information and Communication Technology Committee (ICTC). The primary responsibility of the ICTC has been to ensure that ICT infrastructure, applications, and support services align harmoniously with ITU</w:t>
      </w:r>
      <w:r>
        <w:t>’</w:t>
      </w:r>
      <w:r w:rsidRPr="00B642C2">
        <w:t>s strategic objectives.</w:t>
      </w:r>
    </w:p>
    <w:p w14:paraId="08DD9982" w14:textId="4BDE6D8F" w:rsidR="00B642C2" w:rsidRP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r w:rsidRPr="00B642C2">
        <w:t>However, recognizing the evolving landscape of IT, cybersecurity, and data governance, the absence of dedicated structures within ITU determined the Independent Management Advisory Committee to underscore the necessity of establishing such frameworks. This recommendation, articulated in the 12th Annual Report presented to Council</w:t>
      </w:r>
      <w:r>
        <w:t>-</w:t>
      </w:r>
      <w:r w:rsidRPr="00B642C2">
        <w:t>23</w:t>
      </w:r>
      <w:r>
        <w:t xml:space="preserve"> (</w:t>
      </w:r>
      <w:hyperlink r:id="rId22" w:history="1">
        <w:r w:rsidRPr="00B642C2">
          <w:rPr>
            <w:rStyle w:val="Hyperlink"/>
          </w:rPr>
          <w:t>C23/22</w:t>
        </w:r>
      </w:hyperlink>
      <w:r>
        <w:t>)</w:t>
      </w:r>
      <w:r w:rsidRPr="00B642C2">
        <w:t>, emphasized the imperative for clear decision-making mandates, robust accountability mechanisms, and incentives for effective delivery.</w:t>
      </w:r>
    </w:p>
    <w:p w14:paraId="72A1AD71" w14:textId="2CB16D25" w:rsidR="00B642C2" w:rsidRP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r w:rsidRPr="00B642C2">
        <w:t xml:space="preserve">Moreover, the Accountability Framework, as outlined in document </w:t>
      </w:r>
      <w:hyperlink r:id="rId23" w:history="1">
        <w:r w:rsidRPr="00B642C2">
          <w:rPr>
            <w:rStyle w:val="Hyperlink"/>
          </w:rPr>
          <w:t>C22/57</w:t>
        </w:r>
      </w:hyperlink>
      <w:r w:rsidRPr="00B642C2">
        <w:t>, underscored an important role of developing a comprehensive organization-wide data classification framework to streamline operations effectively.</w:t>
      </w:r>
    </w:p>
    <w:p w14:paraId="53E41C59" w14:textId="244AA0F9" w:rsidR="00B642C2" w:rsidRP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r w:rsidRPr="00B642C2">
        <w:t>Consequently, in response to these imperatives, ITU management resolved to restructure the existing ICTC, renaming it as the ICT Governance Committee (ICTGC). This transformation involves expanding the committee</w:t>
      </w:r>
      <w:r>
        <w:t>’</w:t>
      </w:r>
      <w:r w:rsidRPr="00B642C2">
        <w:t>s mandate to encompass IT, cybersecurity, and data governance. The revised terms of reference for the ICTGC</w:t>
      </w:r>
      <w:r w:rsidR="00360148">
        <w:t>, which are being drafted into a Service Order,</w:t>
      </w:r>
      <w:r w:rsidRPr="00B642C2">
        <w:t xml:space="preserve"> include additional responsibilities aimed at facilitating the fulfilment of its extended mandate.</w:t>
      </w:r>
    </w:p>
    <w:p w14:paraId="00DEBCC6" w14:textId="06C66C82" w:rsidR="00B642C2" w:rsidRP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r w:rsidRPr="00B642C2">
        <w:t>The guidance of the ICTGC, with its new governance</w:t>
      </w:r>
      <w:r w:rsidR="00360148">
        <w:t>-</w:t>
      </w:r>
      <w:r w:rsidRPr="00B642C2">
        <w:t xml:space="preserve">related objectives, will contribute to the </w:t>
      </w:r>
      <w:r>
        <w:t>s</w:t>
      </w:r>
      <w:r w:rsidRPr="00B642C2">
        <w:t>ecretariat</w:t>
      </w:r>
      <w:r>
        <w:t>’</w:t>
      </w:r>
      <w:r w:rsidRPr="00B642C2">
        <w:t>s development and execution of the ITU Transformation Roadmap</w:t>
      </w:r>
      <w:r>
        <w:t xml:space="preserve"> (</w:t>
      </w:r>
      <w:hyperlink r:id="rId24" w:history="1">
        <w:r w:rsidRPr="00B642C2">
          <w:rPr>
            <w:rStyle w:val="Hyperlink"/>
          </w:rPr>
          <w:t>C24/73</w:t>
        </w:r>
      </w:hyperlink>
      <w:r>
        <w:t>)</w:t>
      </w:r>
      <w:r w:rsidRPr="00B642C2">
        <w:t>, ensuring that effective oversight and decision making are applied to key organizational requirement within the committee</w:t>
      </w:r>
      <w:r>
        <w:t>’</w:t>
      </w:r>
      <w:r w:rsidRPr="00B642C2">
        <w:t>s scope of work.</w:t>
      </w:r>
    </w:p>
    <w:p w14:paraId="4926B255" w14:textId="7D991162" w:rsid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proofErr w:type="gramStart"/>
      <w:r w:rsidRPr="00B642C2">
        <w:t>In particular, initiatives</w:t>
      </w:r>
      <w:proofErr w:type="gramEnd"/>
      <w:r w:rsidRPr="00B642C2">
        <w:t xml:space="preserve"> pertaining to</w:t>
      </w:r>
      <w:r w:rsidR="00AD056D">
        <w:t xml:space="preserve"> the</w:t>
      </w:r>
      <w:r w:rsidRPr="00B642C2">
        <w:t xml:space="preserve"> Digital Transformation will undergo review</w:t>
      </w:r>
      <w:r>
        <w:t xml:space="preserve"> of the committee.</w:t>
      </w:r>
    </w:p>
    <w:p w14:paraId="01B6985A" w14:textId="77777777" w:rsidR="00B642C2" w:rsidRP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rPr>
          <w:b/>
          <w:bCs/>
        </w:rPr>
      </w:pPr>
      <w:r w:rsidRPr="00B642C2">
        <w:rPr>
          <w:b/>
          <w:bCs/>
        </w:rPr>
        <w:t>Next steps</w:t>
      </w:r>
    </w:p>
    <w:p w14:paraId="212E2F9B" w14:textId="743CE32B" w:rsidR="00B642C2" w:rsidRDefault="00B642C2" w:rsidP="00E23379">
      <w:pPr>
        <w:tabs>
          <w:tab w:val="clear" w:pos="567"/>
          <w:tab w:val="clear" w:pos="1134"/>
          <w:tab w:val="clear" w:pos="1701"/>
          <w:tab w:val="clear" w:pos="2268"/>
          <w:tab w:val="clear" w:pos="2835"/>
        </w:tabs>
        <w:overflowPunct/>
        <w:autoSpaceDE/>
        <w:autoSpaceDN/>
        <w:adjustRightInd/>
        <w:spacing w:after="120"/>
        <w:jc w:val="both"/>
        <w:textAlignment w:val="auto"/>
      </w:pPr>
      <w:r>
        <w:t>The secretariat will continue to monitor the performance of the ICTGC as a contributor to the overall effectiveness of ITU’s ICT infrastructure and services</w:t>
      </w:r>
      <w:r w:rsidR="00AD056D">
        <w:t>.</w:t>
      </w:r>
    </w:p>
    <w:p w14:paraId="4E33B92F" w14:textId="52206ABC" w:rsidR="00E23379" w:rsidRPr="00B642C2" w:rsidRDefault="00E23379" w:rsidP="00E23379">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w:t>
      </w:r>
    </w:p>
    <w:sectPr w:rsidR="00E23379" w:rsidRPr="00B642C2"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A3AE3CA" w:rsidR="00EE49E8" w:rsidRDefault="00EE49E8" w:rsidP="00EE49E8">
          <w:pPr>
            <w:pStyle w:val="Header"/>
            <w:jc w:val="left"/>
            <w:rPr>
              <w:noProof/>
            </w:rPr>
          </w:pPr>
        </w:p>
      </w:tc>
      <w:tc>
        <w:tcPr>
          <w:tcW w:w="8261" w:type="dxa"/>
        </w:tcPr>
        <w:p w14:paraId="2D49E76E" w14:textId="4D295BF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B642C2">
            <w:rPr>
              <w:bCs/>
            </w:rPr>
            <w:t>54</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E2337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3849AB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8E1BDC">
            <w:rPr>
              <w:bCs/>
            </w:rPr>
            <w:t>54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9B19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0148"/>
    <w:rsid w:val="00361465"/>
    <w:rsid w:val="0038418B"/>
    <w:rsid w:val="003877F5"/>
    <w:rsid w:val="003942D4"/>
    <w:rsid w:val="003958A8"/>
    <w:rsid w:val="003C2533"/>
    <w:rsid w:val="003D5A7F"/>
    <w:rsid w:val="004016E2"/>
    <w:rsid w:val="0040435A"/>
    <w:rsid w:val="00416A24"/>
    <w:rsid w:val="00431D9E"/>
    <w:rsid w:val="00433CE8"/>
    <w:rsid w:val="00434A5C"/>
    <w:rsid w:val="004544D9"/>
    <w:rsid w:val="00472BAD"/>
    <w:rsid w:val="00481B1F"/>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410D"/>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2D09"/>
    <w:rsid w:val="008C7E27"/>
    <w:rsid w:val="008E1BDC"/>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D056D"/>
    <w:rsid w:val="00AD15B3"/>
    <w:rsid w:val="00AD3606"/>
    <w:rsid w:val="00AD4A3D"/>
    <w:rsid w:val="00AF6E49"/>
    <w:rsid w:val="00B04A67"/>
    <w:rsid w:val="00B0583C"/>
    <w:rsid w:val="00B40A81"/>
    <w:rsid w:val="00B44910"/>
    <w:rsid w:val="00B642C2"/>
    <w:rsid w:val="00B72267"/>
    <w:rsid w:val="00B76EB6"/>
    <w:rsid w:val="00B7737B"/>
    <w:rsid w:val="00B824C8"/>
    <w:rsid w:val="00B84B9D"/>
    <w:rsid w:val="00BC251A"/>
    <w:rsid w:val="00BD032B"/>
    <w:rsid w:val="00BE2640"/>
    <w:rsid w:val="00C01189"/>
    <w:rsid w:val="00C374DE"/>
    <w:rsid w:val="00C47AD4"/>
    <w:rsid w:val="00C52D81"/>
    <w:rsid w:val="00C55198"/>
    <w:rsid w:val="00C81318"/>
    <w:rsid w:val="00CA6393"/>
    <w:rsid w:val="00CB18FF"/>
    <w:rsid w:val="00CD0C08"/>
    <w:rsid w:val="00CE03FB"/>
    <w:rsid w:val="00CE433C"/>
    <w:rsid w:val="00CF0161"/>
    <w:rsid w:val="00CF33F3"/>
    <w:rsid w:val="00D06183"/>
    <w:rsid w:val="00D22C42"/>
    <w:rsid w:val="00D65041"/>
    <w:rsid w:val="00DB1936"/>
    <w:rsid w:val="00DB384B"/>
    <w:rsid w:val="00DF0189"/>
    <w:rsid w:val="00DF4938"/>
    <w:rsid w:val="00E06FD5"/>
    <w:rsid w:val="00E10E80"/>
    <w:rsid w:val="00E124F0"/>
    <w:rsid w:val="00E227F3"/>
    <w:rsid w:val="00E23379"/>
    <w:rsid w:val="00E23618"/>
    <w:rsid w:val="00E545C6"/>
    <w:rsid w:val="00E60F04"/>
    <w:rsid w:val="00E65B24"/>
    <w:rsid w:val="00E74C23"/>
    <w:rsid w:val="00E854E4"/>
    <w:rsid w:val="00E86DBF"/>
    <w:rsid w:val="00EB0D6F"/>
    <w:rsid w:val="00EB2232"/>
    <w:rsid w:val="00EC5337"/>
    <w:rsid w:val="00EE49E8"/>
    <w:rsid w:val="00F16BAB"/>
    <w:rsid w:val="00F2150A"/>
    <w:rsid w:val="00F231D8"/>
    <w:rsid w:val="00F448A1"/>
    <w:rsid w:val="00F44C00"/>
    <w:rsid w:val="00F45D2C"/>
    <w:rsid w:val="00F46C5F"/>
    <w:rsid w:val="00F632C0"/>
    <w:rsid w:val="00F74710"/>
    <w:rsid w:val="00F94A63"/>
    <w:rsid w:val="00FA1C28"/>
    <w:rsid w:val="00FB1279"/>
    <w:rsid w:val="00FB6B76"/>
    <w:rsid w:val="00FB7596"/>
    <w:rsid w:val="00FE4077"/>
    <w:rsid w:val="00FE500D"/>
    <w:rsid w:val="00FE77D2"/>
    <w:rsid w:val="1E654A26"/>
    <w:rsid w:val="22731799"/>
    <w:rsid w:val="4831B168"/>
    <w:rsid w:val="537D297D"/>
    <w:rsid w:val="5C29D880"/>
    <w:rsid w:val="6C9F9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E1BDC"/>
    <w:rPr>
      <w:color w:val="605E5C"/>
      <w:shd w:val="clear" w:color="auto" w:fill="E1DFDD"/>
    </w:rPr>
  </w:style>
  <w:style w:type="paragraph" w:styleId="Revision">
    <w:name w:val="Revision"/>
    <w:hidden/>
    <w:uiPriority w:val="99"/>
    <w:semiHidden/>
    <w:rsid w:val="005C410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WGFHR16-C-0006/en" TargetMode="External"/><Relationship Id="rId18" Type="http://schemas.openxmlformats.org/officeDocument/2006/relationships/hyperlink" Target="https://www.itu.int/md/S23-CL-INF-0011/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jiu.org/sites/www.unjiu.org/files/jiu_rep_2021_3_english.pdf" TargetMode="External"/><Relationship Id="rId7" Type="http://schemas.openxmlformats.org/officeDocument/2006/relationships/settings" Target="settings.xml"/><Relationship Id="rId12" Type="http://schemas.openxmlformats.org/officeDocument/2006/relationships/hyperlink" Target="https://www.itu.int/md/S24-CL-C-0019/en" TargetMode="External"/><Relationship Id="rId17" Type="http://schemas.openxmlformats.org/officeDocument/2006/relationships/hyperlink" Target="https://www.itu.int/md/S23-CL-C-0052/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3-CL-C-0022/en" TargetMode="External"/><Relationship Id="rId20" Type="http://schemas.openxmlformats.org/officeDocument/2006/relationships/hyperlink" Target="https://www.itu.int/md/S24-CL-C-001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52/en" TargetMode="External"/><Relationship Id="rId24" Type="http://schemas.openxmlformats.org/officeDocument/2006/relationships/hyperlink" Target="https://www.itu.int/md/S24-CL-C-0073/en" TargetMode="External"/><Relationship Id="rId5" Type="http://schemas.openxmlformats.org/officeDocument/2006/relationships/numbering" Target="numbering.xml"/><Relationship Id="rId15" Type="http://schemas.openxmlformats.org/officeDocument/2006/relationships/hyperlink" Target="https://www.itu.int/md/S22-CL-C-0057/en" TargetMode="External"/><Relationship Id="rId23" Type="http://schemas.openxmlformats.org/officeDocument/2006/relationships/hyperlink" Target="https://www.itu.int/md/S22-CL-C-0057/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L-C-005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WGFHR17-C-0005/en" TargetMode="External"/><Relationship Id="rId22" Type="http://schemas.openxmlformats.org/officeDocument/2006/relationships/hyperlink" Target="https://www.itu.int/md/S23-CL-C-0022/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81573-533A-47C6-AC5E-E08FB6783CE2}">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D631A5F-DC49-4FD0-91E8-5967EE98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A8AD-ADB3-4215-A841-E595D6CEAEF6}">
  <ds:schemaRefs>
    <ds:schemaRef ds:uri="http://schemas.microsoft.com/office/2006/documentManagement/types"/>
    <ds:schemaRef ds:uri="http://purl.org/dc/terms/"/>
    <ds:schemaRef ds:uri="http://purl.org/dc/elements/1.1/"/>
    <ds:schemaRef ds:uri="http://www.w3.org/XML/1998/namespace"/>
    <ds:schemaRef ds:uri="http://purl.org/dc/dcmitype/"/>
    <ds:schemaRef ds:uri="98b04e1e-0540-4930-9623-702d547a0a33"/>
    <ds:schemaRef ds:uri="085b46e1-7f22-4e81-9ba5-912dc5a5fd9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PE_Council23.dotx</Template>
  <TotalTime>5</TotalTime>
  <Pages>2</Pages>
  <Words>423</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establishing a governance structure for cyber security, ICT and data/information</dc:title>
  <dc:subject>Council 2024</dc:subject>
  <dc:creator>author</dc:creator>
  <cp:keywords>C2024, C24, Council-24</cp:keywords>
  <dc:description/>
  <cp:lastModifiedBy>Brouard, Ricarda</cp:lastModifiedBy>
  <cp:revision>3</cp:revision>
  <cp:lastPrinted>2000-07-18T13:30:00Z</cp:lastPrinted>
  <dcterms:created xsi:type="dcterms:W3CDTF">2024-05-08T18:36:00Z</dcterms:created>
  <dcterms:modified xsi:type="dcterms:W3CDTF">2024-05-08T18:41:00Z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