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3BBCCCB2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7C5353F" w14:textId="67290A2C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19468E">
              <w:rPr>
                <w:b/>
              </w:rPr>
              <w:t>ADM 3</w:t>
            </w:r>
          </w:p>
        </w:tc>
        <w:tc>
          <w:tcPr>
            <w:tcW w:w="5245" w:type="dxa"/>
          </w:tcPr>
          <w:p w14:paraId="73987B3D" w14:textId="05BF4C43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19468E">
              <w:rPr>
                <w:rFonts w:hint="eastAsia"/>
                <w:b/>
                <w:lang w:val="fr-CH" w:eastAsia="zh-CN"/>
              </w:rPr>
              <w:t>54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4EA9F627" w14:textId="77777777" w:rsidTr="00E31DCE">
        <w:trPr>
          <w:cantSplit/>
        </w:trPr>
        <w:tc>
          <w:tcPr>
            <w:tcW w:w="3969" w:type="dxa"/>
            <w:vMerge/>
          </w:tcPr>
          <w:p w14:paraId="5505941E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210195D" w14:textId="6008DD16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19468E">
              <w:rPr>
                <w:rFonts w:hint="eastAsia"/>
                <w:b/>
                <w:lang w:eastAsia="zh-CN"/>
              </w:rPr>
              <w:t>5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19468E">
              <w:rPr>
                <w:rFonts w:hint="eastAsia"/>
                <w:b/>
                <w:lang w:eastAsia="zh-CN"/>
              </w:rPr>
              <w:t>8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1EE5F465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955093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4E5A2A" w14:textId="0C214338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19468E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5C6C4A4D" w14:textId="77777777" w:rsidTr="00E31DCE">
        <w:trPr>
          <w:cantSplit/>
          <w:trHeight w:val="23"/>
        </w:trPr>
        <w:tc>
          <w:tcPr>
            <w:tcW w:w="3969" w:type="dxa"/>
          </w:tcPr>
          <w:p w14:paraId="76DD9956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E505F7F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4C17261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16B4A88" w14:textId="77777777" w:rsidR="00E24D59" w:rsidRPr="000A3398" w:rsidRDefault="008F64AD" w:rsidP="00E24D59">
            <w:pPr>
              <w:pStyle w:val="Source"/>
              <w:jc w:val="left"/>
              <w:rPr>
                <w:sz w:val="32"/>
                <w:szCs w:val="32"/>
                <w:lang w:eastAsia="zh-CN"/>
              </w:rPr>
            </w:pPr>
            <w:bookmarkStart w:id="5" w:name="dsource" w:colFirst="0" w:colLast="0"/>
            <w:bookmarkEnd w:id="4"/>
            <w:r w:rsidRPr="000A3398">
              <w:rPr>
                <w:rFonts w:cstheme="minorHAnsi" w:hint="eastAsia"/>
                <w:sz w:val="32"/>
                <w:szCs w:val="32"/>
                <w:lang w:val="ru-RU" w:eastAsia="zh-CN"/>
              </w:rPr>
              <w:t>秘书长的报告</w:t>
            </w:r>
          </w:p>
        </w:tc>
      </w:tr>
      <w:tr w:rsidR="00E24D59" w:rsidRPr="00813E5E" w14:paraId="0607D57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F1CFC4D" w14:textId="00228321" w:rsidR="00E24D59" w:rsidRPr="000A3398" w:rsidRDefault="00D14644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sz w:val="32"/>
                <w:szCs w:val="32"/>
                <w:lang w:eastAsia="zh-CN"/>
              </w:rPr>
            </w:pPr>
            <w:bookmarkStart w:id="6" w:name="dtitle1" w:colFirst="0" w:colLast="0"/>
            <w:bookmarkEnd w:id="5"/>
            <w:r w:rsidRPr="000A3398">
              <w:rPr>
                <w:rFonts w:eastAsia="SimSun" w:cs="Calibri" w:hint="eastAsia"/>
                <w:sz w:val="32"/>
                <w:szCs w:val="32"/>
                <w:lang w:eastAsia="zh-CN"/>
              </w:rPr>
              <w:t>有关建立网络安全、</w:t>
            </w:r>
            <w:r w:rsidR="00872915" w:rsidRPr="000A3398">
              <w:rPr>
                <w:rFonts w:eastAsia="SimSun" w:cs="Calibri" w:hint="eastAsia"/>
                <w:sz w:val="32"/>
                <w:szCs w:val="32"/>
                <w:lang w:eastAsia="zh-CN"/>
              </w:rPr>
              <w:t>信息通信技术（</w:t>
            </w:r>
            <w:r w:rsidRPr="000A3398">
              <w:rPr>
                <w:rFonts w:eastAsia="SimSun" w:cs="Calibri" w:hint="eastAsia"/>
                <w:sz w:val="32"/>
                <w:szCs w:val="32"/>
                <w:lang w:eastAsia="zh-CN"/>
              </w:rPr>
              <w:t>ICT</w:t>
            </w:r>
            <w:r w:rsidR="00872915" w:rsidRPr="000A3398">
              <w:rPr>
                <w:rFonts w:eastAsia="SimSun" w:cs="Calibri" w:hint="eastAsia"/>
                <w:sz w:val="32"/>
                <w:szCs w:val="32"/>
                <w:lang w:eastAsia="zh-CN"/>
              </w:rPr>
              <w:t>）</w:t>
            </w:r>
            <w:r w:rsidRPr="000A3398">
              <w:rPr>
                <w:rFonts w:eastAsia="SimSun" w:cs="Calibri" w:hint="eastAsia"/>
                <w:sz w:val="32"/>
                <w:szCs w:val="32"/>
                <w:lang w:eastAsia="zh-CN"/>
              </w:rPr>
              <w:t>和数据</w:t>
            </w:r>
            <w:r w:rsidRPr="000A3398">
              <w:rPr>
                <w:rFonts w:eastAsia="SimSun" w:cs="Calibri" w:hint="eastAsia"/>
                <w:sz w:val="32"/>
                <w:szCs w:val="32"/>
                <w:lang w:eastAsia="zh-CN"/>
              </w:rPr>
              <w:t>/</w:t>
            </w:r>
            <w:r w:rsidRPr="000A3398">
              <w:rPr>
                <w:rFonts w:eastAsia="SimSun" w:cs="Calibri" w:hint="eastAsia"/>
                <w:sz w:val="32"/>
                <w:szCs w:val="32"/>
                <w:lang w:eastAsia="zh-CN"/>
              </w:rPr>
              <w:t>信息治理结构的报告</w:t>
            </w:r>
          </w:p>
        </w:tc>
      </w:tr>
      <w:tr w:rsidR="00E24D59" w:rsidRPr="00813E5E" w14:paraId="7648202E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593FDC1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497ACDAC" w14:textId="31C6B13B" w:rsidR="008F64AD" w:rsidRPr="00E10ACA" w:rsidRDefault="00DA44EA" w:rsidP="00DA44E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 w:cs="Calibri"/>
                <w:b/>
                <w:bCs/>
                <w:sz w:val="24"/>
                <w:szCs w:val="24"/>
                <w:lang w:eastAsia="zh-CN"/>
              </w:rPr>
            </w:pPr>
            <w:r w:rsidRPr="00E10ACA">
              <w:rPr>
                <w:rFonts w:eastAsia="SimSun" w:cs="Calibri" w:hint="eastAsia"/>
                <w:sz w:val="24"/>
                <w:szCs w:val="24"/>
                <w:lang w:eastAsia="zh-CN"/>
              </w:rPr>
              <w:t>本文件介绍了国际电联</w:t>
            </w:r>
            <w:r w:rsidR="00E10ACA" w:rsidRPr="00E10ACA">
              <w:rPr>
                <w:rFonts w:eastAsia="SimSun" w:cs="Calibri" w:hint="eastAsia"/>
                <w:sz w:val="24"/>
                <w:szCs w:val="24"/>
                <w:lang w:eastAsia="zh-CN"/>
              </w:rPr>
              <w:t>信息技术（</w:t>
            </w:r>
            <w:r w:rsidR="00E10ACA" w:rsidRPr="00E10ACA">
              <w:rPr>
                <w:rFonts w:eastAsia="SimSun" w:cs="Calibri" w:hint="eastAsia"/>
                <w:sz w:val="24"/>
                <w:szCs w:val="24"/>
                <w:lang w:eastAsia="zh-CN"/>
              </w:rPr>
              <w:t>IT</w:t>
            </w:r>
            <w:r w:rsidR="00E10ACA" w:rsidRPr="00E10ACA">
              <w:rPr>
                <w:rFonts w:eastAsia="SimSun" w:cs="Calibri" w:hint="eastAsia"/>
                <w:sz w:val="24"/>
                <w:szCs w:val="24"/>
                <w:lang w:eastAsia="zh-CN"/>
              </w:rPr>
              <w:t>）</w:t>
            </w:r>
            <w:r w:rsidR="00E10ACA" w:rsidRPr="00E10ACA">
              <w:rPr>
                <w:rFonts w:eastAsia="SimSun" w:cs="Calibri" w:hint="eastAsia"/>
                <w:sz w:val="24"/>
                <w:szCs w:val="24"/>
                <w:lang w:eastAsia="zh-CN"/>
              </w:rPr>
              <w:t>/</w:t>
            </w:r>
            <w:r w:rsidR="00E10ACA" w:rsidRPr="00E10ACA">
              <w:rPr>
                <w:rFonts w:eastAsia="SimSun" w:cs="Calibri" w:hint="eastAsia"/>
                <w:sz w:val="24"/>
                <w:szCs w:val="24"/>
                <w:lang w:eastAsia="zh-CN"/>
              </w:rPr>
              <w:t>网络安全和数据治理</w:t>
            </w:r>
            <w:r w:rsidRPr="00E10ACA">
              <w:rPr>
                <w:rFonts w:eastAsia="SimSun" w:cs="Calibri" w:hint="eastAsia"/>
                <w:sz w:val="24"/>
                <w:szCs w:val="24"/>
                <w:lang w:eastAsia="zh-CN"/>
              </w:rPr>
              <w:t>的执行情况。</w:t>
            </w:r>
          </w:p>
          <w:p w14:paraId="0731235E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3268580" w14:textId="010C342A" w:rsidR="008F64AD" w:rsidRPr="00DA44EA" w:rsidRDefault="00DA44EA" w:rsidP="00DA44E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r w:rsidRPr="00DA44EA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请理事会将本报告记录在案。</w:t>
            </w:r>
          </w:p>
          <w:p w14:paraId="77DC2363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53468D65" w14:textId="278E745A" w:rsidR="008F64AD" w:rsidRPr="00872915" w:rsidRDefault="00872915" w:rsidP="00DA44E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r w:rsidRPr="00872915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卓越的人力资源和组织创新。</w:t>
            </w:r>
          </w:p>
          <w:p w14:paraId="54AB32FB" w14:textId="0B6E9D28" w:rsidR="00E24D59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7FB539FF" w14:textId="0AA309FC" w:rsidR="0019468E" w:rsidRPr="0019468E" w:rsidRDefault="00E10ACA" w:rsidP="00DA44E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财务影响载于</w:t>
            </w:r>
            <w:hyperlink r:id="rId11" w:history="1">
              <w:r w:rsidRPr="0019468E">
                <w:rPr>
                  <w:rStyle w:val="Hyperlink"/>
                  <w:sz w:val="24"/>
                  <w:szCs w:val="24"/>
                  <w:lang w:eastAsia="zh-CN"/>
                </w:rPr>
                <w:t>C24/52</w:t>
              </w:r>
            </w:hyperlink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号文件，</w:t>
            </w:r>
            <w:hyperlink r:id="rId12" w:history="1">
              <w:r w:rsidRPr="0019468E">
                <w:rPr>
                  <w:rStyle w:val="Hyperlink"/>
                  <w:sz w:val="24"/>
                  <w:szCs w:val="24"/>
                  <w:lang w:eastAsia="zh-CN"/>
                </w:rPr>
                <w:t>C24/19</w:t>
              </w:r>
            </w:hyperlink>
            <w:r w:rsidRPr="00E10AC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号文件就相关资金</w:t>
            </w:r>
            <w:r w:rsidR="00926631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的提供</w:t>
            </w:r>
            <w:r w:rsidRPr="00E10AC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提出了建议。</w:t>
            </w:r>
          </w:p>
          <w:p w14:paraId="46CFB87A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29E4EC60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4E4CE05D" w14:textId="2CF097F2" w:rsidR="00E24D59" w:rsidRDefault="00C7659D" w:rsidP="00E31DCE">
            <w:pPr>
              <w:spacing w:after="160"/>
              <w:rPr>
                <w:lang w:eastAsia="zh-CN"/>
              </w:rPr>
            </w:pP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理事会财务和人力资源工作组（</w:t>
            </w: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CWG-FHR</w:t>
            </w: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）</w:t>
            </w:r>
            <w:hyperlink r:id="rId13" w:history="1">
              <w:r w:rsidR="0019468E" w:rsidRPr="00C7659D">
                <w:rPr>
                  <w:rStyle w:val="Hyperlink"/>
                  <w:rFonts w:eastAsia="STKaiti" w:cs="Calibri"/>
                  <w:sz w:val="22"/>
                  <w:szCs w:val="22"/>
                  <w:lang w:val="en-US" w:eastAsia="zh-CN"/>
                </w:rPr>
                <w:t>CWG-FHR-16/6</w:t>
              </w:r>
              <w:r w:rsidR="00F82C38">
                <w:rPr>
                  <w:rStyle w:val="Hyperlink"/>
                  <w:rFonts w:eastAsia="STKaiti" w:cs="Calibri" w:hint="eastAsia"/>
                  <w:sz w:val="22"/>
                  <w:szCs w:val="22"/>
                  <w:lang w:val="en-US" w:eastAsia="zh-CN"/>
                </w:rPr>
                <w:t>(</w:t>
              </w:r>
              <w:r w:rsidR="0019468E" w:rsidRPr="00C7659D">
                <w:rPr>
                  <w:rStyle w:val="Hyperlink"/>
                  <w:rFonts w:eastAsia="STKaiti" w:cs="Calibri"/>
                  <w:sz w:val="22"/>
                  <w:szCs w:val="22"/>
                  <w:lang w:val="en-US" w:eastAsia="zh-CN"/>
                </w:rPr>
                <w:t>Rev.1</w:t>
              </w:r>
              <w:r w:rsidR="00F82C38">
                <w:rPr>
                  <w:rStyle w:val="Hyperlink"/>
                  <w:rFonts w:eastAsia="STKaiti" w:cs="Calibri" w:hint="eastAsia"/>
                  <w:sz w:val="22"/>
                  <w:szCs w:val="22"/>
                  <w:lang w:val="en-US" w:eastAsia="zh-CN"/>
                </w:rPr>
                <w:t>)</w:t>
              </w:r>
            </w:hyperlink>
            <w:r>
              <w:rPr>
                <w:rFonts w:eastAsia="STKaiti" w:cs="Calibri" w:hint="eastAsia"/>
                <w:sz w:val="22"/>
                <w:szCs w:val="22"/>
                <w:lang w:eastAsia="zh-CN"/>
              </w:rPr>
              <w:t>号文</w:t>
            </w: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件</w:t>
            </w:r>
            <w:r w:rsidRPr="00C7659D">
              <w:rPr>
                <w:rFonts w:eastAsia="STKaiti" w:cs="Calibri"/>
                <w:sz w:val="22"/>
                <w:szCs w:val="22"/>
                <w:lang w:val="en-US" w:eastAsia="zh-CN"/>
              </w:rPr>
              <w:t>、</w:t>
            </w:r>
            <w:hyperlink r:id="rId14" w:history="1">
              <w:r w:rsidR="0019468E" w:rsidRPr="00C7659D">
                <w:rPr>
                  <w:rStyle w:val="Hyperlink"/>
                  <w:rFonts w:eastAsia="STKaiti" w:cs="Calibri"/>
                  <w:sz w:val="22"/>
                  <w:szCs w:val="22"/>
                  <w:lang w:val="en-US" w:eastAsia="zh-CN"/>
                </w:rPr>
                <w:t>CWG-FHR-17/5</w:t>
              </w:r>
            </w:hyperlink>
            <w:r>
              <w:rPr>
                <w:rFonts w:eastAsia="STKaiti" w:cs="Calibri" w:hint="eastAsia"/>
                <w:sz w:val="22"/>
                <w:szCs w:val="22"/>
                <w:lang w:eastAsia="zh-CN"/>
              </w:rPr>
              <w:t>号文</w:t>
            </w: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件</w:t>
            </w:r>
            <w:r w:rsidR="00F82C38">
              <w:rPr>
                <w:rFonts w:eastAsia="STKaiti" w:cs="Calibri" w:hint="eastAsia"/>
                <w:sz w:val="22"/>
                <w:szCs w:val="22"/>
                <w:lang w:val="en-US" w:eastAsia="zh-CN"/>
              </w:rPr>
              <w:t>、</w:t>
            </w:r>
            <w:r w:rsidR="003804EA" w:rsidRPr="00C7659D">
              <w:rPr>
                <w:rFonts w:eastAsia="STKaiti" w:cs="Calibri"/>
                <w:sz w:val="22"/>
                <w:szCs w:val="22"/>
                <w:lang w:val="en-US" w:eastAsia="zh-CN"/>
              </w:rPr>
              <w:t>理事会</w:t>
            </w:r>
            <w:hyperlink r:id="rId15" w:history="1">
              <w:r w:rsidR="0019468E" w:rsidRPr="00C7659D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C22/57</w:t>
              </w:r>
            </w:hyperlink>
            <w:r>
              <w:rPr>
                <w:rFonts w:eastAsia="STKaiti" w:cs="Calibri" w:hint="eastAsia"/>
                <w:sz w:val="22"/>
                <w:szCs w:val="22"/>
                <w:lang w:eastAsia="zh-CN"/>
              </w:rPr>
              <w:t>号文</w:t>
            </w: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件、</w:t>
            </w:r>
            <w:hyperlink r:id="rId16" w:history="1">
              <w:r w:rsidR="0019468E" w:rsidRPr="00C7659D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C23/22</w:t>
              </w:r>
            </w:hyperlink>
            <w:r>
              <w:rPr>
                <w:rFonts w:eastAsia="STKaiti" w:cs="Calibri" w:hint="eastAsia"/>
                <w:sz w:val="22"/>
                <w:szCs w:val="22"/>
                <w:lang w:eastAsia="zh-CN"/>
              </w:rPr>
              <w:t>号文</w:t>
            </w: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件、</w:t>
            </w:r>
            <w:hyperlink r:id="rId17" w:history="1">
              <w:r w:rsidR="0019468E" w:rsidRPr="00C7659D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C23/52</w:t>
              </w:r>
            </w:hyperlink>
            <w:r>
              <w:rPr>
                <w:rFonts w:eastAsia="STKaiti" w:cs="Calibri" w:hint="eastAsia"/>
                <w:sz w:val="22"/>
                <w:szCs w:val="22"/>
                <w:lang w:eastAsia="zh-CN"/>
              </w:rPr>
              <w:t>号文</w:t>
            </w: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件、</w:t>
            </w:r>
            <w:hyperlink r:id="rId18" w:history="1">
              <w:r w:rsidR="0019468E" w:rsidRPr="00C7659D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C23/INF/11</w:t>
              </w:r>
            </w:hyperlink>
            <w:r>
              <w:rPr>
                <w:rFonts w:eastAsia="STKaiti" w:cs="Calibri" w:hint="eastAsia"/>
                <w:sz w:val="22"/>
                <w:szCs w:val="22"/>
                <w:lang w:eastAsia="zh-CN"/>
              </w:rPr>
              <w:t>号文</w:t>
            </w: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件、</w:t>
            </w:r>
            <w:hyperlink r:id="rId19" w:history="1">
              <w:r w:rsidR="0019468E" w:rsidRPr="00C7659D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C24/52</w:t>
              </w:r>
            </w:hyperlink>
            <w:r>
              <w:rPr>
                <w:rFonts w:eastAsia="STKaiti" w:cs="Calibri" w:hint="eastAsia"/>
                <w:sz w:val="22"/>
                <w:szCs w:val="22"/>
                <w:lang w:eastAsia="zh-CN"/>
              </w:rPr>
              <w:t>号文</w:t>
            </w: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件、</w:t>
            </w:r>
            <w:hyperlink r:id="rId20" w:history="1">
              <w:r w:rsidR="0019468E" w:rsidRPr="00C7659D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C24/19</w:t>
              </w:r>
            </w:hyperlink>
            <w:r>
              <w:rPr>
                <w:rFonts w:eastAsia="STKaiti" w:cs="Calibri" w:hint="eastAsia"/>
                <w:sz w:val="22"/>
                <w:szCs w:val="22"/>
                <w:lang w:eastAsia="zh-CN"/>
              </w:rPr>
              <w:t>号文</w:t>
            </w:r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件。</w:t>
            </w:r>
            <w:hyperlink r:id="rId21" w:history="1">
              <w:r w:rsidR="0019468E" w:rsidRPr="0098539C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JIU/REP/2021/3</w:t>
              </w:r>
              <w:r w:rsidRPr="0098539C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号文件：</w:t>
              </w:r>
            </w:hyperlink>
            <w:r w:rsidRPr="00C7659D">
              <w:rPr>
                <w:rFonts w:eastAsia="STKaiti" w:cs="Calibri"/>
                <w:sz w:val="22"/>
                <w:szCs w:val="22"/>
                <w:lang w:eastAsia="zh-CN"/>
              </w:rPr>
              <w:t>联合国系统各组织的网络安全。</w:t>
            </w:r>
          </w:p>
        </w:tc>
      </w:tr>
      <w:bookmarkEnd w:id="2"/>
      <w:bookmarkEnd w:id="6"/>
    </w:tbl>
    <w:p w14:paraId="48078117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2F03D46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42786123" w14:textId="32F625E9" w:rsidR="00746669" w:rsidRPr="00975946" w:rsidRDefault="00DA44EA" w:rsidP="00DA44EA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背景</w:t>
      </w:r>
    </w:p>
    <w:p w14:paraId="1F334991" w14:textId="044C9C6C" w:rsidR="00746669" w:rsidRPr="00B642C2" w:rsidRDefault="00E57E1E" w:rsidP="00DA44EA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eastAsia="zh-CN"/>
        </w:rPr>
      </w:pPr>
      <w:r>
        <w:rPr>
          <w:rFonts w:hint="eastAsia"/>
          <w:lang w:eastAsia="zh-CN"/>
        </w:rPr>
        <w:t>信息通信技术（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基本资金</w:t>
      </w:r>
      <w:proofErr w:type="gramEnd"/>
      <w:r>
        <w:rPr>
          <w:rFonts w:hint="eastAsia"/>
          <w:lang w:eastAsia="zh-CN"/>
        </w:rPr>
        <w:t>最初于</w:t>
      </w:r>
      <w:r>
        <w:rPr>
          <w:rFonts w:hint="eastAsia"/>
          <w:lang w:eastAsia="zh-CN"/>
        </w:rPr>
        <w:t>2001</w:t>
      </w:r>
      <w:proofErr w:type="gramStart"/>
      <w:r>
        <w:rPr>
          <w:rFonts w:hint="eastAsia"/>
          <w:lang w:eastAsia="zh-CN"/>
        </w:rPr>
        <w:t>年根据</w:t>
      </w:r>
      <w:proofErr w:type="gramEnd"/>
      <w:r>
        <w:rPr>
          <w:rFonts w:hint="eastAsia"/>
          <w:lang w:eastAsia="zh-CN"/>
        </w:rPr>
        <w:t>理事会第</w:t>
      </w:r>
      <w:r>
        <w:rPr>
          <w:rFonts w:hint="eastAsia"/>
          <w:lang w:eastAsia="zh-CN"/>
        </w:rPr>
        <w:t>1173</w:t>
      </w:r>
      <w:r>
        <w:rPr>
          <w:rFonts w:hint="eastAsia"/>
          <w:lang w:eastAsia="zh-CN"/>
        </w:rPr>
        <w:t>号决议设立</w:t>
      </w:r>
      <w:r w:rsidR="00BE158D">
        <w:rPr>
          <w:rFonts w:hint="eastAsia"/>
          <w:lang w:eastAsia="zh-CN"/>
        </w:rPr>
        <w:t>，是</w:t>
      </w:r>
      <w:r>
        <w:rPr>
          <w:rFonts w:hint="eastAsia"/>
          <w:lang w:eastAsia="zh-CN"/>
        </w:rPr>
        <w:t>秘书处的内部资源，专门</w:t>
      </w:r>
      <w:r w:rsidR="0029791A">
        <w:rPr>
          <w:rFonts w:hint="eastAsia"/>
          <w:lang w:eastAsia="zh-CN"/>
        </w:rPr>
        <w:t>用于</w:t>
      </w:r>
      <w:r w:rsidR="00BE158D">
        <w:rPr>
          <w:rFonts w:hint="eastAsia"/>
          <w:lang w:eastAsia="zh-CN"/>
        </w:rPr>
        <w:t>资助</w:t>
      </w:r>
      <w:r>
        <w:rPr>
          <w:rFonts w:hint="eastAsia"/>
          <w:lang w:eastAsia="zh-CN"/>
        </w:rPr>
        <w:t>增强现有的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系统</w:t>
      </w:r>
      <w:r w:rsidR="00BE158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或开发和采购新的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系统。</w:t>
      </w:r>
      <w:r w:rsidR="0029791A">
        <w:rPr>
          <w:rFonts w:hint="eastAsia"/>
          <w:lang w:eastAsia="zh-CN"/>
        </w:rPr>
        <w:t>根据第</w:t>
      </w:r>
      <w:r w:rsidR="0029791A">
        <w:rPr>
          <w:rFonts w:hint="eastAsia"/>
          <w:lang w:eastAsia="zh-CN"/>
        </w:rPr>
        <w:t>11/06</w:t>
      </w:r>
      <w:r w:rsidR="0029791A">
        <w:rPr>
          <w:rFonts w:hint="eastAsia"/>
          <w:lang w:eastAsia="zh-CN"/>
        </w:rPr>
        <w:t>号行政规定，基金</w:t>
      </w:r>
      <w:r w:rsidR="004A266C">
        <w:rPr>
          <w:rFonts w:hint="eastAsia"/>
          <w:lang w:eastAsia="zh-CN"/>
        </w:rPr>
        <w:t>在</w:t>
      </w:r>
      <w:r w:rsidR="0029791A">
        <w:rPr>
          <w:rFonts w:hint="eastAsia"/>
          <w:lang w:eastAsia="zh-CN"/>
        </w:rPr>
        <w:t>信息通信技术委员会（</w:t>
      </w:r>
      <w:r w:rsidR="0029791A">
        <w:rPr>
          <w:rFonts w:hint="eastAsia"/>
          <w:lang w:eastAsia="zh-CN"/>
        </w:rPr>
        <w:t>ICTC</w:t>
      </w:r>
      <w:r w:rsidR="0029791A">
        <w:rPr>
          <w:rFonts w:hint="eastAsia"/>
          <w:lang w:eastAsia="zh-CN"/>
        </w:rPr>
        <w:t>）的管辖范围内运作。</w:t>
      </w:r>
      <w:r w:rsidR="004A266C">
        <w:rPr>
          <w:rFonts w:hint="eastAsia"/>
          <w:lang w:eastAsia="zh-CN"/>
        </w:rPr>
        <w:t>ICTC</w:t>
      </w:r>
      <w:r w:rsidR="004A266C">
        <w:rPr>
          <w:rFonts w:hint="eastAsia"/>
          <w:lang w:eastAsia="zh-CN"/>
        </w:rPr>
        <w:t>的主要职责是确保</w:t>
      </w:r>
      <w:r w:rsidR="004A266C">
        <w:rPr>
          <w:rFonts w:hint="eastAsia"/>
          <w:lang w:eastAsia="zh-CN"/>
        </w:rPr>
        <w:t>ICT</w:t>
      </w:r>
      <w:r w:rsidR="004A266C">
        <w:rPr>
          <w:rFonts w:hint="eastAsia"/>
          <w:lang w:eastAsia="zh-CN"/>
        </w:rPr>
        <w:t>基础设施、应用和支持</w:t>
      </w:r>
      <w:r w:rsidR="00C648AF">
        <w:rPr>
          <w:rFonts w:hint="eastAsia"/>
          <w:lang w:eastAsia="zh-CN"/>
        </w:rPr>
        <w:t>性</w:t>
      </w:r>
      <w:r w:rsidR="004A266C">
        <w:rPr>
          <w:rFonts w:hint="eastAsia"/>
          <w:lang w:eastAsia="zh-CN"/>
        </w:rPr>
        <w:t>服务符合国际电联的战略目标。</w:t>
      </w:r>
    </w:p>
    <w:p w14:paraId="0D9A0EF4" w14:textId="673F0D1C" w:rsidR="00746669" w:rsidRPr="00B642C2" w:rsidRDefault="006F4336" w:rsidP="00DA44EA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eastAsia="zh-CN"/>
        </w:rPr>
      </w:pPr>
      <w:r>
        <w:rPr>
          <w:rFonts w:hint="eastAsia"/>
          <w:lang w:eastAsia="zh-CN"/>
        </w:rPr>
        <w:t>然而，</w:t>
      </w:r>
      <w:r w:rsidR="00A45A9E">
        <w:rPr>
          <w:rFonts w:hint="eastAsia"/>
          <w:lang w:eastAsia="zh-CN"/>
        </w:rPr>
        <w:t>考虑到</w:t>
      </w:r>
      <w:r>
        <w:rPr>
          <w:rFonts w:hint="eastAsia"/>
          <w:lang w:eastAsia="zh-CN"/>
        </w:rPr>
        <w:t>IT</w:t>
      </w:r>
      <w:r>
        <w:rPr>
          <w:rFonts w:hint="eastAsia"/>
          <w:lang w:eastAsia="zh-CN"/>
        </w:rPr>
        <w:t>、网络安全和数据治理</w:t>
      </w:r>
      <w:r w:rsidR="00F04A7F">
        <w:rPr>
          <w:rFonts w:hint="eastAsia"/>
          <w:lang w:eastAsia="zh-CN"/>
        </w:rPr>
        <w:t>格局</w:t>
      </w:r>
      <w:r w:rsidR="00274A5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不断变化，</w:t>
      </w:r>
      <w:r w:rsidR="00CF0814">
        <w:rPr>
          <w:rFonts w:hint="eastAsia"/>
          <w:lang w:eastAsia="zh-CN"/>
        </w:rPr>
        <w:t>而国际电联内部缺乏专门机构，独立管理顾问委员会</w:t>
      </w:r>
      <w:r w:rsidR="00F04A7F">
        <w:rPr>
          <w:rFonts w:hint="eastAsia"/>
          <w:lang w:eastAsia="zh-CN"/>
        </w:rPr>
        <w:t>确定有必要</w:t>
      </w:r>
      <w:r w:rsidR="00CF0814">
        <w:rPr>
          <w:rFonts w:hint="eastAsia"/>
          <w:lang w:eastAsia="zh-CN"/>
        </w:rPr>
        <w:t>强调建立此类框架。</w:t>
      </w:r>
      <w:r w:rsidR="00D53BD2">
        <w:rPr>
          <w:rFonts w:hint="eastAsia"/>
          <w:lang w:eastAsia="zh-CN"/>
        </w:rPr>
        <w:t>提交</w:t>
      </w:r>
      <w:r w:rsidR="00A45A9E">
        <w:rPr>
          <w:rFonts w:hint="eastAsia"/>
          <w:lang w:eastAsia="zh-CN"/>
        </w:rPr>
        <w:t>理事会</w:t>
      </w:r>
      <w:r w:rsidR="00A45A9E">
        <w:rPr>
          <w:rFonts w:hint="eastAsia"/>
          <w:lang w:eastAsia="zh-CN"/>
        </w:rPr>
        <w:t>2023</w:t>
      </w:r>
      <w:r w:rsidR="00A45A9E">
        <w:rPr>
          <w:rFonts w:hint="eastAsia"/>
          <w:lang w:eastAsia="zh-CN"/>
        </w:rPr>
        <w:t>年会议</w:t>
      </w:r>
      <w:r w:rsidR="00D53BD2">
        <w:rPr>
          <w:rFonts w:hint="eastAsia"/>
          <w:lang w:eastAsia="zh-CN"/>
        </w:rPr>
        <w:t>的第十二份年度报告（</w:t>
      </w:r>
      <w:hyperlink r:id="rId22" w:history="1">
        <w:r w:rsidR="00D53BD2" w:rsidRPr="00B642C2">
          <w:rPr>
            <w:rStyle w:val="Hyperlink"/>
            <w:lang w:eastAsia="zh-CN"/>
          </w:rPr>
          <w:t>C23/22</w:t>
        </w:r>
      </w:hyperlink>
      <w:r w:rsidR="00792472">
        <w:rPr>
          <w:rFonts w:hint="eastAsia"/>
          <w:lang w:eastAsia="zh-CN"/>
        </w:rPr>
        <w:t>号文件</w:t>
      </w:r>
      <w:r w:rsidR="00D53BD2">
        <w:rPr>
          <w:rFonts w:hint="eastAsia"/>
          <w:lang w:eastAsia="zh-CN"/>
        </w:rPr>
        <w:t>）</w:t>
      </w:r>
      <w:r w:rsidR="002010F5">
        <w:rPr>
          <w:rFonts w:hint="eastAsia"/>
          <w:lang w:eastAsia="zh-CN"/>
        </w:rPr>
        <w:t>阐述了此建议，强调必须有明确的决策职责、</w:t>
      </w:r>
      <w:r w:rsidR="00A91FFE">
        <w:rPr>
          <w:rFonts w:hint="eastAsia"/>
          <w:lang w:eastAsia="zh-CN"/>
        </w:rPr>
        <w:t>健全</w:t>
      </w:r>
      <w:r w:rsidR="005672AE">
        <w:rPr>
          <w:rFonts w:hint="eastAsia"/>
          <w:lang w:eastAsia="zh-CN"/>
        </w:rPr>
        <w:t>的问责机制和</w:t>
      </w:r>
      <w:r w:rsidR="00F04A7F">
        <w:rPr>
          <w:rFonts w:hint="eastAsia"/>
          <w:lang w:eastAsia="zh-CN"/>
        </w:rPr>
        <w:t>确保</w:t>
      </w:r>
      <w:r w:rsidR="005672AE">
        <w:rPr>
          <w:rFonts w:hint="eastAsia"/>
          <w:lang w:eastAsia="zh-CN"/>
        </w:rPr>
        <w:t>有效交付成果的激励措施。</w:t>
      </w:r>
    </w:p>
    <w:p w14:paraId="6A3C60DC" w14:textId="522D678F" w:rsidR="00746669" w:rsidRPr="006545CC" w:rsidRDefault="00BB31F5" w:rsidP="00DA44EA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eastAsia="zh-CN"/>
        </w:rPr>
      </w:pPr>
      <w:r w:rsidRPr="006545CC">
        <w:rPr>
          <w:rFonts w:hint="eastAsia"/>
          <w:lang w:eastAsia="zh-CN"/>
        </w:rPr>
        <w:t>此外，</w:t>
      </w:r>
      <w:hyperlink r:id="rId23" w:history="1">
        <w:r w:rsidRPr="006545CC">
          <w:rPr>
            <w:rStyle w:val="Hyperlink"/>
            <w:lang w:eastAsia="zh-CN"/>
          </w:rPr>
          <w:t>C22/5</w:t>
        </w:r>
        <w:r w:rsidR="00F82C38">
          <w:rPr>
            <w:rStyle w:val="Hyperlink"/>
            <w:lang w:eastAsia="zh-CN"/>
          </w:rPr>
          <w:t>7</w:t>
        </w:r>
      </w:hyperlink>
      <w:r w:rsidRPr="006545CC">
        <w:rPr>
          <w:rFonts w:hint="eastAsia"/>
          <w:lang w:eastAsia="zh-CN"/>
        </w:rPr>
        <w:t>号文件</w:t>
      </w:r>
      <w:r w:rsidR="0076343E" w:rsidRPr="006545CC">
        <w:rPr>
          <w:rFonts w:hint="eastAsia"/>
          <w:lang w:eastAsia="zh-CN"/>
        </w:rPr>
        <w:t>所</w:t>
      </w:r>
      <w:r w:rsidR="00A92D89" w:rsidRPr="006545CC">
        <w:rPr>
          <w:rFonts w:hint="eastAsia"/>
          <w:lang w:eastAsia="zh-CN"/>
        </w:rPr>
        <w:t>述的问责框架</w:t>
      </w:r>
      <w:r w:rsidR="00232D1C" w:rsidRPr="006545CC">
        <w:rPr>
          <w:rFonts w:hint="eastAsia"/>
          <w:lang w:eastAsia="zh-CN"/>
        </w:rPr>
        <w:t>凸显</w:t>
      </w:r>
      <w:r w:rsidR="002B626F" w:rsidRPr="006545CC">
        <w:rPr>
          <w:rFonts w:hint="eastAsia"/>
          <w:lang w:eastAsia="zh-CN"/>
        </w:rPr>
        <w:t>开发</w:t>
      </w:r>
      <w:r w:rsidR="00A92D89" w:rsidRPr="006545CC">
        <w:rPr>
          <w:rFonts w:hint="eastAsia"/>
          <w:lang w:eastAsia="zh-CN"/>
        </w:rPr>
        <w:t>全面的</w:t>
      </w:r>
      <w:proofErr w:type="gramStart"/>
      <w:r w:rsidR="002B626F" w:rsidRPr="006545CC">
        <w:rPr>
          <w:rFonts w:hint="eastAsia"/>
          <w:lang w:eastAsia="zh-CN"/>
        </w:rPr>
        <w:t>全组织</w:t>
      </w:r>
      <w:proofErr w:type="gramEnd"/>
      <w:r w:rsidR="00A92D89" w:rsidRPr="006545CC">
        <w:rPr>
          <w:rFonts w:hint="eastAsia"/>
          <w:lang w:eastAsia="zh-CN"/>
        </w:rPr>
        <w:t>数据分类框架</w:t>
      </w:r>
      <w:r w:rsidR="00232D1C" w:rsidRPr="006545CC">
        <w:rPr>
          <w:rFonts w:hint="eastAsia"/>
          <w:lang w:eastAsia="zh-CN"/>
        </w:rPr>
        <w:t>的</w:t>
      </w:r>
      <w:r w:rsidR="00026CB3" w:rsidRPr="006545CC">
        <w:rPr>
          <w:rFonts w:hint="eastAsia"/>
          <w:lang w:eastAsia="zh-CN"/>
        </w:rPr>
        <w:t>重要</w:t>
      </w:r>
      <w:r w:rsidR="00232D1C" w:rsidRPr="006545CC">
        <w:rPr>
          <w:rFonts w:hint="eastAsia"/>
          <w:lang w:eastAsia="zh-CN"/>
        </w:rPr>
        <w:t>性以</w:t>
      </w:r>
      <w:r w:rsidR="002B626F" w:rsidRPr="006545CC">
        <w:rPr>
          <w:rFonts w:hint="eastAsia"/>
          <w:lang w:eastAsia="zh-CN"/>
        </w:rPr>
        <w:t>有效</w:t>
      </w:r>
      <w:r w:rsidR="008437B7" w:rsidRPr="006545CC">
        <w:rPr>
          <w:rFonts w:hint="eastAsia"/>
          <w:lang w:eastAsia="zh-CN"/>
        </w:rPr>
        <w:t>精</w:t>
      </w:r>
      <w:r w:rsidR="002B626F" w:rsidRPr="006545CC">
        <w:rPr>
          <w:rFonts w:hint="eastAsia"/>
          <w:lang w:eastAsia="zh-CN"/>
        </w:rPr>
        <w:t>简业务。</w:t>
      </w:r>
    </w:p>
    <w:p w14:paraId="295CB6EF" w14:textId="4F1D052C" w:rsidR="00746669" w:rsidRPr="006545CC" w:rsidRDefault="005C15CB" w:rsidP="00DA44EA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eastAsia="zh-CN"/>
        </w:rPr>
      </w:pPr>
      <w:r w:rsidRPr="006545CC">
        <w:rPr>
          <w:rFonts w:hint="eastAsia"/>
          <w:lang w:eastAsia="zh-CN"/>
        </w:rPr>
        <w:t>因此，为了回应这些迫切需要，国际电联管理层决心</w:t>
      </w:r>
      <w:r w:rsidR="00BA4A63" w:rsidRPr="006545CC">
        <w:rPr>
          <w:rFonts w:hint="eastAsia"/>
          <w:lang w:eastAsia="zh-CN"/>
        </w:rPr>
        <w:t>重组</w:t>
      </w:r>
      <w:r w:rsidRPr="006545CC">
        <w:rPr>
          <w:rFonts w:hint="eastAsia"/>
          <w:lang w:eastAsia="zh-CN"/>
        </w:rPr>
        <w:t>现有的</w:t>
      </w:r>
      <w:r w:rsidRPr="006545CC">
        <w:rPr>
          <w:rFonts w:hint="eastAsia"/>
          <w:lang w:eastAsia="zh-CN"/>
        </w:rPr>
        <w:t>ICTC</w:t>
      </w:r>
      <w:r w:rsidRPr="006545CC">
        <w:rPr>
          <w:rFonts w:hint="eastAsia"/>
          <w:lang w:eastAsia="zh-CN"/>
        </w:rPr>
        <w:t>，将其更名为</w:t>
      </w:r>
      <w:r w:rsidRPr="006545CC">
        <w:rPr>
          <w:rFonts w:hint="eastAsia"/>
          <w:lang w:eastAsia="zh-CN"/>
        </w:rPr>
        <w:t>ICT</w:t>
      </w:r>
      <w:r w:rsidRPr="006545CC">
        <w:rPr>
          <w:rFonts w:hint="eastAsia"/>
          <w:lang w:eastAsia="zh-CN"/>
        </w:rPr>
        <w:t>治理委员会（</w:t>
      </w:r>
      <w:r w:rsidRPr="006545CC">
        <w:rPr>
          <w:rFonts w:hint="eastAsia"/>
          <w:lang w:eastAsia="zh-CN"/>
        </w:rPr>
        <w:t>ICTGC</w:t>
      </w:r>
      <w:r w:rsidRPr="006545CC">
        <w:rPr>
          <w:rFonts w:hint="eastAsia"/>
          <w:lang w:eastAsia="zh-CN"/>
        </w:rPr>
        <w:t>）。</w:t>
      </w:r>
      <w:r w:rsidR="005A0148" w:rsidRPr="006545CC">
        <w:rPr>
          <w:rFonts w:hint="eastAsia"/>
          <w:lang w:eastAsia="zh-CN"/>
        </w:rPr>
        <w:t>这一</w:t>
      </w:r>
      <w:r w:rsidR="006A21E7" w:rsidRPr="006545CC">
        <w:rPr>
          <w:rFonts w:hint="eastAsia"/>
          <w:lang w:eastAsia="zh-CN"/>
        </w:rPr>
        <w:t>转变</w:t>
      </w:r>
      <w:r w:rsidR="005A0148" w:rsidRPr="006545CC">
        <w:rPr>
          <w:rFonts w:hint="eastAsia"/>
          <w:lang w:eastAsia="zh-CN"/>
        </w:rPr>
        <w:t>包括扩大委员会的</w:t>
      </w:r>
      <w:r w:rsidR="00232D1C" w:rsidRPr="006545CC">
        <w:rPr>
          <w:rFonts w:hint="eastAsia"/>
          <w:lang w:eastAsia="zh-CN"/>
        </w:rPr>
        <w:t>职权</w:t>
      </w:r>
      <w:r w:rsidR="005A0148" w:rsidRPr="006545CC">
        <w:rPr>
          <w:rFonts w:hint="eastAsia"/>
          <w:lang w:eastAsia="zh-CN"/>
        </w:rPr>
        <w:t>，以涵盖</w:t>
      </w:r>
      <w:r w:rsidR="005A0148" w:rsidRPr="006545CC">
        <w:rPr>
          <w:rFonts w:hint="eastAsia"/>
          <w:lang w:eastAsia="zh-CN"/>
        </w:rPr>
        <w:t>IT</w:t>
      </w:r>
      <w:r w:rsidR="005A0148" w:rsidRPr="006545CC">
        <w:rPr>
          <w:rFonts w:hint="eastAsia"/>
          <w:lang w:eastAsia="zh-CN"/>
        </w:rPr>
        <w:t>、网络安全和数据治理。</w:t>
      </w:r>
      <w:r w:rsidR="006A21E7" w:rsidRPr="006545CC">
        <w:rPr>
          <w:rFonts w:hint="eastAsia"/>
          <w:lang w:eastAsia="zh-CN"/>
        </w:rPr>
        <w:t>经修订的</w:t>
      </w:r>
      <w:r w:rsidR="006A21E7" w:rsidRPr="006545CC">
        <w:rPr>
          <w:rFonts w:hint="eastAsia"/>
          <w:lang w:eastAsia="zh-CN"/>
        </w:rPr>
        <w:t>ICTGC</w:t>
      </w:r>
      <w:r w:rsidR="00232D1C" w:rsidRPr="006545CC">
        <w:rPr>
          <w:rFonts w:hint="eastAsia"/>
          <w:lang w:eastAsia="zh-CN"/>
        </w:rPr>
        <w:t>的</w:t>
      </w:r>
      <w:r w:rsidR="006A21E7" w:rsidRPr="006545CC">
        <w:rPr>
          <w:rFonts w:hint="eastAsia"/>
          <w:lang w:eastAsia="zh-CN"/>
        </w:rPr>
        <w:t>职责范围</w:t>
      </w:r>
      <w:r w:rsidR="00232D1C" w:rsidRPr="006545CC">
        <w:rPr>
          <w:rFonts w:hint="eastAsia"/>
          <w:lang w:eastAsia="zh-CN"/>
        </w:rPr>
        <w:t>将列入正在起草的一项行政规定中，</w:t>
      </w:r>
      <w:r w:rsidR="006A21E7" w:rsidRPr="006545CC">
        <w:rPr>
          <w:rFonts w:hint="eastAsia"/>
          <w:lang w:eastAsia="zh-CN"/>
        </w:rPr>
        <w:t>增加了旨在促进其履行扩展</w:t>
      </w:r>
      <w:r w:rsidR="00232D1C" w:rsidRPr="006545CC">
        <w:rPr>
          <w:rFonts w:hint="eastAsia"/>
          <w:lang w:eastAsia="zh-CN"/>
        </w:rPr>
        <w:t>职权</w:t>
      </w:r>
      <w:r w:rsidR="006A21E7" w:rsidRPr="006545CC">
        <w:rPr>
          <w:rFonts w:hint="eastAsia"/>
          <w:lang w:eastAsia="zh-CN"/>
        </w:rPr>
        <w:t>的额外责任。</w:t>
      </w:r>
    </w:p>
    <w:p w14:paraId="64E2AE96" w14:textId="428FE7E3" w:rsidR="00746669" w:rsidRPr="00B642C2" w:rsidRDefault="00792472" w:rsidP="00DA44EA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eastAsia="zh-CN"/>
        </w:rPr>
      </w:pPr>
      <w:r w:rsidRPr="006545CC">
        <w:rPr>
          <w:rFonts w:hint="eastAsia"/>
          <w:lang w:eastAsia="zh-CN"/>
        </w:rPr>
        <w:t>ICTGC</w:t>
      </w:r>
      <w:r w:rsidRPr="006545CC">
        <w:rPr>
          <w:rFonts w:hint="eastAsia"/>
          <w:lang w:eastAsia="zh-CN"/>
        </w:rPr>
        <w:t>的指导及其治理相关的新目标将有</w:t>
      </w:r>
      <w:r w:rsidR="00DF656A" w:rsidRPr="006545CC">
        <w:rPr>
          <w:rFonts w:hint="eastAsia"/>
          <w:lang w:eastAsia="zh-CN"/>
        </w:rPr>
        <w:t>助</w:t>
      </w:r>
      <w:r w:rsidRPr="006545CC">
        <w:rPr>
          <w:rFonts w:hint="eastAsia"/>
          <w:lang w:eastAsia="zh-CN"/>
        </w:rPr>
        <w:t>于秘书处制定并执行国际电联转型路线图（</w:t>
      </w:r>
      <w:hyperlink r:id="rId24" w:history="1">
        <w:r w:rsidRPr="006545CC">
          <w:rPr>
            <w:rStyle w:val="Hyperlink"/>
            <w:lang w:eastAsia="zh-CN"/>
          </w:rPr>
          <w:t>C24/73</w:t>
        </w:r>
      </w:hyperlink>
      <w:r w:rsidRPr="006545CC">
        <w:rPr>
          <w:rFonts w:hint="eastAsia"/>
          <w:lang w:eastAsia="zh-CN"/>
        </w:rPr>
        <w:t>号文件），</w:t>
      </w:r>
      <w:r w:rsidR="00DF656A" w:rsidRPr="006545CC">
        <w:rPr>
          <w:rFonts w:hint="eastAsia"/>
          <w:lang w:eastAsia="zh-CN"/>
        </w:rPr>
        <w:t>确保</w:t>
      </w:r>
      <w:r w:rsidR="00232D1C" w:rsidRPr="006545CC">
        <w:rPr>
          <w:rFonts w:hint="eastAsia"/>
          <w:lang w:eastAsia="zh-CN"/>
        </w:rPr>
        <w:t>对</w:t>
      </w:r>
      <w:r w:rsidR="00DF656A" w:rsidRPr="006545CC">
        <w:rPr>
          <w:rFonts w:hint="eastAsia"/>
          <w:lang w:eastAsia="zh-CN"/>
        </w:rPr>
        <w:t>委员会</w:t>
      </w:r>
      <w:r w:rsidR="00911312" w:rsidRPr="006545CC">
        <w:rPr>
          <w:rFonts w:hint="eastAsia"/>
          <w:lang w:eastAsia="zh-CN"/>
        </w:rPr>
        <w:t>工作范畴</w:t>
      </w:r>
      <w:r w:rsidR="00DF656A" w:rsidRPr="006545CC">
        <w:rPr>
          <w:rFonts w:hint="eastAsia"/>
          <w:lang w:eastAsia="zh-CN"/>
        </w:rPr>
        <w:t>内关键组织要求</w:t>
      </w:r>
      <w:r w:rsidR="00232D1C" w:rsidRPr="006545CC">
        <w:rPr>
          <w:rFonts w:hint="eastAsia"/>
          <w:lang w:eastAsia="zh-CN"/>
        </w:rPr>
        <w:t>的有效监督和</w:t>
      </w:r>
      <w:r w:rsidR="008B7B05" w:rsidRPr="006545CC">
        <w:rPr>
          <w:rFonts w:hint="eastAsia"/>
          <w:lang w:eastAsia="zh-CN"/>
        </w:rPr>
        <w:t>决策</w:t>
      </w:r>
      <w:r w:rsidR="00DF656A" w:rsidRPr="006545CC">
        <w:rPr>
          <w:rFonts w:hint="eastAsia"/>
          <w:lang w:eastAsia="zh-CN"/>
        </w:rPr>
        <w:t>。</w:t>
      </w:r>
    </w:p>
    <w:p w14:paraId="6750A06F" w14:textId="66BE163C" w:rsidR="00746669" w:rsidRDefault="00623F4D" w:rsidP="00DA44EA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eastAsia="zh-CN"/>
        </w:rPr>
      </w:pPr>
      <w:r>
        <w:rPr>
          <w:rFonts w:hint="eastAsia"/>
          <w:lang w:eastAsia="zh-CN"/>
        </w:rPr>
        <w:t>特别</w:t>
      </w:r>
      <w:r w:rsidR="00232D1C">
        <w:rPr>
          <w:rFonts w:hint="eastAsia"/>
          <w:lang w:eastAsia="zh-CN"/>
        </w:rPr>
        <w:t>值得一提的</w:t>
      </w:r>
      <w:r>
        <w:rPr>
          <w:rFonts w:hint="eastAsia"/>
          <w:lang w:eastAsia="zh-CN"/>
        </w:rPr>
        <w:t>是</w:t>
      </w:r>
      <w:r w:rsidR="00232D1C">
        <w:rPr>
          <w:rFonts w:hint="eastAsia"/>
          <w:lang w:eastAsia="zh-CN"/>
        </w:rPr>
        <w:t>，</w:t>
      </w:r>
      <w:r w:rsidR="001672C3">
        <w:rPr>
          <w:rFonts w:hint="eastAsia"/>
          <w:lang w:eastAsia="zh-CN"/>
        </w:rPr>
        <w:t>与数字化转型相关的举措将由委员会进行</w:t>
      </w:r>
      <w:r w:rsidR="00232D1C">
        <w:rPr>
          <w:rFonts w:hint="eastAsia"/>
          <w:lang w:eastAsia="zh-CN"/>
        </w:rPr>
        <w:t>审议</w:t>
      </w:r>
      <w:r w:rsidR="001672C3">
        <w:rPr>
          <w:rFonts w:hint="eastAsia"/>
          <w:lang w:eastAsia="zh-CN"/>
        </w:rPr>
        <w:t>。</w:t>
      </w:r>
    </w:p>
    <w:p w14:paraId="1B27AA67" w14:textId="576FBDEF" w:rsidR="00746669" w:rsidRPr="00B642C2" w:rsidRDefault="00DA44EA" w:rsidP="00DA44EA">
      <w:pPr>
        <w:pStyle w:val="Headingb"/>
        <w:rPr>
          <w:lang w:eastAsia="zh-CN"/>
        </w:rPr>
      </w:pPr>
      <w:r>
        <w:rPr>
          <w:rFonts w:hint="eastAsia"/>
          <w:lang w:eastAsia="zh-CN"/>
        </w:rPr>
        <w:t>下一步工作</w:t>
      </w:r>
    </w:p>
    <w:p w14:paraId="5BC0F05B" w14:textId="52C07631" w:rsidR="00E11EB3" w:rsidRDefault="008A35D3" w:rsidP="00E11EB3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eastAsia="zh-CN"/>
        </w:rPr>
      </w:pPr>
      <w:r>
        <w:rPr>
          <w:rFonts w:hint="eastAsia"/>
          <w:lang w:eastAsia="zh-CN"/>
        </w:rPr>
        <w:t>秘书处将继续监督</w:t>
      </w:r>
      <w:r>
        <w:rPr>
          <w:rFonts w:hint="eastAsia"/>
          <w:lang w:eastAsia="zh-CN"/>
        </w:rPr>
        <w:t>ICTGC</w:t>
      </w:r>
      <w:r>
        <w:rPr>
          <w:rFonts w:hint="eastAsia"/>
          <w:lang w:eastAsia="zh-CN"/>
        </w:rPr>
        <w:t>在提高国际电联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基础设施和服务</w:t>
      </w:r>
      <w:r w:rsidR="00D6762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整体有效性方面的表现。</w:t>
      </w:r>
    </w:p>
    <w:p w14:paraId="54B4C369" w14:textId="77777777" w:rsidR="00E11EB3" w:rsidRDefault="00E11EB3" w:rsidP="003E5D8D">
      <w:pPr>
        <w:rPr>
          <w:lang w:eastAsia="zh-CN"/>
        </w:rPr>
      </w:pPr>
    </w:p>
    <w:p w14:paraId="35B97381" w14:textId="77777777" w:rsidR="00E11EB3" w:rsidRDefault="00E11EB3">
      <w:pPr>
        <w:jc w:val="center"/>
      </w:pPr>
      <w:r>
        <w:t>______________</w:t>
      </w:r>
    </w:p>
    <w:sectPr w:rsidR="00E11EB3" w:rsidSect="00E676AA">
      <w:footerReference w:type="default" r:id="rId25"/>
      <w:headerReference w:type="first" r:id="rId26"/>
      <w:footerReference w:type="first" r:id="rId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0557" w14:textId="77777777" w:rsidR="00E676AA" w:rsidRDefault="00E676AA">
      <w:r>
        <w:separator/>
      </w:r>
    </w:p>
  </w:endnote>
  <w:endnote w:type="continuationSeparator" w:id="0">
    <w:p w14:paraId="4EDF736F" w14:textId="77777777" w:rsidR="00E676AA" w:rsidRDefault="00E6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0EE6248B" w14:textId="77777777" w:rsidTr="00E31DCE">
      <w:trPr>
        <w:jc w:val="center"/>
      </w:trPr>
      <w:tc>
        <w:tcPr>
          <w:tcW w:w="1803" w:type="dxa"/>
          <w:vAlign w:val="center"/>
        </w:tcPr>
        <w:p w14:paraId="65647EAE" w14:textId="4DB0A647" w:rsidR="00E24D59" w:rsidRDefault="00E24D59" w:rsidP="00E24D5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B5CB705" w14:textId="489D180E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3B61E8">
            <w:rPr>
              <w:rFonts w:eastAsiaTheme="minorEastAsia" w:hint="eastAsia"/>
              <w:bCs/>
              <w:lang w:eastAsia="zh-CN"/>
            </w:rPr>
            <w:t>54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E14A74A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AB9F71C" w14:textId="77777777" w:rsidTr="00E31DCE">
      <w:trPr>
        <w:jc w:val="center"/>
      </w:trPr>
      <w:tc>
        <w:tcPr>
          <w:tcW w:w="1803" w:type="dxa"/>
          <w:vAlign w:val="center"/>
        </w:tcPr>
        <w:p w14:paraId="3ABCDAD4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7A23CE9B" w14:textId="68AFAC64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50721B">
            <w:rPr>
              <w:rFonts w:eastAsiaTheme="minorEastAsia" w:hint="eastAsia"/>
              <w:bCs/>
              <w:lang w:eastAsia="zh-CN"/>
            </w:rPr>
            <w:t>54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49CF1A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86C1" w14:textId="77777777" w:rsidR="00E676AA" w:rsidRDefault="00E676AA">
      <w:r>
        <w:t>____________________</w:t>
      </w:r>
    </w:p>
  </w:footnote>
  <w:footnote w:type="continuationSeparator" w:id="0">
    <w:p w14:paraId="5BD5E2BB" w14:textId="77777777" w:rsidR="00E676AA" w:rsidRDefault="00E6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7B9D352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2794DDF" w14:textId="77777777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51C34C8F" wp14:editId="4C5CD900">
                <wp:extent cx="1987200" cy="558000"/>
                <wp:effectExtent l="0" t="0" r="0" b="0"/>
                <wp:docPr id="185300738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2AD1E1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667DCB4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98AC466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90DDB0F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DA0AE" wp14:editId="3D09F838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24637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6CB3"/>
    <w:rsid w:val="00031E72"/>
    <w:rsid w:val="000404D2"/>
    <w:rsid w:val="00042502"/>
    <w:rsid w:val="000853C0"/>
    <w:rsid w:val="00085CE2"/>
    <w:rsid w:val="0009409E"/>
    <w:rsid w:val="000A1C21"/>
    <w:rsid w:val="000A3398"/>
    <w:rsid w:val="000C0BC5"/>
    <w:rsid w:val="000D15EA"/>
    <w:rsid w:val="00100D84"/>
    <w:rsid w:val="00110F42"/>
    <w:rsid w:val="00124C9D"/>
    <w:rsid w:val="00157773"/>
    <w:rsid w:val="001672C3"/>
    <w:rsid w:val="0018251A"/>
    <w:rsid w:val="00190272"/>
    <w:rsid w:val="00193244"/>
    <w:rsid w:val="0019468E"/>
    <w:rsid w:val="00195C6C"/>
    <w:rsid w:val="00195FED"/>
    <w:rsid w:val="001A4BD6"/>
    <w:rsid w:val="001D5A18"/>
    <w:rsid w:val="002010F5"/>
    <w:rsid w:val="00224449"/>
    <w:rsid w:val="00232D1C"/>
    <w:rsid w:val="00274A58"/>
    <w:rsid w:val="00280EB8"/>
    <w:rsid w:val="0029791A"/>
    <w:rsid w:val="002A6670"/>
    <w:rsid w:val="002B626F"/>
    <w:rsid w:val="00303502"/>
    <w:rsid w:val="00325C25"/>
    <w:rsid w:val="00353805"/>
    <w:rsid w:val="00354EC9"/>
    <w:rsid w:val="00372C8F"/>
    <w:rsid w:val="003804EA"/>
    <w:rsid w:val="00380ECE"/>
    <w:rsid w:val="00393DDF"/>
    <w:rsid w:val="00397F55"/>
    <w:rsid w:val="003B4454"/>
    <w:rsid w:val="003B61E8"/>
    <w:rsid w:val="003C2E37"/>
    <w:rsid w:val="003E5D8D"/>
    <w:rsid w:val="003F1415"/>
    <w:rsid w:val="003F4C9D"/>
    <w:rsid w:val="0040144C"/>
    <w:rsid w:val="00403EB7"/>
    <w:rsid w:val="00430BF0"/>
    <w:rsid w:val="004672E6"/>
    <w:rsid w:val="00474ED1"/>
    <w:rsid w:val="00493085"/>
    <w:rsid w:val="004A266C"/>
    <w:rsid w:val="004A36EC"/>
    <w:rsid w:val="004C0CD7"/>
    <w:rsid w:val="004D163F"/>
    <w:rsid w:val="004E4BFF"/>
    <w:rsid w:val="004F2598"/>
    <w:rsid w:val="0050721B"/>
    <w:rsid w:val="0050778D"/>
    <w:rsid w:val="005403F7"/>
    <w:rsid w:val="00540632"/>
    <w:rsid w:val="00541CF4"/>
    <w:rsid w:val="005451E8"/>
    <w:rsid w:val="005507F2"/>
    <w:rsid w:val="005672AE"/>
    <w:rsid w:val="005759CC"/>
    <w:rsid w:val="005A0148"/>
    <w:rsid w:val="005A72E1"/>
    <w:rsid w:val="005C15CB"/>
    <w:rsid w:val="005C6632"/>
    <w:rsid w:val="005D1C9E"/>
    <w:rsid w:val="00623F4D"/>
    <w:rsid w:val="00630DD5"/>
    <w:rsid w:val="00651347"/>
    <w:rsid w:val="00654257"/>
    <w:rsid w:val="0065435A"/>
    <w:rsid w:val="006545CC"/>
    <w:rsid w:val="006A21E7"/>
    <w:rsid w:val="006A2DD3"/>
    <w:rsid w:val="006A5AF8"/>
    <w:rsid w:val="006C36CD"/>
    <w:rsid w:val="006F4336"/>
    <w:rsid w:val="006F4358"/>
    <w:rsid w:val="00700D1F"/>
    <w:rsid w:val="007205CB"/>
    <w:rsid w:val="00726073"/>
    <w:rsid w:val="00734FE8"/>
    <w:rsid w:val="007360CE"/>
    <w:rsid w:val="00746669"/>
    <w:rsid w:val="0076343E"/>
    <w:rsid w:val="00772315"/>
    <w:rsid w:val="00775157"/>
    <w:rsid w:val="007813AE"/>
    <w:rsid w:val="00792472"/>
    <w:rsid w:val="007A37DB"/>
    <w:rsid w:val="007B0C18"/>
    <w:rsid w:val="007E189D"/>
    <w:rsid w:val="007F0210"/>
    <w:rsid w:val="00806E3F"/>
    <w:rsid w:val="00811259"/>
    <w:rsid w:val="00813AA2"/>
    <w:rsid w:val="008173A3"/>
    <w:rsid w:val="008228EB"/>
    <w:rsid w:val="008418F5"/>
    <w:rsid w:val="008437B7"/>
    <w:rsid w:val="0086059C"/>
    <w:rsid w:val="00864589"/>
    <w:rsid w:val="00872915"/>
    <w:rsid w:val="00874C82"/>
    <w:rsid w:val="00890AFB"/>
    <w:rsid w:val="00890FC4"/>
    <w:rsid w:val="00895905"/>
    <w:rsid w:val="008A311B"/>
    <w:rsid w:val="008A35D3"/>
    <w:rsid w:val="008B7B05"/>
    <w:rsid w:val="008F64AD"/>
    <w:rsid w:val="00911312"/>
    <w:rsid w:val="00911867"/>
    <w:rsid w:val="009164A9"/>
    <w:rsid w:val="009258CB"/>
    <w:rsid w:val="00926631"/>
    <w:rsid w:val="0093362E"/>
    <w:rsid w:val="00944563"/>
    <w:rsid w:val="00953160"/>
    <w:rsid w:val="009625D8"/>
    <w:rsid w:val="0098459B"/>
    <w:rsid w:val="0098539C"/>
    <w:rsid w:val="00997185"/>
    <w:rsid w:val="009C2458"/>
    <w:rsid w:val="009C4A7B"/>
    <w:rsid w:val="009C6123"/>
    <w:rsid w:val="009F1E3E"/>
    <w:rsid w:val="00A1213C"/>
    <w:rsid w:val="00A272FF"/>
    <w:rsid w:val="00A45A9E"/>
    <w:rsid w:val="00A5354B"/>
    <w:rsid w:val="00A71B57"/>
    <w:rsid w:val="00A91FFE"/>
    <w:rsid w:val="00A92D89"/>
    <w:rsid w:val="00AB42C1"/>
    <w:rsid w:val="00AC1D27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A4A63"/>
    <w:rsid w:val="00BB31F5"/>
    <w:rsid w:val="00BB61ED"/>
    <w:rsid w:val="00BD0954"/>
    <w:rsid w:val="00BD1A5A"/>
    <w:rsid w:val="00BD7A9B"/>
    <w:rsid w:val="00BD7BE1"/>
    <w:rsid w:val="00BE158D"/>
    <w:rsid w:val="00BF416B"/>
    <w:rsid w:val="00C45EB2"/>
    <w:rsid w:val="00C648AF"/>
    <w:rsid w:val="00C64E4E"/>
    <w:rsid w:val="00C66E64"/>
    <w:rsid w:val="00C761A0"/>
    <w:rsid w:val="00C7659D"/>
    <w:rsid w:val="00C85F7E"/>
    <w:rsid w:val="00C90D53"/>
    <w:rsid w:val="00CA0B2E"/>
    <w:rsid w:val="00CA6EF7"/>
    <w:rsid w:val="00CD47F0"/>
    <w:rsid w:val="00CD5566"/>
    <w:rsid w:val="00CD64D7"/>
    <w:rsid w:val="00CE6F22"/>
    <w:rsid w:val="00CF0814"/>
    <w:rsid w:val="00CF41F6"/>
    <w:rsid w:val="00CF7D3E"/>
    <w:rsid w:val="00D02B4E"/>
    <w:rsid w:val="00D14644"/>
    <w:rsid w:val="00D21F11"/>
    <w:rsid w:val="00D27EBB"/>
    <w:rsid w:val="00D36817"/>
    <w:rsid w:val="00D453EE"/>
    <w:rsid w:val="00D53BD2"/>
    <w:rsid w:val="00D5666C"/>
    <w:rsid w:val="00D666BC"/>
    <w:rsid w:val="00D67622"/>
    <w:rsid w:val="00D83542"/>
    <w:rsid w:val="00D92F45"/>
    <w:rsid w:val="00D94637"/>
    <w:rsid w:val="00D9725C"/>
    <w:rsid w:val="00DA44EA"/>
    <w:rsid w:val="00DA7006"/>
    <w:rsid w:val="00DB3621"/>
    <w:rsid w:val="00DC6427"/>
    <w:rsid w:val="00DD62F5"/>
    <w:rsid w:val="00DD66A1"/>
    <w:rsid w:val="00DE196D"/>
    <w:rsid w:val="00DF656A"/>
    <w:rsid w:val="00DF6B49"/>
    <w:rsid w:val="00E067C5"/>
    <w:rsid w:val="00E10ACA"/>
    <w:rsid w:val="00E11EB3"/>
    <w:rsid w:val="00E24D59"/>
    <w:rsid w:val="00E265BF"/>
    <w:rsid w:val="00E378D8"/>
    <w:rsid w:val="00E43A12"/>
    <w:rsid w:val="00E57E1E"/>
    <w:rsid w:val="00E676AA"/>
    <w:rsid w:val="00E67C67"/>
    <w:rsid w:val="00E77476"/>
    <w:rsid w:val="00E8228B"/>
    <w:rsid w:val="00EE5706"/>
    <w:rsid w:val="00EF373D"/>
    <w:rsid w:val="00F04A7F"/>
    <w:rsid w:val="00F11595"/>
    <w:rsid w:val="00F13BC9"/>
    <w:rsid w:val="00F357B2"/>
    <w:rsid w:val="00F36556"/>
    <w:rsid w:val="00F705DF"/>
    <w:rsid w:val="00F70622"/>
    <w:rsid w:val="00F82C38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976779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985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WGFHR16-C-0006/en" TargetMode="External"/><Relationship Id="rId18" Type="http://schemas.openxmlformats.org/officeDocument/2006/relationships/hyperlink" Target="https://www.itu.int/md/S23-CL-INF-0011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undocs.org/zh/JIU/REP/2021/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L-C-0019/en" TargetMode="External"/><Relationship Id="rId17" Type="http://schemas.openxmlformats.org/officeDocument/2006/relationships/hyperlink" Target="https://www.itu.int/md/S23-CL-C-0052/e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3-CL-C-0022/en" TargetMode="External"/><Relationship Id="rId20" Type="http://schemas.openxmlformats.org/officeDocument/2006/relationships/hyperlink" Target="https://www.itu.int/md/S24-CL-C-0019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L-C-0052/en" TargetMode="External"/><Relationship Id="rId24" Type="http://schemas.openxmlformats.org/officeDocument/2006/relationships/hyperlink" Target="https://www.itu.int/md/S24-CL-C-0073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L-C-0057/en" TargetMode="External"/><Relationship Id="rId23" Type="http://schemas.openxmlformats.org/officeDocument/2006/relationships/hyperlink" Target="https://www.itu.int/md/S22-CL-C-0057/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L-C-0052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FHR17-C-0005/en" TargetMode="External"/><Relationship Id="rId22" Type="http://schemas.openxmlformats.org/officeDocument/2006/relationships/hyperlink" Target="https://www.itu.int/md/S23-CL-C-0022/en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72B0DCF75984EA17CF42834B8136B" ma:contentTypeVersion="8" ma:contentTypeDescription="Create a new document." ma:contentTypeScope="" ma:versionID="bab2ab32f66de048142e4d9dbacb616a">
  <xsd:schema xmlns:xsd="http://www.w3.org/2001/XMLSchema" xmlns:xs="http://www.w3.org/2001/XMLSchema" xmlns:p="http://schemas.microsoft.com/office/2006/metadata/properties" xmlns:ns3="848ffa79-d1cb-46fb-a8a7-51ad9a200ee9" xmlns:ns4="f79bfd06-f684-4edc-97d6-e1460a611cbf" targetNamespace="http://schemas.microsoft.com/office/2006/metadata/properties" ma:root="true" ma:fieldsID="92445a12d1063c531c8c3712d62dadf5" ns3:_="" ns4:_="">
    <xsd:import namespace="848ffa79-d1cb-46fb-a8a7-51ad9a200ee9"/>
    <xsd:import namespace="f79bfd06-f684-4edc-97d6-e1460a611cb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a79-d1cb-46fb-a8a7-51ad9a200ee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fd06-f684-4edc-97d6-e1460a611cb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ffa79-d1cb-46fb-a8a7-51ad9a200e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597F-2A3F-45A4-9FE1-EEE24122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ffa79-d1cb-46fb-a8a7-51ad9a200ee9"/>
    <ds:schemaRef ds:uri="f79bfd06-f684-4edc-97d6-e1460a611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E8B78-660E-460C-AEFE-5F29DEB88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DA4E5-E053-4743-BD5B-2674D277A7C9}">
  <ds:schemaRefs>
    <ds:schemaRef ds:uri="http://schemas.microsoft.com/office/2006/metadata/properties"/>
    <ds:schemaRef ds:uri="http://schemas.microsoft.com/office/infopath/2007/PartnerControls"/>
    <ds:schemaRef ds:uri="848ffa79-d1cb-46fb-a8a7-51ad9a200ee9"/>
  </ds:schemaRefs>
</ds:datastoreItem>
</file>

<file path=customXml/itemProps4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822</Words>
  <Characters>1029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DI, Chenjing</dc:creator>
  <cp:keywords>C2024, C24 Council-24</cp:keywords>
  <dc:description/>
  <cp:lastModifiedBy>Li, Jianying</cp:lastModifiedBy>
  <cp:revision>8</cp:revision>
  <cp:lastPrinted>2015-02-24T13:23:00Z</cp:lastPrinted>
  <dcterms:created xsi:type="dcterms:W3CDTF">2024-05-13T12:22:00Z</dcterms:created>
  <dcterms:modified xsi:type="dcterms:W3CDTF">2024-05-30T07:30:00Z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0x01010034C72B0DCF75984EA17CF42834B8136B</vt:lpwstr>
  </property>
</Properties>
</file>