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07448D0" w:rsidR="00FE57F6" w:rsidRPr="00E85629" w:rsidRDefault="006F6897" w:rsidP="006F689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6F6897">
              <w:rPr>
                <w:b/>
                <w:bCs/>
                <w:lang w:val="es-ES"/>
              </w:rPr>
              <w:t>Punto del orden del día: ADM 3</w:t>
            </w:r>
          </w:p>
        </w:tc>
        <w:tc>
          <w:tcPr>
            <w:tcW w:w="5245" w:type="dxa"/>
          </w:tcPr>
          <w:p w14:paraId="12EC8577" w14:textId="091C081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6F6897">
              <w:rPr>
                <w:b/>
              </w:rPr>
              <w:t>53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7F9D6357" w:rsidR="00FE57F6" w:rsidRPr="00E85629" w:rsidRDefault="006F6897" w:rsidP="006F689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F6897">
              <w:rPr>
                <w:b/>
                <w:bCs/>
                <w:lang w:val="es-ES"/>
              </w:rPr>
              <w:t>9 de abril de 2024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652E8A21" w:rsidR="00FE57F6" w:rsidRPr="006F6897" w:rsidRDefault="006F6897" w:rsidP="006F6897">
            <w:pPr>
              <w:pStyle w:val="Subtitle"/>
              <w:framePr w:hSpace="0" w:wrap="auto" w:hAnchor="text" w:xAlign="left" w:yAlign="inline"/>
            </w:pPr>
            <w:r w:rsidRPr="006F6897">
              <w:t>HOJA DE RUTA PARA MEJORAR EL SITIO WEB DE LA UIT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1B944A56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</w:t>
            </w:r>
            <w:r w:rsidR="006F6897">
              <w:rPr>
                <w:b/>
                <w:bCs/>
                <w:sz w:val="26"/>
                <w:szCs w:val="26"/>
                <w:lang w:val="es-ES"/>
              </w:rPr>
              <w:t>o</w:t>
            </w:r>
          </w:p>
          <w:p w14:paraId="618C4414" w14:textId="42BB4B57" w:rsidR="00FE57F6" w:rsidRPr="00F24B71" w:rsidRDefault="006F6897" w:rsidP="006F6897">
            <w:pPr>
              <w:rPr>
                <w:lang w:val="es-ES"/>
              </w:rPr>
            </w:pPr>
            <w:r w:rsidRPr="006F6897">
              <w:rPr>
                <w:lang w:val="es-ES"/>
              </w:rPr>
              <w:t>Tras los debates sobre la mejora del sitio web de la UIT en las reuniones 13ª y 14ª del GTC</w:t>
            </w:r>
            <w:r>
              <w:rPr>
                <w:lang w:val="es-ES"/>
              </w:rPr>
              <w:noBreakHyphen/>
            </w:r>
            <w:r w:rsidRPr="006F6897">
              <w:rPr>
                <w:lang w:val="es-ES"/>
              </w:rPr>
              <w:t>Idiomas y 16ª y 17ª reuniones del GTC</w:t>
            </w:r>
            <w:r w:rsidR="008131C6">
              <w:rPr>
                <w:lang w:val="es-ES"/>
              </w:rPr>
              <w:noBreakHyphen/>
            </w:r>
            <w:r w:rsidRPr="006F6897">
              <w:rPr>
                <w:lang w:val="es-ES"/>
              </w:rPr>
              <w:t>RHF, se pidió a la Secretaría que presentara un plan claro de las medidas necesarias para mejorar la funcionalidad y la armonización de búsqueda en el sitio web de la UIT.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18C291" w14:textId="60925CB0" w:rsidR="00FE57F6" w:rsidRPr="00F24B71" w:rsidRDefault="006F6897" w:rsidP="006F6897">
            <w:pPr>
              <w:rPr>
                <w:lang w:val="es-ES"/>
              </w:rPr>
            </w:pPr>
            <w:r w:rsidRPr="006F6897">
              <w:rPr>
                <w:lang w:val="es-ES"/>
              </w:rPr>
              <w:t xml:space="preserve">Se invita al Consejo a </w:t>
            </w:r>
            <w:r w:rsidRPr="006F6897">
              <w:rPr>
                <w:b/>
                <w:bCs/>
                <w:lang w:val="es-ES"/>
              </w:rPr>
              <w:t xml:space="preserve">tomar nota </w:t>
            </w:r>
            <w:r w:rsidRPr="006F6897">
              <w:rPr>
                <w:lang w:val="es-ES"/>
              </w:rPr>
              <w:t>del presente informe.</w:t>
            </w:r>
          </w:p>
          <w:p w14:paraId="29ECF93D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322545C" w14:textId="778D2F23" w:rsidR="00FE57F6" w:rsidRPr="00F24B71" w:rsidRDefault="006F6897" w:rsidP="006F6897">
            <w:pPr>
              <w:rPr>
                <w:lang w:val="es-ES"/>
              </w:rPr>
            </w:pPr>
            <w:r w:rsidRPr="006F6897">
              <w:rPr>
                <w:lang w:val="es-ES"/>
              </w:rPr>
              <w:t>Excelencia operativa.</w:t>
            </w:r>
          </w:p>
          <w:p w14:paraId="570AED91" w14:textId="4EE9B0AB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762B6FCD" w14:textId="0BBDA262" w:rsidR="006F6897" w:rsidRPr="006F6897" w:rsidRDefault="006F6897" w:rsidP="006F6897">
            <w:pPr>
              <w:rPr>
                <w:lang w:val="es-ES"/>
              </w:rPr>
            </w:pPr>
            <w:r w:rsidRPr="006F6897">
              <w:rPr>
                <w:lang w:val="es-ES"/>
              </w:rPr>
              <w:t>Los recursos financieros se estiman en 600</w:t>
            </w:r>
            <w:r>
              <w:rPr>
                <w:lang w:val="es-ES"/>
              </w:rPr>
              <w:t> </w:t>
            </w:r>
            <w:r w:rsidRPr="006F6897">
              <w:rPr>
                <w:lang w:val="es-ES"/>
              </w:rPr>
              <w:t>000</w:t>
            </w:r>
            <w:r>
              <w:rPr>
                <w:lang w:val="es-ES"/>
              </w:rPr>
              <w:t> </w:t>
            </w:r>
            <w:r w:rsidRPr="006F6897">
              <w:rPr>
                <w:lang w:val="es-ES"/>
              </w:rPr>
              <w:t>CHF según el punto</w:t>
            </w:r>
            <w:r>
              <w:rPr>
                <w:lang w:val="es-ES"/>
              </w:rPr>
              <w:t> </w:t>
            </w:r>
            <w:r w:rsidRPr="006F6897">
              <w:rPr>
                <w:lang w:val="es-ES"/>
              </w:rPr>
              <w:t xml:space="preserve">2.3, cuya financiación se propone como parte integrante del proceso de transformación en el Documento </w:t>
            </w:r>
            <w:hyperlink r:id="rId7" w:history="1">
              <w:r w:rsidRPr="006F6897">
                <w:rPr>
                  <w:rStyle w:val="Hyperlink"/>
                  <w:lang w:val="es-ES"/>
                </w:rPr>
                <w:t>C</w:t>
              </w:r>
              <w:r w:rsidRPr="006F6897">
                <w:rPr>
                  <w:rStyle w:val="Hyperlink"/>
                  <w:lang w:val="es-ES"/>
                </w:rPr>
                <w:t>2</w:t>
              </w:r>
              <w:r w:rsidRPr="006F6897">
                <w:rPr>
                  <w:rStyle w:val="Hyperlink"/>
                  <w:lang w:val="es-ES"/>
                </w:rPr>
                <w:t>4/19</w:t>
              </w:r>
            </w:hyperlink>
            <w:r w:rsidRPr="006F6897">
              <w:rPr>
                <w:lang w:val="es-ES"/>
              </w:rPr>
              <w:t>.</w:t>
            </w:r>
          </w:p>
          <w:p w14:paraId="5948AA98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3C56EAC" w14:textId="050B3E48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6F6897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363C7917" w:rsidR="00FE57F6" w:rsidRDefault="006F6897" w:rsidP="006F6897">
            <w:pPr>
              <w:spacing w:after="160"/>
            </w:pPr>
            <w:r w:rsidRPr="006F6897">
              <w:rPr>
                <w:i/>
                <w:iCs/>
                <w:lang w:val="es-ES"/>
              </w:rPr>
              <w:t>Informe del Presidente del Grupo de Trabajo del Consejo sobre la utilización de los seis idiomas oficiales de la Unión (</w:t>
            </w:r>
            <w:hyperlink r:id="rId8" w:history="1">
              <w:r w:rsidRPr="006F6897">
                <w:rPr>
                  <w:rStyle w:val="Hyperlink"/>
                  <w:i/>
                  <w:iCs/>
                  <w:lang w:val="es-ES"/>
                </w:rPr>
                <w:t>Documento</w:t>
              </w:r>
              <w:r>
                <w:rPr>
                  <w:rStyle w:val="Hyperlink"/>
                  <w:i/>
                  <w:iCs/>
                  <w:lang w:val="es-ES"/>
                </w:rPr>
                <w:t> </w:t>
              </w:r>
              <w:r w:rsidRPr="006F6897">
                <w:rPr>
                  <w:rStyle w:val="Hyperlink"/>
                  <w:i/>
                  <w:iCs/>
                  <w:lang w:val="es-ES"/>
                </w:rPr>
                <w:t>CWG-LANG/14/6</w:t>
              </w:r>
            </w:hyperlink>
            <w:r w:rsidRPr="006F6897">
              <w:rPr>
                <w:i/>
                <w:iCs/>
                <w:lang w:val="es-ES"/>
              </w:rPr>
              <w:t>);</w:t>
            </w:r>
            <w:r w:rsidRPr="006F6897">
              <w:rPr>
                <w:lang w:val="es-ES"/>
              </w:rPr>
              <w:t xml:space="preserve"> </w:t>
            </w:r>
            <w:r w:rsidRPr="006F6897">
              <w:rPr>
                <w:i/>
                <w:iCs/>
                <w:lang w:val="es-ES"/>
              </w:rPr>
              <w:t>Informe resumido de la 17ª</w:t>
            </w:r>
            <w:r>
              <w:rPr>
                <w:i/>
                <w:iCs/>
                <w:lang w:val="es-ES"/>
              </w:rPr>
              <w:t> </w:t>
            </w:r>
            <w:r w:rsidRPr="006F6897">
              <w:rPr>
                <w:i/>
                <w:iCs/>
                <w:lang w:val="es-ES"/>
              </w:rPr>
              <w:t>reunión del Presidente del Grupo de Trabajo del Consejo sobre Recursos Humanos y Financieros (</w:t>
            </w:r>
            <w:hyperlink r:id="rId9" w:history="1">
              <w:r w:rsidRPr="006F6897">
                <w:rPr>
                  <w:rStyle w:val="Hyperlink"/>
                  <w:i/>
                  <w:iCs/>
                  <w:lang w:val="es-ES"/>
                </w:rPr>
                <w:t>Documento</w:t>
              </w:r>
              <w:r>
                <w:rPr>
                  <w:rStyle w:val="Hyperlink"/>
                  <w:i/>
                  <w:iCs/>
                  <w:lang w:val="es-ES"/>
                </w:rPr>
                <w:t> </w:t>
              </w:r>
              <w:r w:rsidRPr="006F6897">
                <w:rPr>
                  <w:rStyle w:val="Hyperlink"/>
                  <w:i/>
                  <w:iCs/>
                  <w:lang w:val="es-ES"/>
                </w:rPr>
                <w:t>CWG-FHR-17/24</w:t>
              </w:r>
            </w:hyperlink>
            <w:r w:rsidRPr="006F6897">
              <w:rPr>
                <w:i/>
                <w:iCs/>
                <w:lang w:val="es-ES"/>
              </w:rPr>
              <w:t>);</w:t>
            </w:r>
            <w:r w:rsidRPr="006F6897">
              <w:rPr>
                <w:lang w:val="es-ES"/>
              </w:rPr>
              <w:t xml:space="preserve"> </w:t>
            </w:r>
            <w:hyperlink r:id="rId10" w:history="1">
              <w:r w:rsidRPr="006F6897">
                <w:rPr>
                  <w:rStyle w:val="Hyperlink"/>
                  <w:i/>
                  <w:iCs/>
                  <w:lang w:val="es-ES"/>
                </w:rPr>
                <w:t>Resolución</w:t>
              </w:r>
              <w:r>
                <w:rPr>
                  <w:rStyle w:val="Hyperlink"/>
                  <w:i/>
                  <w:iCs/>
                  <w:lang w:val="es-ES"/>
                </w:rPr>
                <w:t> </w:t>
              </w:r>
              <w:r w:rsidRPr="006F6897">
                <w:rPr>
                  <w:rStyle w:val="Hyperlink"/>
                  <w:i/>
                  <w:iCs/>
                  <w:lang w:val="es-ES"/>
                </w:rPr>
                <w:t>154 (Rev. Bucarest, 2022)</w:t>
              </w:r>
            </w:hyperlink>
            <w:r w:rsidRPr="006F6897">
              <w:rPr>
                <w:i/>
                <w:iCs/>
                <w:lang w:val="es-ES"/>
              </w:rPr>
              <w:t>;</w:t>
            </w:r>
            <w:r w:rsidRPr="006F6897">
              <w:rPr>
                <w:lang w:val="es-ES"/>
              </w:rPr>
              <w:t xml:space="preserve"> </w:t>
            </w:r>
            <w:hyperlink r:id="rId11" w:history="1">
              <w:r w:rsidRPr="006F6897">
                <w:rPr>
                  <w:rStyle w:val="Hyperlink"/>
                  <w:i/>
                  <w:iCs/>
                  <w:lang w:val="es-ES"/>
                </w:rPr>
                <w:t>C24/19</w:t>
              </w:r>
            </w:hyperlink>
          </w:p>
        </w:tc>
      </w:tr>
      <w:bookmarkEnd w:id="0"/>
    </w:tbl>
    <w:p w14:paraId="44179D23" w14:textId="77777777" w:rsidR="001559F5" w:rsidRDefault="001559F5" w:rsidP="006F6897">
      <w:r>
        <w:br w:type="page"/>
      </w:r>
    </w:p>
    <w:p w14:paraId="1B5C880E" w14:textId="1DD6D162" w:rsidR="006F6897" w:rsidRPr="008131C6" w:rsidRDefault="006F6897" w:rsidP="006F6897">
      <w:pPr>
        <w:pStyle w:val="Heading1"/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r w:rsidRPr="006F6897">
        <w:rPr>
          <w:lang w:val="es-ES"/>
        </w:rPr>
        <w:t>Introducción</w:t>
      </w:r>
    </w:p>
    <w:p w14:paraId="47DC395B" w14:textId="441AE6DD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En las reuniones del GTC-Idiomas se han celebrado debates sobre la mejora del sitio web de la UIT en términos de armonización, experiencia de usuario y funcionalidad de búsqueda, de conformidad con la Resolución</w:t>
      </w:r>
      <w:r w:rsidR="008131C6">
        <w:rPr>
          <w:lang w:val="es-ES"/>
        </w:rPr>
        <w:t> </w:t>
      </w:r>
      <w:r w:rsidRPr="006F6897">
        <w:rPr>
          <w:lang w:val="es-ES"/>
        </w:rPr>
        <w:t xml:space="preserve">154 (Rev. Bucarest, 2022), en cuyo </w:t>
      </w:r>
      <w:r w:rsidRPr="006F6897">
        <w:rPr>
          <w:i/>
          <w:iCs/>
          <w:lang w:val="es-ES"/>
        </w:rPr>
        <w:t>reconociendo e)</w:t>
      </w:r>
      <w:r w:rsidRPr="006F6897">
        <w:rPr>
          <w:lang w:val="es-ES"/>
        </w:rPr>
        <w:t xml:space="preserve"> se estipula que los sitios web en los seis idiomas oficiales de la UIT son herramientas importantes para los miembros, los medios de comunicación, las instituciones docentes, y el público en general; y </w:t>
      </w:r>
      <w:r w:rsidRPr="006F6897">
        <w:rPr>
          <w:i/>
          <w:iCs/>
          <w:lang w:val="es-ES"/>
        </w:rPr>
        <w:t xml:space="preserve">encarga a la Secretaria General </w:t>
      </w:r>
      <w:r w:rsidRPr="006F6897">
        <w:rPr>
          <w:lang w:val="es-ES"/>
        </w:rPr>
        <w:t>3 que intensifique los trabajos de armonización de los sitios web de los Sectores de la UIT y de la Secretaría General en todos los idiomas oficiales de la Unión para garantizar la claridad y facilidad de navegación y lograr la imagen de "Una UIT".</w:t>
      </w:r>
    </w:p>
    <w:p w14:paraId="669141B5" w14:textId="32BE1C46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Dado que la mejora del sitio web es una cuestión transversal con implicaciones financieras, se debatió en paralelo en la 13ª</w:t>
      </w:r>
      <w:r w:rsidR="008131C6">
        <w:rPr>
          <w:lang w:val="es-ES"/>
        </w:rPr>
        <w:t> </w:t>
      </w:r>
      <w:r w:rsidRPr="006F6897">
        <w:rPr>
          <w:lang w:val="es-ES"/>
        </w:rPr>
        <w:t>reunión del GTC-Idiomas y en la 16ª</w:t>
      </w:r>
      <w:r w:rsidR="008131C6">
        <w:rPr>
          <w:lang w:val="es-ES"/>
        </w:rPr>
        <w:t> </w:t>
      </w:r>
      <w:r w:rsidRPr="006F6897">
        <w:rPr>
          <w:lang w:val="es-ES"/>
        </w:rPr>
        <w:t>reunión del GTC</w:t>
      </w:r>
      <w:r w:rsidR="008131C6">
        <w:rPr>
          <w:lang w:val="es-ES"/>
        </w:rPr>
        <w:noBreakHyphen/>
      </w:r>
      <w:r w:rsidRPr="006F6897">
        <w:rPr>
          <w:lang w:val="es-ES"/>
        </w:rPr>
        <w:t>RHF en octubre de 2023, de conformidad con una contribución de los Estados Miembros (Documento</w:t>
      </w:r>
      <w:r w:rsidR="008131C6">
        <w:rPr>
          <w:lang w:val="es-ES"/>
        </w:rPr>
        <w:t> </w:t>
      </w:r>
      <w:hyperlink r:id="rId12" w:history="1">
        <w:r w:rsidR="008131C6">
          <w:rPr>
            <w:rStyle w:val="Hyperlink"/>
            <w:lang w:val="es-ES"/>
          </w:rPr>
          <w:t>CWG-FHR/16/17</w:t>
        </w:r>
      </w:hyperlink>
      <w:r w:rsidRPr="006F6897">
        <w:rPr>
          <w:lang w:val="es-ES"/>
        </w:rPr>
        <w:t xml:space="preserve"> </w:t>
      </w:r>
      <w:r w:rsidR="008131C6">
        <w:rPr>
          <w:lang w:val="es-ES"/>
        </w:rPr>
        <w:t xml:space="preserve">/ </w:t>
      </w:r>
      <w:r w:rsidRPr="006F6897">
        <w:rPr>
          <w:lang w:val="es-ES"/>
        </w:rPr>
        <w:t>Documento</w:t>
      </w:r>
      <w:r w:rsidR="008131C6">
        <w:rPr>
          <w:lang w:val="es-ES"/>
        </w:rPr>
        <w:t> </w:t>
      </w:r>
      <w:hyperlink r:id="rId13" w:history="1">
        <w:r w:rsidRPr="006F6897">
          <w:rPr>
            <w:rStyle w:val="Hyperlink"/>
            <w:lang w:val="es-ES"/>
          </w:rPr>
          <w:t>CWG-LANG/13/4</w:t>
        </w:r>
      </w:hyperlink>
      <w:r w:rsidRPr="006F6897">
        <w:rPr>
          <w:lang w:val="es-ES"/>
        </w:rPr>
        <w:t>). Los principales problemas a resolver son el bajo rendimiento del motor de búsqueda de la UIT; armonización limitada de las características comunes entre los tres Sectores; y dificultad para localizar documentos y navegar por el sitio web.</w:t>
      </w:r>
    </w:p>
    <w:p w14:paraId="6D929AF0" w14:textId="72BAB95D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En la 14ª</w:t>
      </w:r>
      <w:r w:rsidR="008131C6">
        <w:rPr>
          <w:lang w:val="es-ES"/>
        </w:rPr>
        <w:t> </w:t>
      </w:r>
      <w:r w:rsidRPr="006F6897">
        <w:rPr>
          <w:lang w:val="es-ES"/>
        </w:rPr>
        <w:t>reunión del GTC-Idiomas celebrada en enero de 2024, la Secretaría presentó información actualizada sobre los progresos realizados en la armonización de sitios web (Documento</w:t>
      </w:r>
      <w:r w:rsidR="008131C6">
        <w:rPr>
          <w:lang w:val="es-ES"/>
        </w:rPr>
        <w:t> </w:t>
      </w:r>
      <w:hyperlink r:id="rId14" w:history="1">
        <w:r w:rsidRPr="006F6897">
          <w:rPr>
            <w:rStyle w:val="Hyperlink"/>
            <w:lang w:val="es-ES"/>
          </w:rPr>
          <w:t>CWG-LANG/14/INF/1</w:t>
        </w:r>
      </w:hyperlink>
      <w:r w:rsidRPr="006F6897">
        <w:rPr>
          <w:lang w:val="es-ES"/>
        </w:rPr>
        <w:t>). Tras los debates sobre este documento tanto en el GTC</w:t>
      </w:r>
      <w:r w:rsidR="008131C6">
        <w:rPr>
          <w:lang w:val="es-ES"/>
        </w:rPr>
        <w:noBreakHyphen/>
      </w:r>
      <w:r w:rsidRPr="006F6897">
        <w:rPr>
          <w:lang w:val="es-ES"/>
        </w:rPr>
        <w:t>Idiomas como en la 17ª</w:t>
      </w:r>
      <w:r w:rsidR="008131C6">
        <w:rPr>
          <w:lang w:val="es-ES"/>
        </w:rPr>
        <w:t> </w:t>
      </w:r>
      <w:r w:rsidRPr="006F6897">
        <w:rPr>
          <w:lang w:val="es-ES"/>
        </w:rPr>
        <w:t>reunión del GTC-RHF, se pidió a la Secretaría que presentara al Consejo en junio de 2024 una hoja de ruta de medidas concretas para la mejora del sitio web antes de la Conferencia de Plenipotenciarios de 2026.</w:t>
      </w:r>
    </w:p>
    <w:p w14:paraId="2C4ECF64" w14:textId="0AEA0571" w:rsidR="006F6897" w:rsidRPr="006F6897" w:rsidRDefault="006F6897" w:rsidP="006F6897">
      <w:pPr>
        <w:pStyle w:val="Heading1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Pr="006F6897">
        <w:rPr>
          <w:lang w:val="es-ES"/>
        </w:rPr>
        <w:t>Hoja de ruta para mejorar la búsqueda y armonización del sitio web de la UIT</w:t>
      </w:r>
    </w:p>
    <w:p w14:paraId="6676FFE0" w14:textId="77777777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El proyecto se centra en el desarrollo de un sitio web moderno, adaptable a dispositivos móviles, seguro y multilingüe, caracterizado por una arquitectura de información unificada y una taxonomía bien definida. El objetivo es proporcionar capacidades de búsqueda sólidas, una navegación fácil de usar y una marca y mensajes consistentes. El objetivo es garantizar un diseño que priorice y mejore la experiencia del usuario.</w:t>
      </w:r>
    </w:p>
    <w:p w14:paraId="7E431853" w14:textId="02027E5F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 xml:space="preserve">Este proyecto es una parte integral de la </w:t>
      </w:r>
      <w:r w:rsidR="00096142">
        <w:rPr>
          <w:lang w:val="es-ES"/>
        </w:rPr>
        <w:t>h</w:t>
      </w:r>
      <w:r w:rsidRPr="006F6897">
        <w:rPr>
          <w:lang w:val="es-ES"/>
        </w:rPr>
        <w:t xml:space="preserve">oja de </w:t>
      </w:r>
      <w:r w:rsidR="00096142">
        <w:rPr>
          <w:lang w:val="es-ES"/>
        </w:rPr>
        <w:t>r</w:t>
      </w:r>
      <w:r w:rsidRPr="006F6897">
        <w:rPr>
          <w:lang w:val="es-ES"/>
        </w:rPr>
        <w:t xml:space="preserve">uta de </w:t>
      </w:r>
      <w:r w:rsidR="00096142">
        <w:rPr>
          <w:lang w:val="es-ES"/>
        </w:rPr>
        <w:t>t</w:t>
      </w:r>
      <w:r w:rsidRPr="006F6897">
        <w:rPr>
          <w:lang w:val="es-ES"/>
        </w:rPr>
        <w:t>ransformación.</w:t>
      </w:r>
    </w:p>
    <w:p w14:paraId="6F093431" w14:textId="50414236" w:rsidR="006F6897" w:rsidRDefault="006F6897" w:rsidP="006F6897">
      <w:pPr>
        <w:rPr>
          <w:lang w:val="es-ES"/>
        </w:rPr>
      </w:pPr>
      <w:r w:rsidRPr="006F6897">
        <w:rPr>
          <w:lang w:val="es-ES"/>
        </w:rPr>
        <w:t>Paralelamente al calendario para la creación de un nuevo sitio web, en el segundo semestre de 2024 se llevará a cabo una mejora inicial de la actual función de búsqueda del sitio web de la UIT.</w:t>
      </w:r>
    </w:p>
    <w:p w14:paraId="4F24285F" w14:textId="5D533A54" w:rsidR="006F6897" w:rsidRPr="006F6897" w:rsidRDefault="006F6897" w:rsidP="006F6897">
      <w:pPr>
        <w:pStyle w:val="Heading2"/>
        <w:rPr>
          <w:lang w:val="es-ES"/>
        </w:rPr>
      </w:pPr>
      <w:r w:rsidRPr="006F6897">
        <w:rPr>
          <w:lang w:val="es-ES"/>
        </w:rPr>
        <w:t>2.1</w:t>
      </w:r>
      <w:r w:rsidRPr="006F6897">
        <w:rPr>
          <w:lang w:val="es-ES"/>
        </w:rPr>
        <w:tab/>
        <w:t>Calendario</w:t>
      </w:r>
    </w:p>
    <w:p w14:paraId="1985D57E" w14:textId="319C880C" w:rsidR="00237C6E" w:rsidRDefault="00237C6E" w:rsidP="008131C6">
      <w:pPr>
        <w:pStyle w:val="Figure"/>
        <w:keepNext w:val="0"/>
        <w:keepLines w:val="0"/>
        <w:rPr>
          <w:lang w:val="es-ES"/>
        </w:rPr>
      </w:pPr>
      <w:r w:rsidRPr="00237C6E">
        <w:drawing>
          <wp:inline distT="0" distB="0" distL="0" distR="0" wp14:anchorId="5D1BF15A" wp14:editId="5CF18C3E">
            <wp:extent cx="5760000" cy="17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4DA68" w14:textId="56ABD7E2" w:rsidR="006F6897" w:rsidRPr="006F6897" w:rsidRDefault="006F6897" w:rsidP="006F6897">
      <w:pPr>
        <w:pStyle w:val="Heading2"/>
        <w:rPr>
          <w:lang w:val="es-ES"/>
        </w:rPr>
      </w:pPr>
      <w:r w:rsidRPr="006F6897">
        <w:rPr>
          <w:lang w:val="es-ES"/>
        </w:rPr>
        <w:t>2.2</w:t>
      </w:r>
      <w:r w:rsidRPr="006F6897">
        <w:rPr>
          <w:lang w:val="es-ES"/>
        </w:rPr>
        <w:tab/>
        <w:t>Repercusiones financieras</w:t>
      </w:r>
    </w:p>
    <w:p w14:paraId="145B8F1E" w14:textId="0118C086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El proyecto requiere un presupuesto estimado de 600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CHF (como parte de la hoja de ruta de transformación y el presupuesto), que se comprometerá en 2024 y se gastará en</w:t>
      </w:r>
      <w:r w:rsidR="008131C6">
        <w:rPr>
          <w:lang w:val="es-ES"/>
        </w:rPr>
        <w:t> </w:t>
      </w:r>
      <w:r w:rsidRPr="006F6897">
        <w:rPr>
          <w:lang w:val="es-ES"/>
        </w:rPr>
        <w:t>2025 (500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CHF) y 2026 (100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CHF), respectivamente.</w:t>
      </w:r>
    </w:p>
    <w:p w14:paraId="178E2261" w14:textId="77777777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A continuación, se indican los detalles estimados de costos y gastos. Los productos están sujetos a la disponibilidad presupuestaria y a la atribución de recursos internos (desarrolladores, directores web, creadores de contenido, etc.) entre las tres Oficinas y la Secretaría General.</w:t>
      </w:r>
    </w:p>
    <w:p w14:paraId="42C9AAB8" w14:textId="1C363DFD" w:rsidR="006F6897" w:rsidRPr="006F6897" w:rsidRDefault="006F6897" w:rsidP="006F6897">
      <w:pPr>
        <w:pStyle w:val="Heading2"/>
        <w:spacing w:after="120"/>
        <w:rPr>
          <w:lang w:val="es-ES"/>
        </w:rPr>
      </w:pPr>
      <w:r w:rsidRPr="006F6897">
        <w:rPr>
          <w:lang w:val="es-ES"/>
        </w:rPr>
        <w:t>2.3</w:t>
      </w:r>
      <w:r w:rsidRPr="006F6897">
        <w:rPr>
          <w:lang w:val="es-ES"/>
        </w:rPr>
        <w:tab/>
        <w:t>Gastos estimados por fases del proyecto</w:t>
      </w:r>
    </w:p>
    <w:tbl>
      <w:tblPr>
        <w:tblStyle w:val="TableGridLight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18"/>
        <w:gridCol w:w="2729"/>
        <w:gridCol w:w="2725"/>
      </w:tblGrid>
      <w:tr w:rsidR="00096142" w:rsidRPr="006F6897" w14:paraId="26B4A872" w14:textId="77777777" w:rsidTr="00ED5D36">
        <w:trPr>
          <w:jc w:val="center"/>
        </w:trPr>
        <w:tc>
          <w:tcPr>
            <w:tcW w:w="2689" w:type="dxa"/>
          </w:tcPr>
          <w:p w14:paraId="4DA7399F" w14:textId="6E162F1C" w:rsidR="006F6897" w:rsidRPr="006F6897" w:rsidRDefault="006F6897" w:rsidP="00096142">
            <w:pPr>
              <w:pStyle w:val="Tablehead"/>
              <w:jc w:val="left"/>
              <w:rPr>
                <w:lang w:val="en-GB"/>
              </w:rPr>
            </w:pPr>
            <w:r w:rsidRPr="006F6897">
              <w:rPr>
                <w:lang w:val="es-ES"/>
              </w:rPr>
              <w:t>Fases</w:t>
            </w:r>
          </w:p>
        </w:tc>
        <w:tc>
          <w:tcPr>
            <w:tcW w:w="918" w:type="dxa"/>
          </w:tcPr>
          <w:p w14:paraId="235A6E5E" w14:textId="4FF8F960" w:rsidR="006F6897" w:rsidRPr="006F6897" w:rsidRDefault="006F6897" w:rsidP="00096142">
            <w:pPr>
              <w:pStyle w:val="Tablehead"/>
              <w:rPr>
                <w:lang w:val="en-GB"/>
              </w:rPr>
            </w:pPr>
            <w:r w:rsidRPr="006F6897">
              <w:rPr>
                <w:lang w:val="es-ES"/>
              </w:rPr>
              <w:t>2024</w:t>
            </w:r>
          </w:p>
        </w:tc>
        <w:tc>
          <w:tcPr>
            <w:tcW w:w="2729" w:type="dxa"/>
          </w:tcPr>
          <w:p w14:paraId="5F48CB50" w14:textId="77777777" w:rsidR="006F6897" w:rsidRPr="006F6897" w:rsidRDefault="006F6897" w:rsidP="00096142">
            <w:pPr>
              <w:pStyle w:val="Tablehead"/>
              <w:jc w:val="left"/>
              <w:rPr>
                <w:lang w:val="en-GB"/>
              </w:rPr>
            </w:pPr>
            <w:r w:rsidRPr="006F6897">
              <w:rPr>
                <w:lang w:val="es-ES"/>
              </w:rPr>
              <w:t>2025</w:t>
            </w:r>
          </w:p>
        </w:tc>
        <w:tc>
          <w:tcPr>
            <w:tcW w:w="2725" w:type="dxa"/>
          </w:tcPr>
          <w:p w14:paraId="06AC9AA0" w14:textId="1D83B4B7" w:rsidR="006F6897" w:rsidRPr="006F6897" w:rsidRDefault="006F6897" w:rsidP="00096142">
            <w:pPr>
              <w:pStyle w:val="Tablehead"/>
              <w:jc w:val="left"/>
              <w:rPr>
                <w:lang w:val="en-GB"/>
              </w:rPr>
            </w:pPr>
            <w:r w:rsidRPr="006F6897">
              <w:rPr>
                <w:lang w:val="es-ES"/>
              </w:rPr>
              <w:t>2026</w:t>
            </w:r>
          </w:p>
        </w:tc>
      </w:tr>
      <w:tr w:rsidR="00096142" w:rsidRPr="006F6897" w14:paraId="39E0EF5F" w14:textId="77777777" w:rsidTr="00ED5D36">
        <w:trPr>
          <w:jc w:val="center"/>
        </w:trPr>
        <w:tc>
          <w:tcPr>
            <w:tcW w:w="2689" w:type="dxa"/>
          </w:tcPr>
          <w:p w14:paraId="7BAED95A" w14:textId="77777777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Gobernanza inicial y limpieza</w:t>
            </w:r>
          </w:p>
        </w:tc>
        <w:tc>
          <w:tcPr>
            <w:tcW w:w="918" w:type="dxa"/>
          </w:tcPr>
          <w:p w14:paraId="7DD55DE2" w14:textId="77777777" w:rsidR="006F6897" w:rsidRPr="006F6897" w:rsidRDefault="006F6897" w:rsidP="00096142">
            <w:pPr>
              <w:pStyle w:val="Tabletext"/>
              <w:jc w:val="center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  <w:tc>
          <w:tcPr>
            <w:tcW w:w="2729" w:type="dxa"/>
          </w:tcPr>
          <w:p w14:paraId="7D7FA19B" w14:textId="77777777" w:rsidR="006F6897" w:rsidRPr="006F6897" w:rsidRDefault="006F6897" w:rsidP="00ED5D36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  <w:tc>
          <w:tcPr>
            <w:tcW w:w="2725" w:type="dxa"/>
          </w:tcPr>
          <w:p w14:paraId="2467B6EA" w14:textId="77777777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</w:tr>
      <w:tr w:rsidR="00096142" w:rsidRPr="006F6897" w14:paraId="29DDA5B6" w14:textId="77777777" w:rsidTr="00ED5D36">
        <w:trPr>
          <w:jc w:val="center"/>
        </w:trPr>
        <w:tc>
          <w:tcPr>
            <w:tcW w:w="2689" w:type="dxa"/>
          </w:tcPr>
          <w:p w14:paraId="054BEA7B" w14:textId="77777777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Normalización</w:t>
            </w:r>
          </w:p>
        </w:tc>
        <w:tc>
          <w:tcPr>
            <w:tcW w:w="918" w:type="dxa"/>
          </w:tcPr>
          <w:p w14:paraId="4C6F116D" w14:textId="30BF3FD2" w:rsidR="006F6897" w:rsidRPr="006F6897" w:rsidRDefault="006F6897" w:rsidP="00096142">
            <w:pPr>
              <w:pStyle w:val="Tabletext"/>
              <w:jc w:val="center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  <w:tc>
          <w:tcPr>
            <w:tcW w:w="2729" w:type="dxa"/>
          </w:tcPr>
          <w:p w14:paraId="5BFC6AE5" w14:textId="5B2055DB" w:rsidR="006F6897" w:rsidRPr="006F6897" w:rsidRDefault="006F6897" w:rsidP="00ED5D36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250</w:t>
            </w:r>
            <w:r w:rsidR="008131C6">
              <w:rPr>
                <w:lang w:val="es-ES"/>
              </w:rPr>
              <w:t> </w:t>
            </w:r>
            <w:r w:rsidRPr="006F6897">
              <w:rPr>
                <w:lang w:val="es-ES"/>
              </w:rPr>
              <w:t xml:space="preserve">000 </w:t>
            </w:r>
            <w:r w:rsidR="00096142">
              <w:rPr>
                <w:lang w:val="es-ES"/>
              </w:rPr>
              <w:br/>
            </w:r>
            <w:r w:rsidRPr="006F6897">
              <w:rPr>
                <w:lang w:val="es-ES"/>
              </w:rPr>
              <w:t>(se comprometerá en 2024)</w:t>
            </w:r>
          </w:p>
        </w:tc>
        <w:tc>
          <w:tcPr>
            <w:tcW w:w="2725" w:type="dxa"/>
          </w:tcPr>
          <w:p w14:paraId="7D9DCD65" w14:textId="77777777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</w:tr>
      <w:tr w:rsidR="00096142" w:rsidRPr="006F6897" w14:paraId="123D5F7E" w14:textId="77777777" w:rsidTr="00ED5D36">
        <w:trPr>
          <w:jc w:val="center"/>
        </w:trPr>
        <w:tc>
          <w:tcPr>
            <w:tcW w:w="2689" w:type="dxa"/>
          </w:tcPr>
          <w:p w14:paraId="372B0113" w14:textId="4E410DE7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Ejecución</w:t>
            </w:r>
          </w:p>
        </w:tc>
        <w:tc>
          <w:tcPr>
            <w:tcW w:w="918" w:type="dxa"/>
          </w:tcPr>
          <w:p w14:paraId="07D4F419" w14:textId="77777777" w:rsidR="006F6897" w:rsidRPr="006F6897" w:rsidRDefault="006F6897" w:rsidP="00096142">
            <w:pPr>
              <w:pStyle w:val="Tabletext"/>
              <w:jc w:val="center"/>
              <w:rPr>
                <w:lang w:val="en-GB"/>
              </w:rPr>
            </w:pPr>
            <w:r w:rsidRPr="006F6897">
              <w:rPr>
                <w:lang w:val="es-ES"/>
              </w:rPr>
              <w:t>0</w:t>
            </w:r>
          </w:p>
        </w:tc>
        <w:tc>
          <w:tcPr>
            <w:tcW w:w="2729" w:type="dxa"/>
          </w:tcPr>
          <w:p w14:paraId="0FA50D6B" w14:textId="1F599DF7" w:rsidR="006F6897" w:rsidRPr="006F6897" w:rsidRDefault="006F6897" w:rsidP="00ED5D36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250</w:t>
            </w:r>
            <w:r w:rsidR="008131C6">
              <w:rPr>
                <w:lang w:val="es-ES"/>
              </w:rPr>
              <w:t> </w:t>
            </w:r>
            <w:r w:rsidRPr="006F6897">
              <w:rPr>
                <w:lang w:val="es-ES"/>
              </w:rPr>
              <w:t>000</w:t>
            </w:r>
            <w:r w:rsidR="00096142">
              <w:rPr>
                <w:lang w:val="es-ES"/>
              </w:rPr>
              <w:br/>
            </w:r>
            <w:r w:rsidRPr="006F6897">
              <w:rPr>
                <w:lang w:val="es-ES"/>
              </w:rPr>
              <w:t>(se comprometerá en 2024)</w:t>
            </w:r>
          </w:p>
        </w:tc>
        <w:tc>
          <w:tcPr>
            <w:tcW w:w="2725" w:type="dxa"/>
          </w:tcPr>
          <w:p w14:paraId="4A008D66" w14:textId="4643068C" w:rsidR="006F6897" w:rsidRPr="006F6897" w:rsidRDefault="006F6897" w:rsidP="006F6897">
            <w:pPr>
              <w:pStyle w:val="Tabletext"/>
              <w:rPr>
                <w:lang w:val="en-GB"/>
              </w:rPr>
            </w:pPr>
            <w:r w:rsidRPr="006F6897">
              <w:rPr>
                <w:lang w:val="es-ES"/>
              </w:rPr>
              <w:t>100</w:t>
            </w:r>
            <w:r w:rsidR="008131C6">
              <w:rPr>
                <w:lang w:val="es-ES"/>
              </w:rPr>
              <w:t> </w:t>
            </w:r>
            <w:r w:rsidRPr="006F6897">
              <w:rPr>
                <w:lang w:val="es-ES"/>
              </w:rPr>
              <w:t>000</w:t>
            </w:r>
            <w:r w:rsidR="00096142">
              <w:rPr>
                <w:lang w:val="es-ES"/>
              </w:rPr>
              <w:br/>
            </w:r>
            <w:r w:rsidRPr="006F6897">
              <w:rPr>
                <w:lang w:val="es-ES"/>
              </w:rPr>
              <w:t>(se comprometerá en 2024)</w:t>
            </w:r>
          </w:p>
        </w:tc>
      </w:tr>
      <w:tr w:rsidR="00096142" w:rsidRPr="006F6897" w14:paraId="7D78BF84" w14:textId="77777777" w:rsidTr="00ED5D36">
        <w:trPr>
          <w:jc w:val="center"/>
        </w:trPr>
        <w:tc>
          <w:tcPr>
            <w:tcW w:w="2689" w:type="dxa"/>
          </w:tcPr>
          <w:p w14:paraId="57852BA8" w14:textId="77777777" w:rsidR="006F6897" w:rsidRPr="006F6897" w:rsidRDefault="006F6897" w:rsidP="006F6897">
            <w:pPr>
              <w:pStyle w:val="Tabletext"/>
              <w:rPr>
                <w:b/>
                <w:bCs/>
                <w:lang w:val="en-GB"/>
              </w:rPr>
            </w:pPr>
            <w:r w:rsidRPr="006F6897">
              <w:rPr>
                <w:b/>
                <w:bCs/>
                <w:lang w:val="es-ES"/>
              </w:rPr>
              <w:t>Total</w:t>
            </w:r>
          </w:p>
        </w:tc>
        <w:tc>
          <w:tcPr>
            <w:tcW w:w="918" w:type="dxa"/>
          </w:tcPr>
          <w:p w14:paraId="2AE89F6E" w14:textId="77777777" w:rsidR="006F6897" w:rsidRPr="006F6897" w:rsidRDefault="006F6897" w:rsidP="00096142">
            <w:pPr>
              <w:pStyle w:val="Tabletext"/>
              <w:jc w:val="center"/>
              <w:rPr>
                <w:b/>
                <w:bCs/>
                <w:lang w:val="en-GB"/>
              </w:rPr>
            </w:pPr>
            <w:r w:rsidRPr="006F6897">
              <w:rPr>
                <w:b/>
                <w:bCs/>
                <w:lang w:val="es-ES"/>
              </w:rPr>
              <w:t>0</w:t>
            </w:r>
          </w:p>
        </w:tc>
        <w:tc>
          <w:tcPr>
            <w:tcW w:w="2729" w:type="dxa"/>
          </w:tcPr>
          <w:p w14:paraId="3938F8CE" w14:textId="01E4AEE5" w:rsidR="006F6897" w:rsidRPr="006F6897" w:rsidRDefault="006F6897" w:rsidP="00ED5D36">
            <w:pPr>
              <w:pStyle w:val="Tabletext"/>
              <w:rPr>
                <w:b/>
                <w:bCs/>
                <w:lang w:val="en-GB"/>
              </w:rPr>
            </w:pPr>
            <w:r w:rsidRPr="006F6897">
              <w:rPr>
                <w:b/>
                <w:bCs/>
                <w:lang w:val="es-ES"/>
              </w:rPr>
              <w:t>500</w:t>
            </w:r>
            <w:r w:rsidR="00237C6E">
              <w:rPr>
                <w:b/>
                <w:bCs/>
                <w:lang w:val="es-ES"/>
              </w:rPr>
              <w:t> </w:t>
            </w:r>
            <w:r w:rsidRPr="006F6897">
              <w:rPr>
                <w:b/>
                <w:bCs/>
                <w:lang w:val="es-ES"/>
              </w:rPr>
              <w:t>000</w:t>
            </w:r>
          </w:p>
        </w:tc>
        <w:tc>
          <w:tcPr>
            <w:tcW w:w="2725" w:type="dxa"/>
          </w:tcPr>
          <w:p w14:paraId="59ADD95E" w14:textId="18C164B4" w:rsidR="006F6897" w:rsidRPr="006F6897" w:rsidRDefault="006F6897" w:rsidP="006F6897">
            <w:pPr>
              <w:pStyle w:val="Tabletext"/>
              <w:rPr>
                <w:b/>
                <w:bCs/>
                <w:lang w:val="en-GB"/>
              </w:rPr>
            </w:pPr>
            <w:r w:rsidRPr="006F6897">
              <w:rPr>
                <w:b/>
                <w:bCs/>
                <w:lang w:val="es-ES"/>
              </w:rPr>
              <w:t>100</w:t>
            </w:r>
            <w:r w:rsidR="00237C6E">
              <w:rPr>
                <w:b/>
                <w:bCs/>
                <w:lang w:val="es-ES"/>
              </w:rPr>
              <w:t> </w:t>
            </w:r>
            <w:r w:rsidRPr="006F6897">
              <w:rPr>
                <w:b/>
                <w:bCs/>
                <w:lang w:val="es-ES"/>
              </w:rPr>
              <w:t>000</w:t>
            </w:r>
          </w:p>
        </w:tc>
      </w:tr>
    </w:tbl>
    <w:p w14:paraId="6B35BD9C" w14:textId="00CC91D6" w:rsidR="006F6897" w:rsidRPr="006F6897" w:rsidRDefault="006F6897" w:rsidP="00096142">
      <w:pPr>
        <w:pStyle w:val="Normalaftertitle"/>
        <w:tabs>
          <w:tab w:val="clear" w:pos="567"/>
          <w:tab w:val="left" w:pos="709"/>
        </w:tabs>
        <w:rPr>
          <w:lang w:val="es-ES"/>
        </w:rPr>
      </w:pPr>
      <w:r w:rsidRPr="006F6897">
        <w:rPr>
          <w:b/>
          <w:bCs/>
          <w:lang w:val="es-ES"/>
        </w:rPr>
        <w:t>2.3.1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Fase 1: La gobernanza y limpieza web</w:t>
      </w:r>
      <w:r w:rsidRPr="006F6897">
        <w:rPr>
          <w:lang w:val="es-ES"/>
        </w:rPr>
        <w:t xml:space="preserve"> establecen una base para el proyecto mediante el establecimiento de políticas y estándares al tiempo que racionalizan los activos web existentes:</w:t>
      </w:r>
    </w:p>
    <w:p w14:paraId="07B7EC35" w14:textId="430372F8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096142">
        <w:rPr>
          <w:b/>
          <w:bCs/>
          <w:lang w:val="es-ES"/>
        </w:rPr>
        <w:t>Gobernanza web</w:t>
      </w:r>
      <w:r w:rsidRPr="006F6897">
        <w:rPr>
          <w:lang w:val="es-ES"/>
        </w:rPr>
        <w:t>: crear un marco para definir roles, responsabilidades y procesos para administrar el sitio web.</w:t>
      </w:r>
    </w:p>
    <w:p w14:paraId="35ED5B56" w14:textId="591F3A05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096142">
        <w:rPr>
          <w:b/>
          <w:bCs/>
          <w:lang w:val="es-ES"/>
        </w:rPr>
        <w:t>Limpieza</w:t>
      </w:r>
      <w:r w:rsidRPr="006F6897">
        <w:rPr>
          <w:lang w:val="es-ES"/>
        </w:rPr>
        <w:t>: auditar el contenido y la infraestructura web actual, crear una estrategia basada en datos para eliminar o archivar información obsoleta o redundante y optimizar los archivos multimedia.</w:t>
      </w:r>
    </w:p>
    <w:p w14:paraId="6DD5C0EA" w14:textId="77777777" w:rsidR="006F6897" w:rsidRPr="006F6897" w:rsidRDefault="006F6897" w:rsidP="006F6897">
      <w:pPr>
        <w:rPr>
          <w:bCs/>
          <w:lang w:val="es-ES"/>
        </w:rPr>
      </w:pPr>
      <w:r w:rsidRPr="006F6897">
        <w:rPr>
          <w:lang w:val="es-ES"/>
        </w:rPr>
        <w:t>Esta fase movilizará los recursos internos de la UIT y no exigirá una asignación presupuestaria.</w:t>
      </w:r>
    </w:p>
    <w:p w14:paraId="3C56C692" w14:textId="77777777" w:rsidR="006F6897" w:rsidRPr="006F6897" w:rsidRDefault="006F6897" w:rsidP="00096142">
      <w:pPr>
        <w:keepNext/>
        <w:keepLines/>
        <w:tabs>
          <w:tab w:val="clear" w:pos="567"/>
          <w:tab w:val="left" w:pos="709"/>
        </w:tabs>
        <w:rPr>
          <w:lang w:val="es-ES"/>
        </w:rPr>
      </w:pPr>
      <w:r w:rsidRPr="006F6897">
        <w:rPr>
          <w:b/>
          <w:bCs/>
          <w:lang w:val="es-ES"/>
        </w:rPr>
        <w:t>2.3.2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Fase 2: La estandarización</w:t>
      </w:r>
      <w:r w:rsidRPr="006F6897">
        <w:rPr>
          <w:lang w:val="es-ES"/>
        </w:rPr>
        <w:t xml:space="preserve"> es crucial para un sitio web coherente, fácil de usar y escalable. Esta estrategia exige los siguientes componentes clave:</w:t>
      </w:r>
    </w:p>
    <w:p w14:paraId="680CA8BA" w14:textId="67F4CB7B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Arquitectura de la información (AI)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el objetivo principal es organizar y estructurar sistemáticamente el contenido, la navegación y la capacidad de búsqueda del sitio web.</w:t>
      </w:r>
    </w:p>
    <w:p w14:paraId="48B1D1AB" w14:textId="4CB1477E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Taxonomía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establece el sistema de clasificación utilizado para organizar el contenido.</w:t>
      </w:r>
    </w:p>
    <w:p w14:paraId="68C56EC0" w14:textId="3F5C0BF0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Realización de pruebas de usuario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proceso de evaluación del sitio web a través de pruebas con usuarios reales, incluidos los Estados Miembros, como solicitó el GTC</w:t>
      </w:r>
      <w:r w:rsidR="00096142">
        <w:rPr>
          <w:lang w:val="es-ES"/>
        </w:rPr>
        <w:noBreakHyphen/>
      </w:r>
      <w:r w:rsidRPr="006F6897">
        <w:rPr>
          <w:lang w:val="es-ES"/>
        </w:rPr>
        <w:t>Idiomas en enero/febrero de 2024. Esto es importante para identificar problemas de usabilidad, confusión en la navegación y otros obstáculos que dificultan la experiencia del usuario. La información obtenida de las pruebas se utiliza para perfeccionar la arquitectura y taxonomía de la información, garantizando que el diseño del sitio web sea intuitivo y satisfaga las necesidades de los Miembros de la</w:t>
      </w:r>
      <w:r w:rsidR="008131C6">
        <w:rPr>
          <w:lang w:val="es-ES"/>
        </w:rPr>
        <w:t> </w:t>
      </w:r>
      <w:r w:rsidRPr="006F6897">
        <w:rPr>
          <w:lang w:val="es-ES"/>
        </w:rPr>
        <w:t>UIT.</w:t>
      </w:r>
    </w:p>
    <w:p w14:paraId="7936AF96" w14:textId="6C09CA8E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Esta fase requerirá apoyo externo debido a la experiencia específica requerida. Sobre la base de trabajos similares realizados por otros organismos de las Naciones Unidas (por ejemplo, la OMS, la UNOPS y el ACNUDH), el costo estimado de esta fase es de 250</w:t>
      </w:r>
      <w:r w:rsidR="008131C6">
        <w:rPr>
          <w:lang w:val="es-ES"/>
        </w:rPr>
        <w:t> </w:t>
      </w:r>
      <w:r w:rsidRPr="006F6897">
        <w:rPr>
          <w:lang w:val="es-ES"/>
        </w:rPr>
        <w:t>000</w:t>
      </w:r>
      <w:r w:rsidR="008131C6">
        <w:rPr>
          <w:lang w:val="es-ES"/>
        </w:rPr>
        <w:t> </w:t>
      </w:r>
      <w:r w:rsidRPr="006F6897">
        <w:rPr>
          <w:lang w:val="es-ES"/>
        </w:rPr>
        <w:t>CHF.</w:t>
      </w:r>
    </w:p>
    <w:p w14:paraId="41FB06A7" w14:textId="77777777" w:rsidR="006F6897" w:rsidRPr="006F6897" w:rsidRDefault="006F6897" w:rsidP="00237C6E">
      <w:pPr>
        <w:tabs>
          <w:tab w:val="clear" w:pos="567"/>
          <w:tab w:val="left" w:pos="709"/>
        </w:tabs>
        <w:rPr>
          <w:lang w:val="es-ES"/>
        </w:rPr>
      </w:pPr>
      <w:r w:rsidRPr="006F6897">
        <w:rPr>
          <w:b/>
          <w:bCs/>
          <w:lang w:val="es-ES"/>
        </w:rPr>
        <w:t>2.3.3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Fase 3: La ejecución</w:t>
      </w:r>
      <w:r w:rsidRPr="006F6897">
        <w:rPr>
          <w:lang w:val="es-ES"/>
        </w:rPr>
        <w:t xml:space="preserve"> es donde la planificación y el diseño del nuevo sitio web cobran vida. Durante esta fase, se completan las siguientes tareas críticas:</w:t>
      </w:r>
    </w:p>
    <w:p w14:paraId="563B0391" w14:textId="5FD6BD35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Funcionalidad de búsqueda mejorada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implementar una robusta arquitectura WordPress para permitir resultados de búsqueda potentes e integrados en todas las plataformas de la UIT, asegurando que los usuarios puedan encontrar fácilmente la información que necesitan.</w:t>
      </w:r>
    </w:p>
    <w:p w14:paraId="3104B5C8" w14:textId="3E33AF3E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Seguridad y cumplimiento exhaustivos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reforzar las medidas de seguridad de WordPress y garantizar el cumplimiento de las normas pertinentes, protegiendo los activos digitales de la UIT y los datos de los usuarios contra las amenazas.</w:t>
      </w:r>
    </w:p>
    <w:p w14:paraId="1CBE86E9" w14:textId="6F1971E7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Mejora de la experiencia del usuario y la accesibilidad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mejora de la experiencia del usuario/interfaz de usuario y aplicación de los componentes necesarios de accesibilidad y rendimiento, haciendo que las plataformas de la UIT sean más fáciles de usar y accesibles para todo el público.</w:t>
      </w:r>
    </w:p>
    <w:p w14:paraId="544A5689" w14:textId="00238E5F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Optimización avanzada de motores de búsqueda y administración de sitios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eleve la administración de optimización de motores de búsqueda e introduzca el archivo de sitios de WordPress, la implementación de búsquedas corporativas y la administración de retención de políticas para optimizar la visibilidad.</w:t>
      </w:r>
    </w:p>
    <w:p w14:paraId="42E6A0F5" w14:textId="29926B5E" w:rsidR="006F6897" w:rsidRPr="006F6897" w:rsidRDefault="006F6897" w:rsidP="006F6897">
      <w:pPr>
        <w:pStyle w:val="enumlev1"/>
        <w:rPr>
          <w:lang w:val="es-ES"/>
        </w:rPr>
      </w:pPr>
      <w:r w:rsidRPr="006F6897">
        <w:rPr>
          <w:lang w:val="es-ES"/>
        </w:rPr>
        <w:t>•</w:t>
      </w:r>
      <w:r w:rsidRPr="006F6897">
        <w:rPr>
          <w:lang w:val="es-ES"/>
        </w:rPr>
        <w:tab/>
      </w:r>
      <w:r w:rsidRPr="006F6897">
        <w:rPr>
          <w:b/>
          <w:bCs/>
          <w:lang w:val="es-ES"/>
        </w:rPr>
        <w:t>Preparación de la página por parte de los creadores de contenido</w:t>
      </w:r>
      <w:r w:rsidRPr="008131C6">
        <w:rPr>
          <w:lang w:val="es-ES"/>
        </w:rPr>
        <w:t xml:space="preserve">: </w:t>
      </w:r>
      <w:r w:rsidRPr="006F6897">
        <w:rPr>
          <w:lang w:val="es-ES"/>
        </w:rPr>
        <w:t>en esta fase, los creadores de contenido tienen la tarea de crear páginas aprovechando los componentes prediseñados. Este método garantiza que las páginas se ajusten a los estándares de diseño establecidos por el equipo de marca y experiencia de usuario/interfaz de usuario, realizando con precisión la visión de diseño deseada.</w:t>
      </w:r>
    </w:p>
    <w:p w14:paraId="24B9B305" w14:textId="77777777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Los recursos internos se pueden aprovechar para la etapa final del proyecto. Se dará prioridad a la ejecución del sitio web sectorial del UIT-R.</w:t>
      </w:r>
    </w:p>
    <w:p w14:paraId="03157C65" w14:textId="4EAC969B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Sin embargo, el apoyo externo a corto plazo, que se extiende desde la selección de tecnología y solución hasta la creación de capacidad, es esencial para garantizar una entrega de calidad de un proyecto de este tamaño y garantizar que el proyecto cumpla con altos estándares en todo momento. Sobre la base de proyectos anteriores similares, los costos estimados serán de alrededor de 350</w:t>
      </w:r>
      <w:r>
        <w:rPr>
          <w:lang w:val="es-ES"/>
        </w:rPr>
        <w:t> </w:t>
      </w:r>
      <w:r w:rsidRPr="006F6897">
        <w:rPr>
          <w:lang w:val="es-ES"/>
        </w:rPr>
        <w:t>000</w:t>
      </w:r>
      <w:r>
        <w:rPr>
          <w:lang w:val="es-ES"/>
        </w:rPr>
        <w:t> </w:t>
      </w:r>
      <w:r w:rsidRPr="006F6897">
        <w:rPr>
          <w:lang w:val="es-ES"/>
        </w:rPr>
        <w:t>CHF, incluido el trabajo técnico como la revisión de la arquitectura de WordPress, la seguridad y el cumplimiento de WordPress, la experiencia del usuario/interfaz de usuario y el desarrollo previo y posterior.</w:t>
      </w:r>
    </w:p>
    <w:p w14:paraId="6A51DD4B" w14:textId="60B885FA" w:rsidR="006F6897" w:rsidRPr="006F6897" w:rsidRDefault="006F6897" w:rsidP="006F6897">
      <w:pPr>
        <w:rPr>
          <w:lang w:val="es-ES"/>
        </w:rPr>
      </w:pPr>
      <w:r w:rsidRPr="006F6897">
        <w:rPr>
          <w:lang w:val="es-ES"/>
        </w:rPr>
        <w:t>El proyecto ofrecerá un sitio web moderno y multilingüe, con capacidades de búsqueda mejoradas, navegación fácil de usar y experiencia de usuario mejorada para los miembros y el personal de la UIT.</w:t>
      </w:r>
    </w:p>
    <w:p w14:paraId="588F77B8" w14:textId="77777777" w:rsidR="006F6897" w:rsidRDefault="006F6897" w:rsidP="00411C49">
      <w:pPr>
        <w:pStyle w:val="Reasons"/>
      </w:pPr>
    </w:p>
    <w:p w14:paraId="12F0A54A" w14:textId="77777777" w:rsidR="006F6897" w:rsidRDefault="006F6897">
      <w:pPr>
        <w:jc w:val="center"/>
      </w:pPr>
      <w:r>
        <w:t>______________</w:t>
      </w:r>
    </w:p>
    <w:sectPr w:rsidR="006F6897" w:rsidSect="00C538FC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E73B972" w:rsidR="003273A4" w:rsidRDefault="006F6897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2400556</w:t>
          </w:r>
        </w:p>
      </w:tc>
      <w:tc>
        <w:tcPr>
          <w:tcW w:w="8261" w:type="dxa"/>
        </w:tcPr>
        <w:p w14:paraId="31328314" w14:textId="1E17BA7F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6897">
            <w:rPr>
              <w:bCs/>
            </w:rPr>
            <w:t>53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509C153E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6897">
            <w:rPr>
              <w:bCs/>
            </w:rPr>
            <w:t>53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311"/>
    <w:multiLevelType w:val="hybridMultilevel"/>
    <w:tmpl w:val="3D9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12F"/>
    <w:multiLevelType w:val="hybridMultilevel"/>
    <w:tmpl w:val="5FD4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7B75"/>
    <w:multiLevelType w:val="hybridMultilevel"/>
    <w:tmpl w:val="F73C7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137F"/>
    <w:multiLevelType w:val="hybridMultilevel"/>
    <w:tmpl w:val="3B8E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2239"/>
    <w:multiLevelType w:val="hybridMultilevel"/>
    <w:tmpl w:val="B778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9531">
    <w:abstractNumId w:val="4"/>
  </w:num>
  <w:num w:numId="2" w16cid:durableId="1784500025">
    <w:abstractNumId w:val="1"/>
  </w:num>
  <w:num w:numId="3" w16cid:durableId="2077315207">
    <w:abstractNumId w:val="0"/>
  </w:num>
  <w:num w:numId="4" w16cid:durableId="331497324">
    <w:abstractNumId w:val="3"/>
  </w:num>
  <w:num w:numId="5" w16cid:durableId="159482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96142"/>
    <w:rsid w:val="000B0D00"/>
    <w:rsid w:val="000B7C15"/>
    <w:rsid w:val="000D1D0F"/>
    <w:rsid w:val="000F5290"/>
    <w:rsid w:val="0010165C"/>
    <w:rsid w:val="00146BFB"/>
    <w:rsid w:val="001559F5"/>
    <w:rsid w:val="001F14A2"/>
    <w:rsid w:val="00237C6E"/>
    <w:rsid w:val="002801AA"/>
    <w:rsid w:val="002C4676"/>
    <w:rsid w:val="002C70B0"/>
    <w:rsid w:val="002F3CC4"/>
    <w:rsid w:val="003273A4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6D65DC"/>
    <w:rsid w:val="006F6897"/>
    <w:rsid w:val="00726872"/>
    <w:rsid w:val="00760F1C"/>
    <w:rsid w:val="007657F0"/>
    <w:rsid w:val="0077252D"/>
    <w:rsid w:val="007955DA"/>
    <w:rsid w:val="007E5DD3"/>
    <w:rsid w:val="007F350B"/>
    <w:rsid w:val="007F3BD8"/>
    <w:rsid w:val="008131C6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50A36"/>
    <w:rsid w:val="00D566E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5D36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37C6E"/>
    <w:pPr>
      <w:keepNext/>
      <w:keepLines/>
      <w:tabs>
        <w:tab w:val="clear" w:pos="567"/>
        <w:tab w:val="left" w:pos="709"/>
      </w:tabs>
      <w:spacing w:before="480"/>
      <w:ind w:left="709" w:hanging="709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237C6E"/>
    <w:pPr>
      <w:tabs>
        <w:tab w:val="clear" w:pos="567"/>
        <w:tab w:val="left" w:pos="709"/>
      </w:tabs>
      <w:spacing w:before="86"/>
      <w:ind w:left="709" w:hanging="709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689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D5D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RCLCWGLANG14-C-0006/es" TargetMode="External"/><Relationship Id="rId13" Type="http://schemas.openxmlformats.org/officeDocument/2006/relationships/hyperlink" Target="https://www.itu.int/md/S23-RCLCWGLANG13-C-0004/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19/es" TargetMode="External"/><Relationship Id="rId12" Type="http://schemas.openxmlformats.org/officeDocument/2006/relationships/hyperlink" Target="https://www.itu.int/md/S23-CWGFHR16-C-0017/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019/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itu.int/en/council/Documents/basic-texts-2023/RES-154-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WGFHR17-C-0024/es" TargetMode="External"/><Relationship Id="rId14" Type="http://schemas.openxmlformats.org/officeDocument/2006/relationships/hyperlink" Target="https://www.itu.int/md/S24-RCLCWGLANG14-INF-0001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1430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9607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Spanish83</cp:lastModifiedBy>
  <cp:revision>4</cp:revision>
  <cp:lastPrinted>2006-03-24T09:51:00Z</cp:lastPrinted>
  <dcterms:created xsi:type="dcterms:W3CDTF">2024-04-19T07:24:00Z</dcterms:created>
  <dcterms:modified xsi:type="dcterms:W3CDTF">2024-04-19T08:24:00Z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