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CE503DB" w14:textId="77777777" w:rsidTr="00F363FE">
        <w:tc>
          <w:tcPr>
            <w:tcW w:w="6512" w:type="dxa"/>
          </w:tcPr>
          <w:p w14:paraId="68E5407C" w14:textId="0EB04DD6"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7A4A12">
              <w:rPr>
                <w:rFonts w:hint="cs"/>
                <w:b/>
                <w:bCs/>
                <w:rtl/>
                <w:lang w:bidi="ar-EG"/>
              </w:rPr>
              <w:t xml:space="preserve"> </w:t>
            </w:r>
            <w:r w:rsidR="007A4A12">
              <w:rPr>
                <w:b/>
                <w:bCs/>
                <w:lang w:bidi="ar-EG"/>
              </w:rPr>
              <w:t>PL. 2</w:t>
            </w:r>
          </w:p>
        </w:tc>
        <w:tc>
          <w:tcPr>
            <w:tcW w:w="3117" w:type="dxa"/>
          </w:tcPr>
          <w:p w14:paraId="3DE7B3AF" w14:textId="477AA73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7A4A12">
              <w:rPr>
                <w:b/>
                <w:bCs/>
                <w:lang w:bidi="ar-EG"/>
              </w:rPr>
              <w:t>52</w:t>
            </w:r>
            <w:r w:rsidRPr="007B0AA0">
              <w:rPr>
                <w:b/>
                <w:bCs/>
                <w:lang w:bidi="ar-EG"/>
              </w:rPr>
              <w:t>-A</w:t>
            </w:r>
          </w:p>
        </w:tc>
      </w:tr>
      <w:tr w:rsidR="007B0AA0" w14:paraId="1FF02296" w14:textId="77777777" w:rsidTr="00F363FE">
        <w:tc>
          <w:tcPr>
            <w:tcW w:w="6512" w:type="dxa"/>
          </w:tcPr>
          <w:p w14:paraId="78D1ED1B" w14:textId="77777777" w:rsidR="007B0AA0" w:rsidRPr="007B0AA0" w:rsidRDefault="007B0AA0" w:rsidP="00F363FE">
            <w:pPr>
              <w:spacing w:before="60" w:after="60" w:line="260" w:lineRule="exact"/>
              <w:rPr>
                <w:b/>
                <w:bCs/>
                <w:rtl/>
                <w:lang w:bidi="ar-EG"/>
              </w:rPr>
            </w:pPr>
          </w:p>
        </w:tc>
        <w:tc>
          <w:tcPr>
            <w:tcW w:w="3117" w:type="dxa"/>
          </w:tcPr>
          <w:p w14:paraId="28820B16" w14:textId="3BA3557F" w:rsidR="007B0AA0" w:rsidRPr="007B0AA0" w:rsidRDefault="007A4A12" w:rsidP="00F363FE">
            <w:pPr>
              <w:spacing w:before="60" w:after="60" w:line="260" w:lineRule="exact"/>
              <w:rPr>
                <w:b/>
                <w:bCs/>
                <w:rtl/>
                <w:lang w:bidi="ar-EG"/>
              </w:rPr>
            </w:pPr>
            <w:r>
              <w:rPr>
                <w:rFonts w:hint="cs"/>
                <w:b/>
                <w:bCs/>
                <w:rtl/>
                <w:lang w:bidi="ar-EG"/>
              </w:rPr>
              <w:t xml:space="preserve">9 أبريل </w:t>
            </w:r>
            <w:r w:rsidR="007B0AA0" w:rsidRPr="007B0AA0">
              <w:rPr>
                <w:b/>
                <w:bCs/>
                <w:lang w:bidi="ar-EG"/>
              </w:rPr>
              <w:t>202</w:t>
            </w:r>
            <w:r w:rsidR="00B6080B">
              <w:rPr>
                <w:b/>
                <w:bCs/>
                <w:lang w:bidi="ar-EG"/>
              </w:rPr>
              <w:t>4</w:t>
            </w:r>
          </w:p>
        </w:tc>
      </w:tr>
      <w:tr w:rsidR="007B0AA0" w14:paraId="0741F5AE" w14:textId="77777777" w:rsidTr="00F363FE">
        <w:tc>
          <w:tcPr>
            <w:tcW w:w="6512" w:type="dxa"/>
          </w:tcPr>
          <w:p w14:paraId="5A6B94EE" w14:textId="77777777" w:rsidR="007B0AA0" w:rsidRPr="007B0AA0" w:rsidRDefault="007B0AA0" w:rsidP="00F363FE">
            <w:pPr>
              <w:spacing w:before="60" w:after="60" w:line="260" w:lineRule="exact"/>
              <w:rPr>
                <w:b/>
                <w:bCs/>
                <w:rtl/>
                <w:lang w:bidi="ar-EG"/>
              </w:rPr>
            </w:pPr>
          </w:p>
        </w:tc>
        <w:tc>
          <w:tcPr>
            <w:tcW w:w="3117" w:type="dxa"/>
          </w:tcPr>
          <w:p w14:paraId="6C3D5064" w14:textId="18434A38"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7A4A12">
              <w:rPr>
                <w:rFonts w:hint="cs"/>
                <w:b/>
                <w:bCs/>
                <w:rtl/>
                <w:lang w:bidi="ar-EG"/>
              </w:rPr>
              <w:t>بالإنكليزية</w:t>
            </w:r>
          </w:p>
        </w:tc>
      </w:tr>
      <w:tr w:rsidR="007B0AA0" w14:paraId="36FB0032" w14:textId="77777777" w:rsidTr="00F363FE">
        <w:tc>
          <w:tcPr>
            <w:tcW w:w="6512" w:type="dxa"/>
          </w:tcPr>
          <w:p w14:paraId="087AD6AD" w14:textId="77777777" w:rsidR="007B0AA0" w:rsidRDefault="007B0AA0" w:rsidP="00F363FE">
            <w:pPr>
              <w:spacing w:before="60" w:after="60" w:line="260" w:lineRule="exact"/>
              <w:rPr>
                <w:lang w:bidi="ar-EG"/>
              </w:rPr>
            </w:pPr>
          </w:p>
        </w:tc>
        <w:tc>
          <w:tcPr>
            <w:tcW w:w="3117" w:type="dxa"/>
          </w:tcPr>
          <w:p w14:paraId="6B8A62BE" w14:textId="77777777" w:rsidR="007B0AA0" w:rsidRDefault="007B0AA0" w:rsidP="00F363FE">
            <w:pPr>
              <w:spacing w:before="60" w:after="60" w:line="260" w:lineRule="exact"/>
              <w:rPr>
                <w:rtl/>
                <w:lang w:bidi="ar-EG"/>
              </w:rPr>
            </w:pPr>
          </w:p>
        </w:tc>
      </w:tr>
      <w:tr w:rsidR="007B0AA0" w14:paraId="6E94470D" w14:textId="77777777" w:rsidTr="00EE7446">
        <w:tc>
          <w:tcPr>
            <w:tcW w:w="9629" w:type="dxa"/>
            <w:gridSpan w:val="2"/>
          </w:tcPr>
          <w:p w14:paraId="56434AAA" w14:textId="4F37A330" w:rsidR="007B0AA0" w:rsidRDefault="007A4A12" w:rsidP="007B0AA0">
            <w:pPr>
              <w:pStyle w:val="Source"/>
              <w:jc w:val="left"/>
              <w:rPr>
                <w:rtl/>
                <w:lang w:bidi="ar-EG"/>
              </w:rPr>
            </w:pPr>
            <w:r>
              <w:rPr>
                <w:rFonts w:hint="cs"/>
                <w:rtl/>
                <w:lang w:bidi="ar-EG"/>
              </w:rPr>
              <w:t>تقرير من الأمينة العامة</w:t>
            </w:r>
          </w:p>
        </w:tc>
      </w:tr>
      <w:tr w:rsidR="007B0AA0" w14:paraId="6C01F79A" w14:textId="77777777" w:rsidTr="007B0AA0">
        <w:tc>
          <w:tcPr>
            <w:tcW w:w="9629" w:type="dxa"/>
            <w:gridSpan w:val="2"/>
            <w:tcBorders>
              <w:bottom w:val="single" w:sz="4" w:space="0" w:color="auto"/>
            </w:tcBorders>
          </w:tcPr>
          <w:p w14:paraId="4976C21F" w14:textId="792F0EB5" w:rsidR="007B0AA0" w:rsidRDefault="007A4A12" w:rsidP="007B0AA0">
            <w:pPr>
              <w:pStyle w:val="Subtitle0"/>
            </w:pPr>
            <w:r>
              <w:rPr>
                <w:rFonts w:hint="cs"/>
                <w:rtl/>
              </w:rPr>
              <w:t>معلومات محدثة عن عملية التحول</w:t>
            </w:r>
          </w:p>
        </w:tc>
      </w:tr>
      <w:tr w:rsidR="007B0AA0" w14:paraId="5467EA21" w14:textId="77777777" w:rsidTr="007B0AA0">
        <w:tc>
          <w:tcPr>
            <w:tcW w:w="9629" w:type="dxa"/>
            <w:gridSpan w:val="2"/>
            <w:tcBorders>
              <w:top w:val="single" w:sz="4" w:space="0" w:color="auto"/>
              <w:bottom w:val="single" w:sz="4" w:space="0" w:color="auto"/>
            </w:tcBorders>
          </w:tcPr>
          <w:p w14:paraId="2284AEB5" w14:textId="77777777" w:rsidR="007B0AA0" w:rsidRPr="007B0AA0" w:rsidRDefault="007B0AA0" w:rsidP="007B0AA0">
            <w:pPr>
              <w:rPr>
                <w:b/>
                <w:bCs/>
                <w:rtl/>
              </w:rPr>
            </w:pPr>
            <w:r w:rsidRPr="007B0AA0">
              <w:rPr>
                <w:rFonts w:hint="cs"/>
                <w:b/>
                <w:bCs/>
                <w:rtl/>
              </w:rPr>
              <w:t xml:space="preserve">الغرض </w:t>
            </w:r>
          </w:p>
          <w:p w14:paraId="572F0EA0" w14:textId="09D2F930" w:rsidR="007B0AA0" w:rsidRPr="007A4A12" w:rsidRDefault="007A4A12" w:rsidP="007A4A12">
            <w:pPr>
              <w:rPr>
                <w:rtl/>
              </w:rPr>
            </w:pPr>
            <w:r w:rsidRPr="007A4A12">
              <w:rPr>
                <w:rtl/>
              </w:rPr>
              <w:t>تقدم هذه الوثيقة تقريراً عن حالة عملية التحول من أجل تحقيق التميز التنظيمي.</w:t>
            </w:r>
          </w:p>
          <w:p w14:paraId="4350E4CB" w14:textId="77777777" w:rsidR="007B0AA0" w:rsidRPr="007B0AA0" w:rsidRDefault="007B0AA0" w:rsidP="007B0AA0">
            <w:pPr>
              <w:rPr>
                <w:b/>
                <w:bCs/>
                <w:rtl/>
              </w:rPr>
            </w:pPr>
            <w:r w:rsidRPr="007B0AA0">
              <w:rPr>
                <w:rFonts w:hint="cs"/>
                <w:b/>
                <w:bCs/>
                <w:rtl/>
              </w:rPr>
              <w:t>الإجراء المطلوب من المجلس</w:t>
            </w:r>
          </w:p>
          <w:p w14:paraId="657B5FB8" w14:textId="77777777" w:rsidR="007A4A12" w:rsidRPr="007A4A12" w:rsidRDefault="007A4A12" w:rsidP="007A4A12">
            <w:r w:rsidRPr="007A4A12">
              <w:rPr>
                <w:rtl/>
              </w:rPr>
              <w:t xml:space="preserve">يدعى المجلس إلى </w:t>
            </w:r>
            <w:r w:rsidRPr="007A4A12">
              <w:rPr>
                <w:b/>
                <w:bCs/>
                <w:rtl/>
              </w:rPr>
              <w:t>الإحاطة علماً</w:t>
            </w:r>
            <w:r w:rsidRPr="007A4A12">
              <w:rPr>
                <w:rtl/>
              </w:rPr>
              <w:t xml:space="preserve"> بالتقدم المحرز حتى الآن والآثار المالية المبينة في القسم 7.</w:t>
            </w:r>
          </w:p>
          <w:p w14:paraId="0DA045E4" w14:textId="77777777" w:rsidR="007A4A12" w:rsidRPr="00A91E88" w:rsidRDefault="007A4A12" w:rsidP="007A4A12">
            <w:pPr>
              <w:spacing w:before="160"/>
              <w:rPr>
                <w:b/>
                <w:bCs/>
                <w:sz w:val="26"/>
                <w:lang w:val="ar-SA" w:eastAsia="zh-TW" w:bidi="en-GB"/>
              </w:rPr>
            </w:pPr>
            <w:r w:rsidRPr="00A91E88">
              <w:rPr>
                <w:b/>
                <w:bCs/>
                <w:rtl/>
              </w:rPr>
              <w:t>الصلة بالخطة الاستراتيجية</w:t>
            </w:r>
          </w:p>
          <w:p w14:paraId="58A5F586" w14:textId="77777777" w:rsidR="007A4A12" w:rsidRPr="00A91E88" w:rsidRDefault="007A4A12" w:rsidP="007A4A12">
            <w:pPr>
              <w:rPr>
                <w:lang w:val="ar-SA" w:eastAsia="zh-TW" w:bidi="en-GB"/>
              </w:rPr>
            </w:pPr>
            <w:r w:rsidRPr="00A91E88">
              <w:rPr>
                <w:rtl/>
              </w:rPr>
              <w:t>التميز في مجال الموارد البشرية والابتكار التنظيمي</w:t>
            </w:r>
          </w:p>
          <w:p w14:paraId="71C8EA45" w14:textId="77777777" w:rsidR="007A4A12" w:rsidRPr="00A91E88" w:rsidRDefault="007A4A12" w:rsidP="007A4A12">
            <w:pPr>
              <w:spacing w:before="160"/>
              <w:rPr>
                <w:b/>
                <w:bCs/>
                <w:sz w:val="26"/>
                <w:lang w:val="ar-SA" w:eastAsia="zh-TW" w:bidi="en-GB"/>
              </w:rPr>
            </w:pPr>
            <w:r w:rsidRPr="00A91E88">
              <w:rPr>
                <w:b/>
                <w:bCs/>
                <w:rtl/>
              </w:rPr>
              <w:t>الآثار المالية</w:t>
            </w:r>
          </w:p>
          <w:p w14:paraId="11662354" w14:textId="1BA1F7E3" w:rsidR="007B0AA0" w:rsidRPr="007A4A12" w:rsidRDefault="007A4A12" w:rsidP="007A4A12">
            <w:pPr>
              <w:spacing w:before="160"/>
              <w:rPr>
                <w:rtl/>
                <w:lang w:val="en-GB" w:eastAsia="zh-TW"/>
              </w:rPr>
            </w:pPr>
            <w:r w:rsidRPr="007A4A12">
              <w:rPr>
                <w:rFonts w:hint="eastAsia"/>
                <w:rtl/>
                <w:lang w:val="en-GB" w:eastAsia="zh-TW"/>
              </w:rPr>
              <w:t>ستكون</w:t>
            </w:r>
            <w:r w:rsidRPr="007A4A12">
              <w:rPr>
                <w:rtl/>
                <w:lang w:val="en-GB" w:eastAsia="zh-TW"/>
              </w:rPr>
              <w:t xml:space="preserve"> </w:t>
            </w:r>
            <w:r w:rsidRPr="007A4A12">
              <w:rPr>
                <w:rFonts w:hint="eastAsia"/>
                <w:rtl/>
                <w:lang w:val="en-GB" w:eastAsia="zh-TW"/>
              </w:rPr>
              <w:t>الموارد</w:t>
            </w:r>
            <w:r w:rsidRPr="007A4A12">
              <w:rPr>
                <w:rtl/>
                <w:lang w:val="en-GB" w:eastAsia="zh-TW"/>
              </w:rPr>
              <w:t xml:space="preserve"> </w:t>
            </w:r>
            <w:r w:rsidRPr="007A4A12">
              <w:rPr>
                <w:rFonts w:hint="eastAsia"/>
                <w:rtl/>
                <w:lang w:val="en-GB" w:eastAsia="zh-TW"/>
              </w:rPr>
              <w:t>المالية</w:t>
            </w:r>
            <w:r w:rsidRPr="007A4A12">
              <w:rPr>
                <w:rtl/>
                <w:lang w:val="en-GB" w:eastAsia="zh-TW"/>
              </w:rPr>
              <w:t xml:space="preserve"> </w:t>
            </w:r>
            <w:r w:rsidRPr="007A4A12">
              <w:rPr>
                <w:rFonts w:hint="eastAsia"/>
                <w:rtl/>
                <w:lang w:val="en-GB" w:eastAsia="zh-TW"/>
              </w:rPr>
              <w:t>والبشرية</w:t>
            </w:r>
            <w:r w:rsidRPr="007A4A12">
              <w:rPr>
                <w:rtl/>
                <w:lang w:val="en-GB" w:eastAsia="zh-TW"/>
              </w:rPr>
              <w:t xml:space="preserve"> </w:t>
            </w:r>
            <w:r w:rsidRPr="007A4A12">
              <w:rPr>
                <w:rFonts w:hint="eastAsia"/>
                <w:rtl/>
                <w:lang w:val="en-GB" w:eastAsia="zh-TW"/>
              </w:rPr>
              <w:t>مطلوبة</w:t>
            </w:r>
            <w:r w:rsidRPr="007A4A12">
              <w:rPr>
                <w:rtl/>
                <w:lang w:val="en-GB" w:eastAsia="zh-TW"/>
              </w:rPr>
              <w:t xml:space="preserve"> </w:t>
            </w:r>
            <w:r w:rsidRPr="007A4A12">
              <w:rPr>
                <w:rFonts w:hint="eastAsia"/>
                <w:rtl/>
                <w:lang w:val="en-GB" w:eastAsia="zh-TW"/>
              </w:rPr>
              <w:t>لتحقيق</w:t>
            </w:r>
            <w:r w:rsidRPr="007A4A12">
              <w:rPr>
                <w:rtl/>
                <w:lang w:val="en-GB" w:eastAsia="zh-TW"/>
              </w:rPr>
              <w:t xml:space="preserve"> </w:t>
            </w:r>
            <w:r w:rsidRPr="007A4A12">
              <w:rPr>
                <w:rFonts w:hint="eastAsia"/>
                <w:rtl/>
                <w:lang w:val="en-GB" w:eastAsia="zh-TW"/>
              </w:rPr>
              <w:t>أهداف</w:t>
            </w:r>
            <w:r w:rsidRPr="007A4A12">
              <w:rPr>
                <w:rtl/>
                <w:lang w:val="en-GB" w:eastAsia="zh-TW"/>
              </w:rPr>
              <w:t xml:space="preserve"> </w:t>
            </w:r>
            <w:r w:rsidRPr="007A4A12">
              <w:rPr>
                <w:rFonts w:hint="eastAsia"/>
                <w:rtl/>
                <w:lang w:val="en-GB" w:eastAsia="zh-TW"/>
              </w:rPr>
              <w:t>هذا</w:t>
            </w:r>
            <w:r w:rsidRPr="007A4A12">
              <w:rPr>
                <w:rtl/>
                <w:lang w:val="en-GB" w:eastAsia="zh-TW"/>
              </w:rPr>
              <w:t xml:space="preserve"> </w:t>
            </w:r>
            <w:r w:rsidRPr="007A4A12">
              <w:rPr>
                <w:rFonts w:hint="eastAsia"/>
                <w:rtl/>
                <w:lang w:val="en-GB" w:eastAsia="zh-TW"/>
              </w:rPr>
              <w:t>البرنامج</w:t>
            </w:r>
            <w:r w:rsidRPr="007A4A12">
              <w:rPr>
                <w:rtl/>
                <w:lang w:val="en-GB" w:eastAsia="zh-TW"/>
              </w:rPr>
              <w:t xml:space="preserve"> </w:t>
            </w:r>
            <w:r w:rsidRPr="007A4A12">
              <w:rPr>
                <w:rFonts w:hint="eastAsia"/>
                <w:rtl/>
                <w:lang w:val="en-GB" w:eastAsia="zh-TW"/>
              </w:rPr>
              <w:t>على</w:t>
            </w:r>
            <w:r w:rsidRPr="007A4A12">
              <w:rPr>
                <w:rtl/>
                <w:lang w:val="en-GB" w:eastAsia="zh-TW"/>
              </w:rPr>
              <w:t xml:space="preserve"> </w:t>
            </w:r>
            <w:r w:rsidRPr="007A4A12">
              <w:rPr>
                <w:rFonts w:hint="eastAsia"/>
                <w:rtl/>
                <w:lang w:val="en-GB" w:eastAsia="zh-TW"/>
              </w:rPr>
              <w:t>النحو</w:t>
            </w:r>
            <w:r w:rsidRPr="007A4A12">
              <w:rPr>
                <w:rtl/>
                <w:lang w:val="en-GB" w:eastAsia="zh-TW"/>
              </w:rPr>
              <w:t xml:space="preserve"> </w:t>
            </w:r>
            <w:r w:rsidRPr="007A4A12">
              <w:rPr>
                <w:rFonts w:hint="eastAsia"/>
                <w:rtl/>
                <w:lang w:val="en-GB" w:eastAsia="zh-TW"/>
              </w:rPr>
              <w:t>المبين</w:t>
            </w:r>
            <w:r w:rsidRPr="007A4A12">
              <w:rPr>
                <w:rtl/>
                <w:lang w:val="en-GB" w:eastAsia="zh-TW"/>
              </w:rPr>
              <w:t xml:space="preserve"> </w:t>
            </w:r>
            <w:r w:rsidRPr="007A4A12">
              <w:rPr>
                <w:rFonts w:hint="eastAsia"/>
                <w:rtl/>
                <w:lang w:val="en-GB" w:eastAsia="zh-TW"/>
              </w:rPr>
              <w:t>في</w:t>
            </w:r>
            <w:r w:rsidRPr="007A4A12">
              <w:rPr>
                <w:rtl/>
                <w:lang w:val="en-GB" w:eastAsia="zh-TW"/>
              </w:rPr>
              <w:t xml:space="preserve"> </w:t>
            </w:r>
            <w:r w:rsidRPr="007A4A12">
              <w:rPr>
                <w:rFonts w:hint="eastAsia"/>
                <w:rtl/>
                <w:lang w:val="en-GB" w:eastAsia="zh-TW"/>
              </w:rPr>
              <w:t>القسم</w:t>
            </w:r>
            <w:r w:rsidRPr="007A4A12">
              <w:rPr>
                <w:rtl/>
                <w:lang w:val="en-GB" w:eastAsia="zh-TW"/>
              </w:rPr>
              <w:t xml:space="preserve"> </w:t>
            </w:r>
            <w:r w:rsidRPr="007A4A12">
              <w:rPr>
                <w:cs/>
                <w:lang w:val="en-GB" w:eastAsia="zh-TW"/>
              </w:rPr>
              <w:t>‎</w:t>
            </w:r>
            <w:r w:rsidRPr="007A4A12">
              <w:rPr>
                <w:lang w:val="en-GB" w:eastAsia="zh-TW"/>
              </w:rPr>
              <w:t>7</w:t>
            </w:r>
            <w:r w:rsidRPr="007A4A12">
              <w:rPr>
                <w:rtl/>
                <w:lang w:val="en-GB" w:eastAsia="zh-TW"/>
              </w:rPr>
              <w:t>‏</w:t>
            </w:r>
            <w:r w:rsidRPr="007A4A12">
              <w:rPr>
                <w:rFonts w:hint="eastAsia"/>
                <w:rtl/>
                <w:lang w:val="en-GB" w:eastAsia="zh-TW"/>
              </w:rPr>
              <w:t>؛</w:t>
            </w:r>
            <w:r w:rsidRPr="007A4A12">
              <w:rPr>
                <w:rtl/>
                <w:lang w:val="en-GB" w:eastAsia="zh-TW"/>
              </w:rPr>
              <w:t xml:space="preserve"> </w:t>
            </w:r>
            <w:r w:rsidRPr="007A4A12">
              <w:rPr>
                <w:rFonts w:hint="eastAsia"/>
                <w:rtl/>
                <w:lang w:val="en-GB" w:eastAsia="zh-TW"/>
              </w:rPr>
              <w:t>الذي</w:t>
            </w:r>
            <w:r w:rsidRPr="007A4A12">
              <w:rPr>
                <w:rtl/>
                <w:lang w:val="en-GB" w:eastAsia="zh-TW"/>
              </w:rPr>
              <w:t xml:space="preserve"> </w:t>
            </w:r>
            <w:r w:rsidRPr="007A4A12">
              <w:rPr>
                <w:rFonts w:hint="eastAsia"/>
                <w:rtl/>
                <w:lang w:val="en-GB" w:eastAsia="zh-TW"/>
              </w:rPr>
              <w:t>ي</w:t>
            </w:r>
            <w:r w:rsidRPr="007A4A12">
              <w:rPr>
                <w:rtl/>
                <w:lang w:val="en-GB" w:eastAsia="zh-TW"/>
              </w:rPr>
              <w:t>ُ</w:t>
            </w:r>
            <w:r w:rsidRPr="007A4A12">
              <w:rPr>
                <w:rFonts w:hint="eastAsia"/>
                <w:rtl/>
                <w:lang w:val="en-GB" w:eastAsia="zh-TW"/>
              </w:rPr>
              <w:t>قترح</w:t>
            </w:r>
            <w:r w:rsidRPr="007A4A12">
              <w:rPr>
                <w:rtl/>
                <w:lang w:val="en-GB" w:eastAsia="zh-TW"/>
              </w:rPr>
              <w:t xml:space="preserve"> </w:t>
            </w:r>
            <w:r w:rsidRPr="007A4A12">
              <w:rPr>
                <w:rFonts w:hint="eastAsia"/>
                <w:rtl/>
                <w:lang w:val="en-GB" w:eastAsia="zh-TW"/>
              </w:rPr>
              <w:t>تمويله</w:t>
            </w:r>
            <w:r w:rsidRPr="007A4A12">
              <w:rPr>
                <w:rtl/>
              </w:rPr>
              <w:t xml:space="preserve"> في الوثيقة </w:t>
            </w:r>
            <w:hyperlink r:id="rId8" w:history="1">
              <w:r w:rsidRPr="007A4A12">
                <w:rPr>
                  <w:rStyle w:val="Hyperlink"/>
                  <w:lang w:val="en-GB"/>
                </w:rPr>
                <w:t>C24/19</w:t>
              </w:r>
            </w:hyperlink>
            <w:r w:rsidRPr="007A4A12">
              <w:rPr>
                <w:rtl/>
              </w:rPr>
              <w:t>.</w:t>
            </w:r>
            <w:r w:rsidRPr="007A4A12">
              <w:rPr>
                <w:rFonts w:hint="eastAsia"/>
                <w:cs/>
                <w:lang w:val="en-GB" w:eastAsia="zh-TW"/>
              </w:rPr>
              <w:t>‎</w:t>
            </w:r>
          </w:p>
          <w:p w14:paraId="1666105B"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48E276E" w14:textId="77777777" w:rsidR="007B0AA0" w:rsidRPr="007B0AA0" w:rsidRDefault="007B0AA0" w:rsidP="007B0AA0">
            <w:pPr>
              <w:rPr>
                <w:b/>
                <w:bCs/>
                <w:rtl/>
              </w:rPr>
            </w:pPr>
            <w:r w:rsidRPr="007B0AA0">
              <w:rPr>
                <w:rFonts w:hint="cs"/>
                <w:b/>
                <w:bCs/>
                <w:rtl/>
              </w:rPr>
              <w:t>المراجع</w:t>
            </w:r>
          </w:p>
          <w:p w14:paraId="3C8BA5E4" w14:textId="2D5B1738" w:rsidR="007B0AA0" w:rsidRDefault="007A4A12" w:rsidP="007A4A12">
            <w:pPr>
              <w:rPr>
                <w:rtl/>
              </w:rPr>
            </w:pPr>
            <w:r>
              <w:rPr>
                <w:rFonts w:hint="cs"/>
                <w:rtl/>
              </w:rPr>
              <w:t xml:space="preserve">وثائق المجلس </w:t>
            </w:r>
            <w:hyperlink r:id="rId9" w:history="1">
              <w:r w:rsidRPr="007A4A12">
                <w:rPr>
                  <w:rStyle w:val="Hyperlink"/>
                  <w:i/>
                  <w:iCs/>
                  <w:lang w:val="en-GB"/>
                </w:rPr>
                <w:t>C20/61</w:t>
              </w:r>
            </w:hyperlink>
            <w:r>
              <w:rPr>
                <w:i/>
                <w:iCs/>
                <w:rtl/>
                <w:lang w:val="en-GB"/>
              </w:rPr>
              <w:t xml:space="preserve"> و</w:t>
            </w:r>
            <w:hyperlink r:id="rId10" w:history="1">
              <w:r w:rsidRPr="007A4A12">
                <w:rPr>
                  <w:rStyle w:val="Hyperlink"/>
                  <w:i/>
                  <w:iCs/>
                  <w:lang w:val="en-GB"/>
                </w:rPr>
                <w:t>C20/74</w:t>
              </w:r>
            </w:hyperlink>
            <w:r>
              <w:rPr>
                <w:i/>
                <w:iCs/>
                <w:rtl/>
                <w:lang w:val="en-GB"/>
              </w:rPr>
              <w:t xml:space="preserve"> و</w:t>
            </w:r>
            <w:hyperlink r:id="rId11" w:history="1">
              <w:r w:rsidRPr="007A4A12">
                <w:rPr>
                  <w:rStyle w:val="Hyperlink"/>
                  <w:i/>
                  <w:iCs/>
                  <w:lang w:val="en-GB"/>
                </w:rPr>
                <w:t>C21/INF/15</w:t>
              </w:r>
            </w:hyperlink>
            <w:r>
              <w:rPr>
                <w:i/>
                <w:iCs/>
                <w:rtl/>
                <w:lang w:val="en-GB"/>
              </w:rPr>
              <w:t xml:space="preserve"> و</w:t>
            </w:r>
            <w:hyperlink r:id="rId12" w:history="1">
              <w:r w:rsidRPr="007A4A12">
                <w:rPr>
                  <w:rStyle w:val="Hyperlink"/>
                  <w:i/>
                  <w:iCs/>
                  <w:lang w:val="en-GB"/>
                </w:rPr>
                <w:t>C22/INF/13</w:t>
              </w:r>
            </w:hyperlink>
            <w:r>
              <w:rPr>
                <w:i/>
                <w:iCs/>
                <w:rtl/>
                <w:lang w:val="en-GB"/>
              </w:rPr>
              <w:t xml:space="preserve"> و</w:t>
            </w:r>
            <w:hyperlink r:id="rId13" w:history="1">
              <w:r w:rsidRPr="007A4A12">
                <w:rPr>
                  <w:rStyle w:val="Hyperlink"/>
                  <w:i/>
                  <w:iCs/>
                  <w:lang w:val="en-GB"/>
                </w:rPr>
                <w:t>C22/40</w:t>
              </w:r>
            </w:hyperlink>
            <w:r>
              <w:rPr>
                <w:i/>
                <w:iCs/>
                <w:rtl/>
                <w:lang w:val="en-GB"/>
              </w:rPr>
              <w:t xml:space="preserve"> و</w:t>
            </w:r>
            <w:hyperlink r:id="rId14" w:history="1">
              <w:r w:rsidRPr="007A4A12">
                <w:rPr>
                  <w:rStyle w:val="Hyperlink"/>
                  <w:i/>
                  <w:iCs/>
                  <w:lang w:val="en-GB"/>
                </w:rPr>
                <w:t>C22/57</w:t>
              </w:r>
            </w:hyperlink>
            <w:r>
              <w:rPr>
                <w:i/>
                <w:iCs/>
                <w:rtl/>
                <w:lang w:val="en-GB"/>
              </w:rPr>
              <w:t xml:space="preserve"> و</w:t>
            </w:r>
            <w:hyperlink r:id="rId15" w:history="1">
              <w:r w:rsidRPr="007A4A12">
                <w:rPr>
                  <w:rStyle w:val="Hyperlink"/>
                  <w:i/>
                  <w:iCs/>
                  <w:lang w:val="en-GB"/>
                </w:rPr>
                <w:t>C23/36</w:t>
              </w:r>
            </w:hyperlink>
            <w:r>
              <w:rPr>
                <w:i/>
                <w:iCs/>
                <w:rtl/>
                <w:lang w:val="en-GB"/>
              </w:rPr>
              <w:t xml:space="preserve"> و</w:t>
            </w:r>
            <w:hyperlink r:id="rId16" w:history="1">
              <w:r w:rsidRPr="007A4A12">
                <w:rPr>
                  <w:rStyle w:val="Hyperlink"/>
                  <w:i/>
                  <w:iCs/>
                  <w:lang w:val="en-GB"/>
                </w:rPr>
                <w:t>C23/50</w:t>
              </w:r>
            </w:hyperlink>
            <w:r>
              <w:rPr>
                <w:i/>
                <w:iCs/>
                <w:rtl/>
                <w:lang w:val="en-GB"/>
              </w:rPr>
              <w:t xml:space="preserve"> و</w:t>
            </w:r>
            <w:hyperlink r:id="rId17" w:history="1">
              <w:r w:rsidRPr="007A4A12">
                <w:rPr>
                  <w:rStyle w:val="Hyperlink"/>
                  <w:i/>
                  <w:iCs/>
                  <w:lang w:val="en-GB"/>
                </w:rPr>
                <w:t>C23/6</w:t>
              </w:r>
              <w:r w:rsidR="00373B2C">
                <w:rPr>
                  <w:rStyle w:val="Hyperlink"/>
                  <w:i/>
                  <w:iCs/>
                  <w:lang w:val="en-GB"/>
                </w:rPr>
                <w:t>3</w:t>
              </w:r>
            </w:hyperlink>
            <w:r>
              <w:rPr>
                <w:i/>
                <w:iCs/>
                <w:rtl/>
                <w:lang w:val="en-GB"/>
              </w:rPr>
              <w:t xml:space="preserve"> و</w:t>
            </w:r>
            <w:hyperlink r:id="rId18" w:history="1">
              <w:r w:rsidRPr="007A4A12">
                <w:rPr>
                  <w:rStyle w:val="Hyperlink"/>
                  <w:i/>
                  <w:iCs/>
                  <w:lang w:val="en-GB"/>
                </w:rPr>
                <w:t>C23/INF/11</w:t>
              </w:r>
            </w:hyperlink>
            <w:r>
              <w:rPr>
                <w:i/>
                <w:iCs/>
                <w:rtl/>
                <w:lang w:val="en-GB"/>
              </w:rPr>
              <w:t xml:space="preserve"> و</w:t>
            </w:r>
            <w:hyperlink r:id="rId19" w:history="1">
              <w:r w:rsidRPr="007A4A12">
                <w:rPr>
                  <w:rStyle w:val="Hyperlink"/>
                  <w:i/>
                  <w:iCs/>
                  <w:lang w:val="en-GB"/>
                </w:rPr>
                <w:t>C23/INF/13</w:t>
              </w:r>
            </w:hyperlink>
            <w:r>
              <w:rPr>
                <w:i/>
                <w:iCs/>
                <w:rtl/>
                <w:lang w:val="en-GB"/>
              </w:rPr>
              <w:t xml:space="preserve"> و</w:t>
            </w:r>
            <w:hyperlink r:id="rId20" w:history="1">
              <w:r w:rsidRPr="007A4A12">
                <w:rPr>
                  <w:rStyle w:val="Hyperlink"/>
                  <w:i/>
                  <w:iCs/>
                  <w:lang w:val="en-GB"/>
                </w:rPr>
                <w:t>C24/19</w:t>
              </w:r>
            </w:hyperlink>
            <w:r>
              <w:rPr>
                <w:i/>
                <w:iCs/>
                <w:rtl/>
                <w:lang w:val="en-GB"/>
              </w:rPr>
              <w:t xml:space="preserve"> و</w:t>
            </w:r>
            <w:hyperlink r:id="rId21" w:history="1">
              <w:r w:rsidRPr="007A4A12">
                <w:rPr>
                  <w:rStyle w:val="Hyperlink"/>
                  <w:i/>
                  <w:iCs/>
                  <w:lang w:val="en-GB"/>
                </w:rPr>
                <w:t>C24/53</w:t>
              </w:r>
            </w:hyperlink>
            <w:r>
              <w:rPr>
                <w:i/>
                <w:iCs/>
                <w:rtl/>
                <w:lang w:val="en-GB"/>
              </w:rPr>
              <w:t xml:space="preserve"> و</w:t>
            </w:r>
            <w:hyperlink r:id="rId22" w:history="1">
              <w:r w:rsidRPr="007A4A12">
                <w:rPr>
                  <w:rStyle w:val="Hyperlink"/>
                  <w:i/>
                  <w:iCs/>
                  <w:lang w:val="en-GB"/>
                </w:rPr>
                <w:t>C24/31</w:t>
              </w:r>
            </w:hyperlink>
          </w:p>
        </w:tc>
      </w:tr>
    </w:tbl>
    <w:p w14:paraId="318DC6B6" w14:textId="77777777" w:rsidR="00E61BE8" w:rsidRDefault="00E61BE8" w:rsidP="00E61BE8">
      <w:pPr>
        <w:rPr>
          <w:rtl/>
          <w:lang w:bidi="ar-EG"/>
        </w:rPr>
      </w:pPr>
    </w:p>
    <w:p w14:paraId="270CFBFA" w14:textId="77777777" w:rsidR="00F50E3F" w:rsidRDefault="00F50E3F" w:rsidP="007A4A12">
      <w:pPr>
        <w:rPr>
          <w:rtl/>
          <w:lang w:bidi="ar-EG"/>
        </w:rPr>
      </w:pPr>
      <w:r>
        <w:rPr>
          <w:rtl/>
          <w:lang w:bidi="ar-EG"/>
        </w:rPr>
        <w:br w:type="page"/>
      </w:r>
    </w:p>
    <w:p w14:paraId="5A4870AB" w14:textId="2554E3F8" w:rsidR="007A4A12" w:rsidRPr="007A4A12" w:rsidRDefault="007A4A12" w:rsidP="007A4A12">
      <w:pPr>
        <w:pStyle w:val="Heading1"/>
        <w:rPr>
          <w:lang w:val="ar-SA" w:bidi="ar-EG"/>
        </w:rPr>
      </w:pPr>
      <w:r>
        <w:lastRenderedPageBreak/>
        <w:t>1</w:t>
      </w:r>
      <w:r>
        <w:tab/>
      </w:r>
      <w:r w:rsidRPr="007A4A12">
        <w:rPr>
          <w:rtl/>
        </w:rPr>
        <w:t>مقدمة</w:t>
      </w:r>
    </w:p>
    <w:p w14:paraId="28172B29" w14:textId="77777777" w:rsidR="007A4A12" w:rsidRPr="007A4A12" w:rsidRDefault="007A4A12" w:rsidP="007A4A12">
      <w:pPr>
        <w:rPr>
          <w:lang w:val="ar-SA" w:bidi="ar-EG"/>
        </w:rPr>
      </w:pPr>
      <w:r w:rsidRPr="007A4A12">
        <w:rPr>
          <w:rtl/>
        </w:rPr>
        <w:t>تم تسليط الضوء على حالة التغيير في التميز التنظيمي للاتحاد في الخطة الاستراتيجية للاتحاد للفترة 2024-2027 والمقرر 5 لمؤتمر المندوبين المفوضين.</w:t>
      </w:r>
    </w:p>
    <w:p w14:paraId="1BDF91F9" w14:textId="77777777" w:rsidR="007A4A12" w:rsidRPr="007A4A12" w:rsidRDefault="007A4A12" w:rsidP="007A4A12">
      <w:pPr>
        <w:rPr>
          <w:lang w:val="ar-SA" w:bidi="ar-EG"/>
        </w:rPr>
      </w:pPr>
      <w:r w:rsidRPr="007A4A12">
        <w:rPr>
          <w:rtl/>
        </w:rPr>
        <w:t>ويشير التميز التنظيمي إلى تحسين نوعية عمل أمانة الاتحاد وبالتالي تحسين الخدمات التي يقدمها الاتحاد لأعضائه وأصحاب المصلحة الآخرين. وفي البداية، سيشمل التحول في المقام الأول العمل على تحسين الخدمات التي تقدمها الأمانة العامة. ‏وبما أن الأمانة العامة مسؤولة عن الخدمات الأساسية التي تمكّن عمل الاتحاد بأكمله، فسيكون لهذه التحسينات تأثير إيجابي على فعالية الاتحاد بأكمله من حيث الخدمات المقدمة للأعضاء وجميع أصحاب المصلحة.‎</w:t>
      </w:r>
    </w:p>
    <w:p w14:paraId="6AEFBB45" w14:textId="77777777" w:rsidR="007A4A12" w:rsidRPr="007A4A12" w:rsidRDefault="007A4A12" w:rsidP="007A4A12">
      <w:pPr>
        <w:rPr>
          <w:lang w:val="ar-SA" w:bidi="ar-EG"/>
        </w:rPr>
      </w:pPr>
      <w:r w:rsidRPr="007A4A12">
        <w:rPr>
          <w:rtl/>
        </w:rPr>
        <w:t>ولتحقيق هذه المبادئ، سيؤدي التحول إلى إدخال تحسينات في المجالات التالية:</w:t>
      </w:r>
    </w:p>
    <w:p w14:paraId="09F040A7" w14:textId="5059BB62" w:rsidR="007A4A12" w:rsidRPr="007A4A12" w:rsidRDefault="007A4A12" w:rsidP="007A4A12">
      <w:pPr>
        <w:pStyle w:val="enumlev1"/>
        <w:rPr>
          <w:b/>
          <w:bCs/>
          <w:lang w:val="ar-SA" w:bidi="ar-EG"/>
        </w:rPr>
      </w:pPr>
      <w:r w:rsidRPr="007A4A12">
        <w:rPr>
          <w:rFonts w:hint="cs"/>
          <w:b/>
          <w:bCs/>
          <w:rtl/>
        </w:rPr>
        <w:t>’1‘</w:t>
      </w:r>
      <w:r w:rsidRPr="007A4A12">
        <w:rPr>
          <w:b/>
          <w:bCs/>
          <w:rtl/>
        </w:rPr>
        <w:tab/>
        <w:t>الأشخاص والثقافة</w:t>
      </w:r>
    </w:p>
    <w:p w14:paraId="60ED0070" w14:textId="16AE0088" w:rsidR="007A4A12" w:rsidRPr="007A4A12" w:rsidRDefault="007A4A12" w:rsidP="007A4A12">
      <w:pPr>
        <w:pStyle w:val="enumlev1"/>
        <w:rPr>
          <w:lang w:val="ar-SA" w:bidi="ar-EG"/>
        </w:rPr>
      </w:pPr>
      <w:r>
        <w:rPr>
          <w:rtl/>
        </w:rPr>
        <w:tab/>
      </w:r>
      <w:r w:rsidRPr="007A4A12">
        <w:rPr>
          <w:rtl/>
        </w:rPr>
        <w:t>يسعى الاتحاد إلى إيجاد ثقافة محفزة ومجزية تشجع المشاركة والتنقل والتطوير الوظيفي وإدارة الأداء التطلعية وتعزز التنوع والشمول.</w:t>
      </w:r>
    </w:p>
    <w:p w14:paraId="7F36A43F" w14:textId="4D96C0AB" w:rsidR="007A4A12" w:rsidRPr="007A4A12" w:rsidRDefault="007A4A12" w:rsidP="007A4A12">
      <w:pPr>
        <w:pStyle w:val="enumlev1"/>
        <w:rPr>
          <w:lang w:val="ar-SA" w:bidi="ar-EG"/>
        </w:rPr>
      </w:pPr>
      <w:r>
        <w:rPr>
          <w:rtl/>
        </w:rPr>
        <w:tab/>
      </w:r>
      <w:r w:rsidRPr="007A4A12">
        <w:rPr>
          <w:rtl/>
        </w:rPr>
        <w:t xml:space="preserve">وسيحسن الاتحاد قدرته على توظيف أفضل المواهب وإدارتها وتمكينها والاحتفاظ بها. وستمكن أنظمة إدارة الأداء المعززة من الاعتراف على نحو أفضل بالأفراد والفرق عالية الأداء، مع ضمان قدرة الإدارة على معالجة قصور الأداء. وستحسن زيادة الاستثمار في بناء القدرات أداء المنظمة وتمكّن الموظفين من تنمية معارفهم ومهاراتهم على أساس مستمر، بما يتماشى مع الأهداف الاستراتيجية للاتحاد. </w:t>
      </w:r>
      <w:r>
        <w:rPr>
          <w:rFonts w:hint="cs"/>
          <w:rtl/>
        </w:rPr>
        <w:t>وستكون</w:t>
      </w:r>
      <w:r w:rsidRPr="007A4A12">
        <w:rPr>
          <w:rtl/>
        </w:rPr>
        <w:t xml:space="preserve"> مهام الموظفين وأهداف العمل متوافقة بشكل أفضل مع الأهداف الإستراتيجية والاحتياجات التشغيلية‎.</w:t>
      </w:r>
    </w:p>
    <w:p w14:paraId="6E4803BD" w14:textId="3D769818" w:rsidR="007A4A12" w:rsidRPr="007A4A12" w:rsidRDefault="007A4A12" w:rsidP="007A4A12">
      <w:pPr>
        <w:pStyle w:val="enumlev1"/>
        <w:rPr>
          <w:lang w:val="ar-SA" w:bidi="ar-EG"/>
        </w:rPr>
      </w:pPr>
      <w:r>
        <w:rPr>
          <w:rtl/>
        </w:rPr>
        <w:tab/>
      </w:r>
      <w:r w:rsidRPr="007A4A12">
        <w:rPr>
          <w:rtl/>
        </w:rPr>
        <w:t>وستُحوّل خدمات الموارد البشرية لتصبح حديثة ومرنة ومبتكرة، مستفيدةً من التكنولوجيات الملائمة للغرض لتحقيق التميز في الخدمة في الاتحاد ككل.</w:t>
      </w:r>
    </w:p>
    <w:p w14:paraId="5BC4576E" w14:textId="7ED0CE1E" w:rsidR="007A4A12" w:rsidRPr="00E41587" w:rsidRDefault="00E41587" w:rsidP="007A4A12">
      <w:pPr>
        <w:pStyle w:val="enumlev1"/>
        <w:rPr>
          <w:b/>
          <w:bCs/>
          <w:lang w:val="ar-SA" w:bidi="ar-EG"/>
        </w:rPr>
      </w:pPr>
      <w:r w:rsidRPr="00E41587">
        <w:rPr>
          <w:rFonts w:hint="cs"/>
          <w:b/>
          <w:bCs/>
          <w:rtl/>
        </w:rPr>
        <w:t>’2‘</w:t>
      </w:r>
      <w:r w:rsidRPr="00E41587">
        <w:rPr>
          <w:b/>
          <w:bCs/>
          <w:rtl/>
        </w:rPr>
        <w:tab/>
      </w:r>
      <w:r w:rsidR="007A4A12" w:rsidRPr="00E41587">
        <w:rPr>
          <w:b/>
          <w:bCs/>
          <w:rtl/>
        </w:rPr>
        <w:t>الاستعمال الأمثل للموارد</w:t>
      </w:r>
    </w:p>
    <w:p w14:paraId="165AF4D9" w14:textId="08F482AD" w:rsidR="007A4A12" w:rsidRPr="007A4A12" w:rsidRDefault="007A4A12" w:rsidP="007A4A12">
      <w:pPr>
        <w:pStyle w:val="enumlev1"/>
        <w:rPr>
          <w:lang w:val="ar-SA" w:bidi="ar-EG"/>
        </w:rPr>
      </w:pPr>
      <w:r>
        <w:rPr>
          <w:rtl/>
        </w:rPr>
        <w:tab/>
      </w:r>
      <w:r w:rsidRPr="007A4A12">
        <w:rPr>
          <w:rtl/>
        </w:rPr>
        <w:t>يهدف الاتحاد إلى ضمان أن يجسد توزيع موارده أولوياته. وسيعتمد الاتحاد نهجاً استراتيجياً يقوم على التأثير في إعداد الميزانية يشمل جميع القطاعات. ‏ومن خلال استخدام الإدارة المالية المرنة وممارسات التنبؤ، باستعمال أفضل البيانات والأدوات المتاحة، يمكن للاتحاد أن يستجيب بشكل أكثر فعالية للاحتياجات الحالية والتحديات غير المتوقعة.‎ ومن شأن هذا النهج أن يحسن النفاذ إلى البيانات المالية الدقيقة في الوقت المناسب على مستوى المنظمة ويعزز قدراتنا على التنبؤ.</w:t>
      </w:r>
    </w:p>
    <w:p w14:paraId="3A6FF329" w14:textId="6BABB907" w:rsidR="007A4A12" w:rsidRPr="007A4A12" w:rsidRDefault="007A4A12" w:rsidP="007A4A12">
      <w:pPr>
        <w:pStyle w:val="enumlev1"/>
        <w:rPr>
          <w:lang w:val="ar-SA" w:bidi="ar-EG"/>
        </w:rPr>
      </w:pPr>
      <w:r w:rsidRPr="007A4A12">
        <w:rPr>
          <w:rtl/>
        </w:rPr>
        <w:t>‏</w:t>
      </w:r>
      <w:r>
        <w:rPr>
          <w:rtl/>
        </w:rPr>
        <w:tab/>
      </w:r>
      <w:r w:rsidRPr="007A4A12">
        <w:rPr>
          <w:rtl/>
        </w:rPr>
        <w:t>وسيجري تطبيق تدابير وأدوات لتوفير التكاليف، وسيُعاد توزيع الموارد غير المستخدمة استخداماً كافياً على المكاتب لزيادة الكفاءة.‎ وسيجري تبسيط عمليات الشراء والعمليات المالية لدينا لتحسين الأداء، وسيجري تحديث اللوائح والقواعد المالية، بدمج أفضل الممارسات من منظومة الأمم المتحدة، بتوجيه من الهيئات الإدارية للاتحاد.</w:t>
      </w:r>
    </w:p>
    <w:p w14:paraId="73D04CED" w14:textId="2D65E60B" w:rsidR="007A4A12" w:rsidRPr="00E41587" w:rsidRDefault="00E41587" w:rsidP="007A4A12">
      <w:pPr>
        <w:pStyle w:val="enumlev1"/>
        <w:rPr>
          <w:b/>
          <w:bCs/>
          <w:lang w:val="ar-SA" w:bidi="ar-EG"/>
        </w:rPr>
      </w:pPr>
      <w:r w:rsidRPr="00E41587">
        <w:rPr>
          <w:rFonts w:hint="cs"/>
          <w:b/>
          <w:bCs/>
          <w:rtl/>
        </w:rPr>
        <w:t>’3‘</w:t>
      </w:r>
      <w:r w:rsidRPr="00E41587">
        <w:rPr>
          <w:b/>
          <w:bCs/>
          <w:rtl/>
        </w:rPr>
        <w:tab/>
      </w:r>
      <w:r w:rsidR="007A4A12" w:rsidRPr="00E41587">
        <w:rPr>
          <w:b/>
          <w:bCs/>
          <w:rtl/>
        </w:rPr>
        <w:t>عمليات وأدوات الأنظمة</w:t>
      </w:r>
    </w:p>
    <w:p w14:paraId="1924028E" w14:textId="0C24F0B2" w:rsidR="007A4A12" w:rsidRPr="007A4A12" w:rsidRDefault="007A4A12" w:rsidP="007A4A12">
      <w:pPr>
        <w:pStyle w:val="enumlev1"/>
        <w:rPr>
          <w:lang w:val="ar-SA" w:bidi="ar-EG"/>
        </w:rPr>
      </w:pPr>
      <w:r>
        <w:rPr>
          <w:rtl/>
        </w:rPr>
        <w:tab/>
      </w:r>
      <w:r w:rsidRPr="007A4A12">
        <w:rPr>
          <w:rtl/>
        </w:rPr>
        <w:t>سيعمل هذا التحول على تحديث عمليات وأنظمة الاتحاد، بما يتسق مع رسالته الأساسية وأهدافه واحتياجات المكاتب والمكاتب الإقليمية، وتزويده بأدوات حديثة لتعزيز الفعالية والمرونة والكفاءة. والهدف من ذلك تقليل المخاطر وضمان الصحة المالية واعتماد تكنولوجيات وعمليات جديدة. وسيعزز الاتحاد ثقافة تتمحور حول البيانات من خلال الإدارة المنسقة واتخاذ القرارات القائمة على البيانات، إلى جانب إدارة المخاطر والتخطيط الاستراتيجي. وستشمل الجهود تبسيط الخدمات المؤسسية والإدارية وخدمات تكنولوجيا المعلومات عبر الاتحاد، والتخلص التدريجي من الأنظمة القديمة، ورفع مستوى العمليات والمهارات من أجل تحسين الكفاءة. وبالإضافة إلى ذلك، سيتبنى الاتحاد الابتكار في تقديم خدماته للمؤتمرات والاجتماعات، مستفيداً من التكنولوجيات الجديدة لتعزيز الجودة وتحسين الإنتاجية.</w:t>
      </w:r>
    </w:p>
    <w:p w14:paraId="1582CF24" w14:textId="40D34D82" w:rsidR="007A4A12" w:rsidRPr="00E41587" w:rsidRDefault="00E41587" w:rsidP="007A4A12">
      <w:pPr>
        <w:pStyle w:val="enumlev1"/>
        <w:rPr>
          <w:b/>
          <w:bCs/>
          <w:lang w:val="ar-SA" w:bidi="ar-EG"/>
        </w:rPr>
      </w:pPr>
      <w:r w:rsidRPr="00E41587">
        <w:rPr>
          <w:rFonts w:hint="cs"/>
          <w:b/>
          <w:bCs/>
          <w:rtl/>
        </w:rPr>
        <w:t>’4‘</w:t>
      </w:r>
      <w:r w:rsidRPr="00E41587">
        <w:rPr>
          <w:b/>
          <w:bCs/>
          <w:rtl/>
        </w:rPr>
        <w:tab/>
      </w:r>
      <w:r w:rsidR="007A4A12" w:rsidRPr="00E41587">
        <w:rPr>
          <w:b/>
          <w:bCs/>
          <w:rtl/>
        </w:rPr>
        <w:t>الإدارة</w:t>
      </w:r>
    </w:p>
    <w:p w14:paraId="56514B7A" w14:textId="57F27951" w:rsidR="007A4A12" w:rsidRPr="007A4A12" w:rsidRDefault="007A4A12" w:rsidP="007A4A12">
      <w:pPr>
        <w:pStyle w:val="enumlev1"/>
        <w:rPr>
          <w:lang w:val="ar-SA" w:bidi="ar-EG"/>
        </w:rPr>
      </w:pPr>
      <w:r>
        <w:rPr>
          <w:rtl/>
        </w:rPr>
        <w:tab/>
      </w:r>
      <w:r w:rsidRPr="007A4A12">
        <w:rPr>
          <w:rtl/>
        </w:rPr>
        <w:t>سيقوم الاتحاد باستعراض وتعزيز آليات التتبع والمراقبة والتنسيق الداخلية لتجنب الازدواجية وتحسين الكفاءة والشفافية. وستُحدد أهداف لضمان معالجة توصيات هيئات الإدارة والتدقيق والقضاء بكفاءة وشاملة.</w:t>
      </w:r>
    </w:p>
    <w:p w14:paraId="07C97864" w14:textId="18A03135" w:rsidR="007A4A12" w:rsidRPr="007A4A12" w:rsidRDefault="00E41587" w:rsidP="00E41587">
      <w:pPr>
        <w:pStyle w:val="Heading1"/>
        <w:rPr>
          <w:lang w:val="ar-SA" w:bidi="ar-EG"/>
        </w:rPr>
      </w:pPr>
      <w:r>
        <w:rPr>
          <w:rFonts w:hint="cs"/>
          <w:rtl/>
        </w:rPr>
        <w:lastRenderedPageBreak/>
        <w:t>2</w:t>
      </w:r>
      <w:r>
        <w:rPr>
          <w:rtl/>
        </w:rPr>
        <w:tab/>
      </w:r>
      <w:r w:rsidR="007A4A12" w:rsidRPr="007A4A12">
        <w:rPr>
          <w:rtl/>
        </w:rPr>
        <w:t>تحديث التحول</w:t>
      </w:r>
    </w:p>
    <w:p w14:paraId="571C4B79" w14:textId="77777777" w:rsidR="007A4A12" w:rsidRPr="007A4A12" w:rsidRDefault="007A4A12" w:rsidP="007A4A12">
      <w:pPr>
        <w:rPr>
          <w:lang w:val="ar-SA" w:bidi="ar-EG"/>
        </w:rPr>
      </w:pPr>
      <w:r w:rsidRPr="007A4A12">
        <w:rPr>
          <w:rtl/>
        </w:rPr>
        <w:t>أُطلقت بالفعل العديد من المبادرات التحويلية وحققت بالفعل تحسينات في تقديم الخدمات.</w:t>
      </w:r>
    </w:p>
    <w:p w14:paraId="7388552B" w14:textId="77777777" w:rsidR="007A4A12" w:rsidRPr="007A4A12" w:rsidRDefault="007A4A12" w:rsidP="00E41587">
      <w:pPr>
        <w:pStyle w:val="Headingb"/>
        <w:rPr>
          <w:lang w:val="ar-SA" w:bidi="ar-EG"/>
        </w:rPr>
      </w:pPr>
      <w:r w:rsidRPr="007A4A12">
        <w:rPr>
          <w:rtl/>
        </w:rPr>
        <w:t>الأشخاص والثقافة</w:t>
      </w:r>
    </w:p>
    <w:p w14:paraId="50384842" w14:textId="73FA4B4E" w:rsidR="007A4A12" w:rsidRPr="007A4A12" w:rsidRDefault="007A4A12" w:rsidP="007A4A12">
      <w:pPr>
        <w:rPr>
          <w:lang w:val="ar-SA" w:bidi="ar-EG"/>
        </w:rPr>
      </w:pPr>
      <w:r w:rsidRPr="007A4A12">
        <w:rPr>
          <w:rtl/>
        </w:rPr>
        <w:t>اتخذت مبادرات ملحوظة لتحويل الموارد البشرية لتعزيز تقديم خدمات الموارد البشرية وكفاءتها. وتشمل الإنجازات الرئيسية تنفيذ الأمر الإداري المحدث بشأن إدارة الأداء (05/23) لتبسيط عملية استعراض الأداء.</w:t>
      </w:r>
    </w:p>
    <w:p w14:paraId="1A38ECB6" w14:textId="5EBFB32A" w:rsidR="007A4A12" w:rsidRPr="007A4A12" w:rsidRDefault="007A4A12" w:rsidP="007A4A12">
      <w:pPr>
        <w:rPr>
          <w:lang w:val="ar-SA" w:bidi="ar-EG"/>
        </w:rPr>
      </w:pPr>
      <w:r w:rsidRPr="007A4A12">
        <w:rPr>
          <w:rtl/>
        </w:rPr>
        <w:t>ووُضعت مجموعة أدوات إدارة الأداء في نوفمبر 2023 لمساعدة المديرين في التعامل مع قصور الأداء، والتي تم تعزيزها بشكل أكبر بأربع دورات قصيرة لإدارة الأداء استفاد منها 135 موظفاً و47 مشرفاً. ونُفذت ترتيبات العمل عن بُعد المتاحة لجميع الموظفين، ويجري إضفاء طابع رسمي عليها من خلال أمر إداري جديد، مع استمرار دائرة إدارة الموارد البشرية في وضع إطار أوسع لترتيبات العمل المرنة.</w:t>
      </w:r>
    </w:p>
    <w:p w14:paraId="14DDC8B4" w14:textId="6427E44C" w:rsidR="007A4A12" w:rsidRPr="007A4A12" w:rsidRDefault="007A4A12" w:rsidP="007A4A12">
      <w:pPr>
        <w:rPr>
          <w:lang w:val="ar-SA" w:bidi="ar-EG"/>
        </w:rPr>
      </w:pPr>
      <w:r w:rsidRPr="007A4A12">
        <w:rPr>
          <w:rtl/>
        </w:rPr>
        <w:t>وصدرت سياسة الإجازة الوالدية في ديسمبر 2023، عقب إدخال الإطار الجديد للإجازة الوالدية في النظام الإداري لموظفي الاتحاد. ‏ويتواصل العمل على تحديث الإطار التنظيمي وإتاحة المزيد من المواءمة مع النظام الموحد للأمم المتحدة، حسب الاقتضاء.</w:t>
      </w:r>
    </w:p>
    <w:p w14:paraId="1B6958EA" w14:textId="77777777" w:rsidR="007A4A12" w:rsidRPr="007A4A12" w:rsidRDefault="007A4A12" w:rsidP="007A4A12">
      <w:pPr>
        <w:rPr>
          <w:lang w:val="ar-SA" w:bidi="ar-EG"/>
        </w:rPr>
      </w:pPr>
      <w:r w:rsidRPr="007A4A12">
        <w:rPr>
          <w:rtl/>
        </w:rPr>
        <w:t>ويهدف إطلاق برنامج المهنيين الشباب في عام 2023 إلى تعزيز توظيف الشباب في الاتحاد، مع التركيز على التوظيف من أقل البلدان نمواً، التي هي حالياً غير ممثلة أو ممثلة تمثيلاً ناقصاً بين الموظفين. وأخيراً، وفي إطار المضي قدماً في اتخاذ القرارات المستندة إلى البيانات كجزء من دعامة "الخدمة" في خطة التحول للاتحاد، نفذت إدارة الموارد البشرية لوحة معلومات حية دينامية توفر نظرة عامة شاملة على مقاييس "الأشخاص" الرئيسية، بما في ذلك توزيع الجنسين والتوزيع الجغرافي.</w:t>
      </w:r>
    </w:p>
    <w:p w14:paraId="3384D356" w14:textId="77777777" w:rsidR="007A4A12" w:rsidRPr="007A4A12" w:rsidRDefault="007A4A12" w:rsidP="00E41587">
      <w:pPr>
        <w:pStyle w:val="Headingb"/>
        <w:rPr>
          <w:lang w:val="ar-SA" w:bidi="ar-EG"/>
        </w:rPr>
      </w:pPr>
      <w:r w:rsidRPr="007A4A12">
        <w:rPr>
          <w:rtl/>
        </w:rPr>
        <w:t>الاستعمال الأمثل للموارد</w:t>
      </w:r>
    </w:p>
    <w:p w14:paraId="09AC6B47" w14:textId="77777777" w:rsidR="007A4A12" w:rsidRPr="007A4A12" w:rsidRDefault="007A4A12" w:rsidP="007A4A12">
      <w:pPr>
        <w:rPr>
          <w:lang w:val="ar-SA" w:bidi="ar-EG"/>
        </w:rPr>
      </w:pPr>
      <w:r w:rsidRPr="007A4A12">
        <w:rPr>
          <w:rtl/>
        </w:rPr>
        <w:t>استهلت الأمانة مشروعاً شاملاً لتحسين عملية الاستخدام الأمثل يركز على ترشيد الأموال الخارجة عن الميزانية. وتمثل هذه المبادرة خطوة محورية نحو تحقيق الهدف الاستراتيجي للاتحاد المتمثل في التحول المالي وتتماشى مع الرؤية الرامية إلى تحقيق إطار أكثر مرونة واستجابة للإدارة المالية.</w:t>
      </w:r>
    </w:p>
    <w:p w14:paraId="369C3EE3" w14:textId="77777777" w:rsidR="007A4A12" w:rsidRPr="007A4A12" w:rsidRDefault="007A4A12" w:rsidP="007A4A12">
      <w:pPr>
        <w:rPr>
          <w:lang w:val="ar-SA" w:bidi="ar-EG"/>
        </w:rPr>
      </w:pPr>
      <w:r w:rsidRPr="007A4A12">
        <w:rPr>
          <w:rtl/>
        </w:rPr>
        <w:t>وتتمثل الأهداف الرئيسية لهذه المبادرة فيما يلي:</w:t>
      </w:r>
    </w:p>
    <w:p w14:paraId="232557DE" w14:textId="4EBDD3AA" w:rsidR="007A4A12" w:rsidRPr="007A4A12" w:rsidRDefault="00E41587" w:rsidP="00E41587">
      <w:pPr>
        <w:pStyle w:val="enumlev1"/>
        <w:rPr>
          <w:lang w:val="ar-SA" w:bidi="ar-EG"/>
        </w:rPr>
      </w:pPr>
      <w:r w:rsidRPr="00E41587">
        <w:t>1</w:t>
      </w:r>
      <w:r>
        <w:rPr>
          <w:b/>
          <w:bCs/>
        </w:rPr>
        <w:tab/>
      </w:r>
      <w:r w:rsidR="007A4A12" w:rsidRPr="007A4A12">
        <w:rPr>
          <w:b/>
          <w:bCs/>
          <w:rtl/>
        </w:rPr>
        <w:t>تعزيز الكفاءة</w:t>
      </w:r>
      <w:r w:rsidR="007A4A12" w:rsidRPr="007A4A12">
        <w:rPr>
          <w:rtl/>
        </w:rPr>
        <w:t>: من خلال تبسيط الإجراءات وتقييسها، سيقلل الاتحاد بشكل كبير من النفقات الإدارية العامة ويحسن أوقات الاستجابة.</w:t>
      </w:r>
    </w:p>
    <w:p w14:paraId="6AA8AB79" w14:textId="0E502474" w:rsidR="007A4A12" w:rsidRPr="007A4A12" w:rsidRDefault="00E41587" w:rsidP="00E41587">
      <w:pPr>
        <w:pStyle w:val="enumlev1"/>
        <w:rPr>
          <w:lang w:val="ar-SA" w:bidi="ar-EG"/>
        </w:rPr>
      </w:pPr>
      <w:r w:rsidRPr="00E41587">
        <w:t>2</w:t>
      </w:r>
      <w:r>
        <w:rPr>
          <w:b/>
          <w:bCs/>
        </w:rPr>
        <w:tab/>
      </w:r>
      <w:r w:rsidR="007A4A12" w:rsidRPr="007A4A12">
        <w:rPr>
          <w:b/>
          <w:bCs/>
          <w:rtl/>
        </w:rPr>
        <w:t>زيادة الشفافية</w:t>
      </w:r>
      <w:r w:rsidR="007A4A12" w:rsidRPr="007A4A12">
        <w:rPr>
          <w:rtl/>
        </w:rPr>
        <w:t>: سيؤدي تبسيط العمليات إلى زيادة الوضوح في إدارة الأموال، مما يضمن المساءلة ويسهل اتخاذ قرارات أفضل للعديد من أصحاب المصلحة.</w:t>
      </w:r>
    </w:p>
    <w:p w14:paraId="63C73A44" w14:textId="31B8ACAA" w:rsidR="007A4A12" w:rsidRPr="007A4A12" w:rsidRDefault="00E41587" w:rsidP="00E41587">
      <w:pPr>
        <w:pStyle w:val="enumlev1"/>
        <w:rPr>
          <w:lang w:val="ar-SA" w:bidi="ar-EG"/>
        </w:rPr>
      </w:pPr>
      <w:r w:rsidRPr="00E41587">
        <w:t>3</w:t>
      </w:r>
      <w:r>
        <w:rPr>
          <w:b/>
          <w:bCs/>
        </w:rPr>
        <w:tab/>
      </w:r>
      <w:r w:rsidR="007A4A12" w:rsidRPr="007A4A12">
        <w:rPr>
          <w:b/>
          <w:bCs/>
          <w:rtl/>
        </w:rPr>
        <w:t>تحسين توزيع الموارد</w:t>
      </w:r>
      <w:r w:rsidR="007A4A12" w:rsidRPr="007A4A12">
        <w:rPr>
          <w:rtl/>
        </w:rPr>
        <w:t>: من خلال ترشيد إدارة الأموال، ستكفل الأمانة توجيه الموارد الخارجة عن الميزانية نحو المبادرات ذات الأولوية، مما يؤدي إلى تعظيم الأثر.</w:t>
      </w:r>
    </w:p>
    <w:p w14:paraId="6D131F76" w14:textId="5ABF3063" w:rsidR="007A4A12" w:rsidRPr="007A4A12" w:rsidRDefault="00E41587" w:rsidP="00E41587">
      <w:pPr>
        <w:pStyle w:val="enumlev1"/>
        <w:rPr>
          <w:lang w:val="ar-SA" w:bidi="ar-EG"/>
        </w:rPr>
      </w:pPr>
      <w:r w:rsidRPr="00E41587">
        <w:t>4</w:t>
      </w:r>
      <w:r>
        <w:rPr>
          <w:b/>
          <w:bCs/>
        </w:rPr>
        <w:tab/>
      </w:r>
      <w:r w:rsidR="007A4A12" w:rsidRPr="007A4A12">
        <w:rPr>
          <w:b/>
          <w:bCs/>
          <w:rtl/>
        </w:rPr>
        <w:t>تعزيز الإدارة المالية</w:t>
      </w:r>
      <w:r w:rsidR="007A4A12" w:rsidRPr="007A4A12">
        <w:rPr>
          <w:rtl/>
        </w:rPr>
        <w:t>: سيعزز تنفيذ أفضل الممارسات في تحسين العمليات هياكل الإدارة المالية لدينا، مما يدعم الاستدامة على المدى الطويل.</w:t>
      </w:r>
    </w:p>
    <w:p w14:paraId="11AAED21" w14:textId="46DAD258" w:rsidR="007A4A12" w:rsidRPr="007A4A12" w:rsidRDefault="00E41587" w:rsidP="00E41587">
      <w:pPr>
        <w:pStyle w:val="enumlev1"/>
        <w:rPr>
          <w:lang w:val="ar-SA" w:bidi="ar-EG"/>
        </w:rPr>
      </w:pPr>
      <w:r w:rsidRPr="00E41587">
        <w:t>5</w:t>
      </w:r>
      <w:r>
        <w:rPr>
          <w:b/>
          <w:bCs/>
        </w:rPr>
        <w:tab/>
      </w:r>
      <w:r w:rsidR="007A4A12" w:rsidRPr="007A4A12">
        <w:rPr>
          <w:b/>
          <w:bCs/>
          <w:rtl/>
        </w:rPr>
        <w:t>تحسين التقارير المالية</w:t>
      </w:r>
      <w:r w:rsidR="007A4A12" w:rsidRPr="007A4A12">
        <w:rPr>
          <w:rtl/>
        </w:rPr>
        <w:t>: ‏من خلال تبسيط العملية، سيتم تعزيز إعداد التقارير المالية وتمكين إعداد التقارير في الوقت المناسب من خلال نماذج مبسطة. ‎‎ ويشمل ذلك أيضاً تعزيز مهارات موظفي دائرة الموارد المالية، ولا سيما من خلال اكتساب أسس متينة في المعايير المحاسبية الدولية للقطاع العام، واتباع أفضل الممارسات داخل أسرة الأمم المتحدة.</w:t>
      </w:r>
    </w:p>
    <w:p w14:paraId="6557B6D2" w14:textId="77777777" w:rsidR="007A4A12" w:rsidRPr="007A4A12" w:rsidRDefault="007A4A12" w:rsidP="007A4A12">
      <w:pPr>
        <w:rPr>
          <w:lang w:val="ar-SA" w:bidi="ar-EG"/>
        </w:rPr>
      </w:pPr>
      <w:r w:rsidRPr="007A4A12">
        <w:rPr>
          <w:rtl/>
        </w:rPr>
        <w:t>وستشرع دائرة إدارة الموارد المالية في مبادرة تحسين العمليات باعتماد نهج تدريجي لضمان التنفيذ السلس والحد الأدنى من التعطيل.‎ وتشمل الاستراتيجية ما يلي:</w:t>
      </w:r>
    </w:p>
    <w:p w14:paraId="710D7A17" w14:textId="54C2F519" w:rsidR="007A4A12" w:rsidRPr="007A4A12" w:rsidRDefault="00E41587" w:rsidP="00E41587">
      <w:pPr>
        <w:pStyle w:val="enumlev1"/>
        <w:rPr>
          <w:lang w:val="ar-SA" w:bidi="ar-EG"/>
        </w:rPr>
      </w:pPr>
      <w:r>
        <w:rPr>
          <w:b/>
          <w:bCs/>
        </w:rPr>
        <w:sym w:font="Symbol" w:char="F0B7"/>
      </w:r>
      <w:r>
        <w:rPr>
          <w:b/>
          <w:bCs/>
          <w:rtl/>
        </w:rPr>
        <w:tab/>
      </w:r>
      <w:r w:rsidR="007A4A12" w:rsidRPr="007A4A12">
        <w:rPr>
          <w:b/>
          <w:bCs/>
          <w:rtl/>
        </w:rPr>
        <w:t>مرحلة التقييم</w:t>
      </w:r>
      <w:r w:rsidR="007A4A12" w:rsidRPr="007A4A12">
        <w:rPr>
          <w:rtl/>
        </w:rPr>
        <w:t>: تحليل شامل للعمليات الحالية لتحديد العقبات ومجالات التحسين (قامت دائرة إدارة الموارد المالية حالياً بمرحلة التقييم وستنتقل إلى المراحل المستقبلية خلال عام ‎2024).</w:t>
      </w:r>
    </w:p>
    <w:p w14:paraId="2D11C276" w14:textId="3BC1C3BD" w:rsidR="007A4A12" w:rsidRPr="007A4A12" w:rsidRDefault="00E41587" w:rsidP="00E41587">
      <w:pPr>
        <w:pStyle w:val="enumlev1"/>
        <w:rPr>
          <w:lang w:val="ar-SA" w:bidi="ar-EG"/>
        </w:rPr>
      </w:pPr>
      <w:r>
        <w:rPr>
          <w:b/>
          <w:bCs/>
        </w:rPr>
        <w:sym w:font="Symbol" w:char="F0B7"/>
      </w:r>
      <w:r>
        <w:rPr>
          <w:b/>
          <w:bCs/>
          <w:rtl/>
        </w:rPr>
        <w:tab/>
      </w:r>
      <w:r w:rsidR="007A4A12" w:rsidRPr="007A4A12">
        <w:rPr>
          <w:b/>
          <w:bCs/>
          <w:rtl/>
        </w:rPr>
        <w:t>مرحلة التصميم</w:t>
      </w:r>
      <w:r w:rsidR="007A4A12" w:rsidRPr="007A4A12">
        <w:rPr>
          <w:rtl/>
        </w:rPr>
        <w:t>: وضع عمليات وإجراءات مبسطة تتضمن أفضل الممارسات والحلول التكنولوجية.</w:t>
      </w:r>
    </w:p>
    <w:p w14:paraId="1D5DF752" w14:textId="137EEB00" w:rsidR="007A4A12" w:rsidRPr="007A4A12" w:rsidRDefault="00E41587" w:rsidP="00E41587">
      <w:pPr>
        <w:pStyle w:val="enumlev1"/>
        <w:rPr>
          <w:lang w:val="ar-SA" w:bidi="ar-EG"/>
        </w:rPr>
      </w:pPr>
      <w:r>
        <w:rPr>
          <w:b/>
          <w:bCs/>
        </w:rPr>
        <w:sym w:font="Symbol" w:char="F0B7"/>
      </w:r>
      <w:r>
        <w:rPr>
          <w:b/>
          <w:bCs/>
          <w:rtl/>
        </w:rPr>
        <w:tab/>
      </w:r>
      <w:r w:rsidR="007A4A12" w:rsidRPr="007A4A12">
        <w:rPr>
          <w:b/>
          <w:bCs/>
          <w:rtl/>
        </w:rPr>
        <w:t>الاختبار التجريبي</w:t>
      </w:r>
      <w:r w:rsidR="007A4A12" w:rsidRPr="007A4A12">
        <w:rPr>
          <w:rtl/>
        </w:rPr>
        <w:t>: تنفيذ عمليات جديدة في مجالات مختارة للتحقق من الفعالية وجمع التعليقات.</w:t>
      </w:r>
    </w:p>
    <w:p w14:paraId="38E5BF16" w14:textId="070A2177" w:rsidR="007A4A12" w:rsidRPr="007A4A12" w:rsidRDefault="00E41587" w:rsidP="00E41587">
      <w:pPr>
        <w:pStyle w:val="enumlev1"/>
        <w:rPr>
          <w:lang w:val="ar-SA" w:bidi="ar-EG"/>
        </w:rPr>
      </w:pPr>
      <w:r>
        <w:rPr>
          <w:b/>
          <w:bCs/>
        </w:rPr>
        <w:sym w:font="Symbol" w:char="F0B7"/>
      </w:r>
      <w:r>
        <w:rPr>
          <w:b/>
          <w:bCs/>
          <w:rtl/>
        </w:rPr>
        <w:tab/>
      </w:r>
      <w:r w:rsidR="007A4A12" w:rsidRPr="007A4A12">
        <w:rPr>
          <w:b/>
          <w:bCs/>
          <w:rtl/>
        </w:rPr>
        <w:t>التنفيذ الكامل</w:t>
      </w:r>
      <w:r w:rsidR="007A4A12" w:rsidRPr="007A4A12">
        <w:rPr>
          <w:rtl/>
        </w:rPr>
        <w:t>: النشر التدريجي عبر جميع الوظائف ذات الصلة، مصحوباً بالتدريب والدعم لضمان الانتقال السلس.</w:t>
      </w:r>
    </w:p>
    <w:p w14:paraId="60E06E9B" w14:textId="2AB28A21" w:rsidR="007A4A12" w:rsidRPr="007A4A12" w:rsidRDefault="00E41587" w:rsidP="00E41587">
      <w:pPr>
        <w:pStyle w:val="enumlev1"/>
        <w:rPr>
          <w:lang w:val="ar-SA" w:bidi="ar-EG"/>
        </w:rPr>
      </w:pPr>
      <w:r>
        <w:rPr>
          <w:b/>
          <w:bCs/>
        </w:rPr>
        <w:sym w:font="Symbol" w:char="F0B7"/>
      </w:r>
      <w:r>
        <w:rPr>
          <w:b/>
          <w:bCs/>
          <w:rtl/>
        </w:rPr>
        <w:tab/>
      </w:r>
      <w:r w:rsidR="007A4A12" w:rsidRPr="007A4A12">
        <w:rPr>
          <w:b/>
          <w:bCs/>
          <w:rtl/>
        </w:rPr>
        <w:t>المراقبة والتقييم</w:t>
      </w:r>
      <w:r w:rsidR="007A4A12" w:rsidRPr="007A4A12">
        <w:rPr>
          <w:rtl/>
        </w:rPr>
        <w:t>: المراقبة المستمرة للعمليات الجديدة لتقييم الأداء وإجراء التعديلات اللازمة.</w:t>
      </w:r>
    </w:p>
    <w:p w14:paraId="1D001251" w14:textId="77777777" w:rsidR="007A4A12" w:rsidRPr="007A4A12" w:rsidRDefault="007A4A12" w:rsidP="007A4A12">
      <w:pPr>
        <w:rPr>
          <w:lang w:val="ar-SA" w:bidi="ar-EG"/>
        </w:rPr>
      </w:pPr>
      <w:r w:rsidRPr="007A4A12">
        <w:rPr>
          <w:rtl/>
        </w:rPr>
        <w:lastRenderedPageBreak/>
        <w:t>سيشارك أصحاب المصلحة في الاتحاد، بما في ذلك رؤساء الدوائر ومديرو المشاريع وموظفو الشؤون المالية، مباشرة في عملية التحول. وستوفر دائرة إدارة الموارد المالية التحديث والتدريب والدعم بشكل منتظم لضمان إعداد جميع أصحاب المصلحة للتكيف مع العمليات المبسطة الجديدة والاستفادة منها.</w:t>
      </w:r>
    </w:p>
    <w:p w14:paraId="26CB7762" w14:textId="77777777" w:rsidR="007A4A12" w:rsidRPr="007A4A12" w:rsidRDefault="007A4A12" w:rsidP="00E41587">
      <w:pPr>
        <w:pStyle w:val="Headingb"/>
        <w:rPr>
          <w:lang w:val="ar-SA" w:bidi="ar-EG"/>
        </w:rPr>
      </w:pPr>
      <w:r w:rsidRPr="007A4A12">
        <w:rPr>
          <w:rtl/>
        </w:rPr>
        <w:t>عمليات وأدوات الأنظمة</w:t>
      </w:r>
    </w:p>
    <w:p w14:paraId="66AFA8CA" w14:textId="77777777" w:rsidR="007A4A12" w:rsidRPr="007A4A12" w:rsidRDefault="007A4A12" w:rsidP="007A4A12">
      <w:pPr>
        <w:rPr>
          <w:lang w:val="ar-SA" w:bidi="ar-EG"/>
        </w:rPr>
      </w:pPr>
      <w:r w:rsidRPr="007A4A12">
        <w:rPr>
          <w:rtl/>
        </w:rPr>
        <w:t>زاد الاتحاد من استخدام الترجمة الآلية والمحركات الداخلية، مما أدى إلى تعزيز الإنتاجية وتقليل التكاليف مع زيادة توافر المحتوى متعدد اللغات.</w:t>
      </w:r>
    </w:p>
    <w:p w14:paraId="7BEB4471" w14:textId="32052896" w:rsidR="007A4A12" w:rsidRPr="007A4A12" w:rsidRDefault="007A4A12" w:rsidP="007A4A12">
      <w:pPr>
        <w:rPr>
          <w:lang w:val="ar-SA" w:bidi="ar-EG"/>
        </w:rPr>
      </w:pPr>
      <w:r w:rsidRPr="007A4A12">
        <w:rPr>
          <w:rtl/>
        </w:rPr>
        <w:t xml:space="preserve">وعززت الأمانة استخدام الأدوات بمساعدة الحاسوب </w:t>
      </w:r>
      <w:r w:rsidRPr="007A4A12">
        <w:rPr>
          <w:lang w:bidi="ar-EG"/>
        </w:rPr>
        <w:t>(CAT</w:t>
      </w:r>
      <w:r w:rsidR="00E41587">
        <w:t>)</w:t>
      </w:r>
      <w:r w:rsidRPr="007A4A12">
        <w:rPr>
          <w:rtl/>
        </w:rPr>
        <w:t>، مما أسهم في تبسيط عمليات الترجمة وزيادة الإنتاجية في أعمال معالجة النصوص.</w:t>
      </w:r>
    </w:p>
    <w:p w14:paraId="0BAD94F2" w14:textId="77777777" w:rsidR="007A4A12" w:rsidRPr="007A4A12" w:rsidRDefault="007A4A12" w:rsidP="007A4A12">
      <w:pPr>
        <w:rPr>
          <w:lang w:val="ar-SA" w:bidi="ar-EG"/>
        </w:rPr>
      </w:pPr>
      <w:r w:rsidRPr="007A4A12">
        <w:rPr>
          <w:rtl/>
        </w:rPr>
        <w:t>وتم تنفيذ التحليل والتنبؤ القائمين على البيانات لمواءمة خطة التوظيف بشكل أفضل مع احتياجات الترجمة ومعالجة النصوص طوال الدورة السنوية، مما يزيد من الكفاءة والفعالية من حيث التكلفة.</w:t>
      </w:r>
    </w:p>
    <w:p w14:paraId="1D37BEFD" w14:textId="38834C05" w:rsidR="007A4A12" w:rsidRPr="007A4A12" w:rsidRDefault="007A4A12" w:rsidP="007A4A12">
      <w:pPr>
        <w:rPr>
          <w:lang w:val="ar-SA" w:bidi="ar-EG"/>
        </w:rPr>
      </w:pPr>
      <w:r w:rsidRPr="007A4A12">
        <w:rPr>
          <w:rtl/>
        </w:rPr>
        <w:t xml:space="preserve">وعملت الأمانة على تحديث نظام إدارة الهوية والنفاذ </w:t>
      </w:r>
      <w:r w:rsidRPr="007A4A12">
        <w:rPr>
          <w:lang w:bidi="ar-EG"/>
        </w:rPr>
        <w:t>(IAM</w:t>
      </w:r>
      <w:r w:rsidR="00E41587">
        <w:t>)</w:t>
      </w:r>
      <w:r w:rsidRPr="007A4A12">
        <w:rPr>
          <w:rtl/>
        </w:rPr>
        <w:t xml:space="preserve"> في الاتحاد لتحل محل نظام إدارة خدمة تبادل معلومات الاتصالات المتقادم ولتوفير عملية سلسة لأعضاء الاتحاد وموظفيه وأصحاب المصلحة الآخرين. وسيبدأ العمل بالنظام الجديد في 6</w:t>
      </w:r>
      <w:r w:rsidR="00E41587">
        <w:rPr>
          <w:rFonts w:hint="cs"/>
          <w:rtl/>
        </w:rPr>
        <w:t> </w:t>
      </w:r>
      <w:r w:rsidRPr="007A4A12">
        <w:rPr>
          <w:rtl/>
        </w:rPr>
        <w:t>مايو</w:t>
      </w:r>
      <w:r w:rsidR="00E41587">
        <w:rPr>
          <w:rFonts w:hint="cs"/>
          <w:rtl/>
        </w:rPr>
        <w:t> </w:t>
      </w:r>
      <w:r w:rsidRPr="007A4A12">
        <w:rPr>
          <w:rtl/>
        </w:rPr>
        <w:t>2024. وسيؤثر هذا النظام تأثيراً عميقاً على جميع جوانب عمليات الاتحاد من خلال منصة حديثة لإنشاء حسابات المستعملين في الاتحاد ووظائف الخدمة الذاتية؛ وتبسيط تحديث البيانات العامة للمندوبين؛ وتمكين الأعضاء من إدارة نفاذ أعضاء وفودهم إلى خدمة تبادل معلومات الاتصالات (</w:t>
      </w:r>
      <w:r w:rsidRPr="007A4A12">
        <w:rPr>
          <w:lang w:bidi="ar-EG"/>
        </w:rPr>
        <w:t>TIES</w:t>
      </w:r>
      <w:r w:rsidRPr="007A4A12">
        <w:rPr>
          <w:rtl/>
        </w:rPr>
        <w:t>)؛ وضمان النفاذ الآمن إلى الموارد الرقمية والوثائق والأحداث الفعلية أو الافتراضية؛ وتعزيز تجارب المشاركين بشكل عام في مؤتمرات الاتحاد واجتماعاته.</w:t>
      </w:r>
    </w:p>
    <w:p w14:paraId="7EA6B6CA" w14:textId="77777777" w:rsidR="007A4A12" w:rsidRPr="007A4A12" w:rsidRDefault="007A4A12" w:rsidP="008F0A27">
      <w:pPr>
        <w:pStyle w:val="Headingb"/>
        <w:rPr>
          <w:lang w:val="ar-SA" w:bidi="ar-EG"/>
        </w:rPr>
      </w:pPr>
      <w:r w:rsidRPr="007A4A12">
        <w:rPr>
          <w:rtl/>
        </w:rPr>
        <w:t>الإدارة</w:t>
      </w:r>
    </w:p>
    <w:p w14:paraId="5CBF5D24" w14:textId="77777777" w:rsidR="007A4A12" w:rsidRPr="007A4A12" w:rsidRDefault="007A4A12" w:rsidP="007A4A12">
      <w:pPr>
        <w:rPr>
          <w:lang w:val="ar-SA" w:bidi="ar-EG"/>
        </w:rPr>
      </w:pPr>
      <w:r w:rsidRPr="007A4A12">
        <w:rPr>
          <w:rtl/>
        </w:rPr>
        <w:t>اتُخذت الخطوات التالية في عام 2023 لتحسين كفاءة تخطيط الأمانة لاجتماعات مجلس الاتحاد وتنفيذها:</w:t>
      </w:r>
    </w:p>
    <w:p w14:paraId="34650E5D" w14:textId="4E5C2F8A" w:rsidR="007A4A12" w:rsidRPr="007A4A12" w:rsidRDefault="008F0A27" w:rsidP="008F0A27">
      <w:pPr>
        <w:pStyle w:val="enumlev1"/>
        <w:rPr>
          <w:lang w:val="ar-SA" w:bidi="ar-EG"/>
        </w:rPr>
      </w:pPr>
      <w:r>
        <w:sym w:font="Symbol" w:char="F0B7"/>
      </w:r>
      <w:r>
        <w:rPr>
          <w:rtl/>
        </w:rPr>
        <w:tab/>
      </w:r>
      <w:r w:rsidR="007A4A12" w:rsidRPr="007A4A12">
        <w:rPr>
          <w:rtl/>
        </w:rPr>
        <w:t>تم تحديد جدول أعمال أكثر استراتيجية. ونشر جدول أعمال مشروح.</w:t>
      </w:r>
    </w:p>
    <w:p w14:paraId="23E4C8EC" w14:textId="63C73A5F" w:rsidR="007A4A12" w:rsidRPr="007A4A12" w:rsidRDefault="008F0A27" w:rsidP="008F0A27">
      <w:pPr>
        <w:pStyle w:val="enumlev1"/>
        <w:rPr>
          <w:lang w:val="ar-SA" w:bidi="ar-EG"/>
        </w:rPr>
      </w:pPr>
      <w:r>
        <w:sym w:font="Symbol" w:char="F0B7"/>
      </w:r>
      <w:r>
        <w:rPr>
          <w:rtl/>
        </w:rPr>
        <w:tab/>
      </w:r>
      <w:r w:rsidR="007A4A12" w:rsidRPr="007A4A12">
        <w:rPr>
          <w:rtl/>
        </w:rPr>
        <w:t>أعدت وثائق أقصر وموجهة نحو اتخاذ القرارات، بما في ذلك الآثار المالية والصلة بالخطة الاستراتيجية والخطة المالية.</w:t>
      </w:r>
    </w:p>
    <w:p w14:paraId="1AFCD5FC" w14:textId="7974669E" w:rsidR="007A4A12" w:rsidRPr="007A4A12" w:rsidRDefault="008F0A27" w:rsidP="008F0A27">
      <w:pPr>
        <w:pStyle w:val="enumlev1"/>
        <w:rPr>
          <w:lang w:val="ar-SA" w:bidi="ar-EG"/>
        </w:rPr>
      </w:pPr>
      <w:r>
        <w:sym w:font="Symbol" w:char="F0B7"/>
      </w:r>
      <w:r>
        <w:rPr>
          <w:rtl/>
        </w:rPr>
        <w:tab/>
      </w:r>
      <w:r w:rsidR="007A4A12" w:rsidRPr="007A4A12">
        <w:rPr>
          <w:rtl/>
        </w:rPr>
        <w:t>نُشر موقع إلكتروني جديد لمجلس الاتحاد.</w:t>
      </w:r>
    </w:p>
    <w:p w14:paraId="70A9ECA0" w14:textId="0191AB7F" w:rsidR="007A4A12" w:rsidRPr="007A4A12" w:rsidRDefault="008F0A27" w:rsidP="008F0A27">
      <w:pPr>
        <w:pStyle w:val="enumlev1"/>
        <w:rPr>
          <w:lang w:val="ar-SA" w:bidi="ar-EG"/>
        </w:rPr>
      </w:pPr>
      <w:r>
        <w:sym w:font="Symbol" w:char="F0B7"/>
      </w:r>
      <w:r>
        <w:rPr>
          <w:rtl/>
        </w:rPr>
        <w:tab/>
      </w:r>
      <w:r w:rsidR="007A4A12" w:rsidRPr="007A4A12">
        <w:rPr>
          <w:rtl/>
        </w:rPr>
        <w:t>تم تعزيز التواصل مع أعضاء المجلس من خلال أربع جلسات إحاطة مواضيعية افتراضية بشأن مواضيع استراتيجية فضلاً عن جلسة إحاطة لأعضاء المجلس الجدد.</w:t>
      </w:r>
    </w:p>
    <w:p w14:paraId="41E7AC4A" w14:textId="125AD791" w:rsidR="007A4A12" w:rsidRPr="007A4A12" w:rsidRDefault="008F0A27" w:rsidP="008F0A27">
      <w:pPr>
        <w:pStyle w:val="enumlev1"/>
        <w:rPr>
          <w:lang w:val="ar-SA" w:bidi="ar-EG"/>
        </w:rPr>
      </w:pPr>
      <w:r>
        <w:sym w:font="Symbol" w:char="F0B7"/>
      </w:r>
      <w:r>
        <w:rPr>
          <w:rtl/>
        </w:rPr>
        <w:tab/>
      </w:r>
      <w:r w:rsidR="007A4A12" w:rsidRPr="007A4A12">
        <w:rPr>
          <w:rtl/>
        </w:rPr>
        <w:t>تمت إعادة صياغة واختصار تقرير النشاط السنوي (الوثيقة 35) ليشمل متابعة قرارات مؤتمر المندوبين المفوضين.</w:t>
      </w:r>
    </w:p>
    <w:p w14:paraId="6FC95797" w14:textId="420CA074" w:rsidR="007A4A12" w:rsidRPr="007A4A12" w:rsidRDefault="008F0A27" w:rsidP="008F0A27">
      <w:pPr>
        <w:pStyle w:val="enumlev1"/>
        <w:rPr>
          <w:lang w:val="ar-SA" w:bidi="ar-EG"/>
        </w:rPr>
      </w:pPr>
      <w:r>
        <w:sym w:font="Symbol" w:char="F0B7"/>
      </w:r>
      <w:r>
        <w:rPr>
          <w:rtl/>
        </w:rPr>
        <w:tab/>
      </w:r>
      <w:r w:rsidR="007A4A12" w:rsidRPr="007A4A12">
        <w:rPr>
          <w:rtl/>
        </w:rPr>
        <w:t>نُظم معتكف للأمينة العامة قبل انعقاد المجلس بيوم واحد فضلاً عن جزء رفيع المستوى.</w:t>
      </w:r>
    </w:p>
    <w:p w14:paraId="1A322B5A" w14:textId="77777777" w:rsidR="007A4A12" w:rsidRPr="007A4A12" w:rsidRDefault="007A4A12" w:rsidP="007A4A12">
      <w:pPr>
        <w:rPr>
          <w:lang w:val="ar-SA" w:bidi="ar-EG"/>
        </w:rPr>
      </w:pPr>
      <w:r w:rsidRPr="007A4A12">
        <w:rPr>
          <w:rtl/>
        </w:rPr>
        <w:t>وتم تعزيز التواصل مع البعثات الدائمة من خلال أربع جلسات إحاطة للسفراء، وجلسة إحاطة لجهات الاتصال الجديدة لدى الاتحاد في البعثات الدائمة، وتنظيم أكثر من 10 سلاسل للاتحاد بشأن إزالة الغموض عن ماهية التكنولوجيا الرقمية ‏استضافتها البعثات الدائمة بناء على طلباتها بشأن مواضيع مثل الميتافيرس والمعايير المستدامة والمراعية للبيئة والتكنولوجيا الكمومية.</w:t>
      </w:r>
    </w:p>
    <w:p w14:paraId="11B5D9F7" w14:textId="3AE410A6" w:rsidR="007A4A12" w:rsidRPr="007A4A12" w:rsidRDefault="008F0A27" w:rsidP="008F0A27">
      <w:pPr>
        <w:pStyle w:val="Heading1"/>
        <w:rPr>
          <w:lang w:val="ar-SA" w:bidi="ar-EG"/>
        </w:rPr>
      </w:pPr>
      <w:r>
        <w:t>3</w:t>
      </w:r>
      <w:r>
        <w:tab/>
      </w:r>
      <w:r w:rsidR="007A4A12" w:rsidRPr="007A4A12">
        <w:rPr>
          <w:rtl/>
        </w:rPr>
        <w:t>خارطة طريق التحول</w:t>
      </w:r>
    </w:p>
    <w:p w14:paraId="08778A09" w14:textId="77777777" w:rsidR="007A4A12" w:rsidRPr="007A4A12" w:rsidRDefault="007A4A12" w:rsidP="007A4A12">
      <w:pPr>
        <w:rPr>
          <w:lang w:val="ar-SA" w:bidi="ar-EG"/>
        </w:rPr>
      </w:pPr>
      <w:r w:rsidRPr="007A4A12">
        <w:rPr>
          <w:rtl/>
        </w:rPr>
        <w:t>ستقدم خارطة طريق عملية التحول إلى المجلس كوثيقة منفصلة.</w:t>
      </w:r>
    </w:p>
    <w:p w14:paraId="6CF742AC" w14:textId="1EADC4BF" w:rsidR="007A4A12" w:rsidRPr="007A4A12" w:rsidRDefault="007A4A12" w:rsidP="007A4A12">
      <w:pPr>
        <w:rPr>
          <w:lang w:val="ar-SA" w:bidi="ar-EG"/>
        </w:rPr>
      </w:pPr>
      <w:r w:rsidRPr="007A4A12">
        <w:rPr>
          <w:rtl/>
        </w:rPr>
        <w:t>وستُنظم خارطة طريق التحول حول الدعائم الأربع المذكورة أعلاه، والتي تم إعداد 18 نتيجة بشأنها. وتمثل هذه النتائج التغيير الملموس داخل الاتحاد الذي يسعى التحول إلى تحقيقه، وحددت مؤشرات لتسهيل قياس التقدم المحرز.</w:t>
      </w:r>
    </w:p>
    <w:p w14:paraId="64C5C4A8" w14:textId="77777777" w:rsidR="007A4A12" w:rsidRPr="007A4A12" w:rsidRDefault="007A4A12" w:rsidP="007A4A12">
      <w:pPr>
        <w:rPr>
          <w:lang w:val="ar-SA" w:bidi="ar-EG"/>
        </w:rPr>
      </w:pPr>
      <w:r w:rsidRPr="007A4A12">
        <w:rPr>
          <w:rtl/>
        </w:rPr>
        <w:t xml:space="preserve">وسيتحقق التقدم نحو النتائج من خلال المبادرات التي تنفذها الدوائر ذات الصلة، والتي ستؤدي إلى نواتج محددة وقابلة للقياس. </w:t>
      </w:r>
      <w:r w:rsidRPr="007A4A12">
        <w:rPr>
          <w:rFonts w:hint="eastAsia"/>
          <w:rtl/>
        </w:rPr>
        <w:t>‏وبهذه</w:t>
      </w:r>
      <w:r w:rsidRPr="007A4A12">
        <w:rPr>
          <w:rtl/>
        </w:rPr>
        <w:t xml:space="preserve"> </w:t>
      </w:r>
      <w:r w:rsidRPr="007A4A12">
        <w:rPr>
          <w:rFonts w:hint="eastAsia"/>
          <w:rtl/>
        </w:rPr>
        <w:t>الطريقة،</w:t>
      </w:r>
      <w:r w:rsidRPr="007A4A12">
        <w:rPr>
          <w:rtl/>
        </w:rPr>
        <w:t xml:space="preserve"> </w:t>
      </w:r>
      <w:r w:rsidRPr="007A4A12">
        <w:rPr>
          <w:rFonts w:hint="eastAsia"/>
          <w:rtl/>
        </w:rPr>
        <w:t>سيجري</w:t>
      </w:r>
      <w:r w:rsidRPr="007A4A12">
        <w:rPr>
          <w:rtl/>
        </w:rPr>
        <w:t xml:space="preserve"> </w:t>
      </w:r>
      <w:r w:rsidRPr="007A4A12">
        <w:rPr>
          <w:rFonts w:hint="eastAsia"/>
          <w:rtl/>
        </w:rPr>
        <w:t>الاضطلاع</w:t>
      </w:r>
      <w:r w:rsidRPr="007A4A12">
        <w:rPr>
          <w:rtl/>
        </w:rPr>
        <w:t xml:space="preserve"> </w:t>
      </w:r>
      <w:r w:rsidRPr="007A4A12">
        <w:rPr>
          <w:rFonts w:hint="eastAsia"/>
          <w:rtl/>
        </w:rPr>
        <w:t>بمبادرات</w:t>
      </w:r>
      <w:r w:rsidRPr="007A4A12">
        <w:rPr>
          <w:rtl/>
        </w:rPr>
        <w:t xml:space="preserve"> ستساهم </w:t>
      </w:r>
      <w:r w:rsidRPr="007A4A12">
        <w:rPr>
          <w:rFonts w:hint="eastAsia"/>
          <w:rtl/>
        </w:rPr>
        <w:t>مجتمعة</w:t>
      </w:r>
      <w:r w:rsidRPr="007A4A12">
        <w:rPr>
          <w:rtl/>
        </w:rPr>
        <w:t xml:space="preserve"> في تحقيق </w:t>
      </w:r>
      <w:r w:rsidRPr="007A4A12">
        <w:rPr>
          <w:rFonts w:hint="eastAsia"/>
          <w:rtl/>
        </w:rPr>
        <w:t>نتائج</w:t>
      </w:r>
      <w:r w:rsidRPr="007A4A12">
        <w:rPr>
          <w:rtl/>
        </w:rPr>
        <w:t xml:space="preserve"> </w:t>
      </w:r>
      <w:r w:rsidRPr="007A4A12">
        <w:rPr>
          <w:rFonts w:hint="eastAsia"/>
          <w:rtl/>
        </w:rPr>
        <w:t>التحول</w:t>
      </w:r>
      <w:r w:rsidRPr="007A4A12">
        <w:rPr>
          <w:rtl/>
        </w:rPr>
        <w:t xml:space="preserve"> </w:t>
      </w:r>
      <w:r w:rsidRPr="007A4A12">
        <w:rPr>
          <w:rFonts w:hint="eastAsia"/>
          <w:rtl/>
        </w:rPr>
        <w:t>المنشودة</w:t>
      </w:r>
      <w:r w:rsidRPr="007A4A12">
        <w:rPr>
          <w:rtl/>
        </w:rPr>
        <w:t>.</w:t>
      </w:r>
      <w:r w:rsidRPr="007A4A12">
        <w:rPr>
          <w:cs/>
        </w:rPr>
        <w:t>‎</w:t>
      </w:r>
    </w:p>
    <w:p w14:paraId="12164AC2" w14:textId="0B619B9F" w:rsidR="007A4A12" w:rsidRPr="007A4A12" w:rsidRDefault="007A4A12" w:rsidP="007A4A12">
      <w:pPr>
        <w:rPr>
          <w:lang w:val="ar-SA" w:bidi="ar-EG"/>
        </w:rPr>
      </w:pPr>
      <w:r w:rsidRPr="007A4A12">
        <w:rPr>
          <w:rtl/>
        </w:rPr>
        <w:t>وستكون خارطة الطريق خارطة طريق حية تتجدد بناءً على التقدم المحرز نحو تحقيق النتائج المنشودة. وهكذا، بمجرد الانتهاء من المبادرات، سيجري تقييم أثرها من حيث المساهمة في تحقيق النتائج الإجمالية، وستوضع مبادرات إضافية عند اللزوم لمواصلة تحقيق الهدف العام.</w:t>
      </w:r>
    </w:p>
    <w:p w14:paraId="7C3EB343" w14:textId="77777777" w:rsidR="007A4A12" w:rsidRPr="007A4A12" w:rsidRDefault="007A4A12" w:rsidP="007A4A12">
      <w:pPr>
        <w:rPr>
          <w:lang w:val="ar-SA" w:bidi="ar-EG"/>
        </w:rPr>
      </w:pPr>
      <w:r w:rsidRPr="007A4A12">
        <w:rPr>
          <w:rtl/>
        </w:rPr>
        <w:lastRenderedPageBreak/>
        <w:t>‏ويوضح الشكل أدناه هذه العملية التكرارية للتطوير والتحسين المستمر لخارطة الطريق‎.</w:t>
      </w:r>
    </w:p>
    <w:p w14:paraId="0C7019CA" w14:textId="7FE86ACF" w:rsidR="007A4A12" w:rsidRPr="007A4A12" w:rsidRDefault="00BA5B3F" w:rsidP="003E4898">
      <w:pPr>
        <w:jc w:val="center"/>
        <w:rPr>
          <w:lang w:bidi="ar-EG"/>
        </w:rPr>
      </w:pPr>
      <w:r>
        <w:rPr>
          <w:noProof/>
          <w:lang w:bidi="ar-EG"/>
        </w:rPr>
        <w:drawing>
          <wp:inline distT="0" distB="0" distL="0" distR="0" wp14:anchorId="36C4A8EE" wp14:editId="645FE3B1">
            <wp:extent cx="6108192" cy="3346807"/>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8392" cy="3357875"/>
                    </a:xfrm>
                    <a:prstGeom prst="rect">
                      <a:avLst/>
                    </a:prstGeom>
                    <a:noFill/>
                  </pic:spPr>
                </pic:pic>
              </a:graphicData>
            </a:graphic>
          </wp:inline>
        </w:drawing>
      </w:r>
    </w:p>
    <w:p w14:paraId="439A0504" w14:textId="12E632CE" w:rsidR="007A4A12" w:rsidRPr="007A4A12" w:rsidRDefault="007A4A12" w:rsidP="00BA5B3F">
      <w:pPr>
        <w:spacing w:before="240"/>
        <w:rPr>
          <w:lang w:val="ar-SA" w:bidi="ar-EG"/>
        </w:rPr>
      </w:pPr>
      <w:r w:rsidRPr="007A4A12">
        <w:rPr>
          <w:rtl/>
        </w:rPr>
        <w:t>وقد اكتملت المراحل الأولية لتحديد الأهداف والنتائج ومؤشرات الأداء الرئيسية، وبدأ العمل لتحديد الأنشطة وتحديد أولوياتها.</w:t>
      </w:r>
    </w:p>
    <w:p w14:paraId="06BF51DC" w14:textId="09349B41" w:rsidR="007A4A12" w:rsidRPr="007A4A12" w:rsidRDefault="003E4898" w:rsidP="003E4898">
      <w:pPr>
        <w:pStyle w:val="Heading1"/>
        <w:rPr>
          <w:lang w:val="ar-SA" w:bidi="ar-EG"/>
        </w:rPr>
      </w:pPr>
      <w:r>
        <w:rPr>
          <w:rFonts w:hint="cs"/>
          <w:rtl/>
        </w:rPr>
        <w:t>4</w:t>
      </w:r>
      <w:r>
        <w:rPr>
          <w:rtl/>
        </w:rPr>
        <w:tab/>
      </w:r>
      <w:r w:rsidR="007A4A12" w:rsidRPr="007A4A12">
        <w:rPr>
          <w:rtl/>
        </w:rPr>
        <w:t>كيف سيجري قياس التقدم المحرز؟</w:t>
      </w:r>
    </w:p>
    <w:p w14:paraId="74B40B82" w14:textId="767DBF13" w:rsidR="007A4A12" w:rsidRPr="007A4A12" w:rsidRDefault="007A4A12" w:rsidP="007A4A12">
      <w:pPr>
        <w:rPr>
          <w:lang w:val="ar-SA" w:bidi="ar-EG"/>
        </w:rPr>
      </w:pPr>
      <w:r w:rsidRPr="007A4A12">
        <w:rPr>
          <w:rtl/>
        </w:rPr>
        <w:t>ستؤدي عملية التحول إلى تحسينات في طائفة واسعة من مجالات عمل الاتحاد، من خلال تعزيز القدرات والعمليات والإجراءات الداخلية. وستشمل عدة مبادرات مفصلة وذات نطاق متفاوت.</w:t>
      </w:r>
    </w:p>
    <w:p w14:paraId="3A2A68F9" w14:textId="4BF66F70" w:rsidR="007A4A12" w:rsidRPr="007A4A12" w:rsidRDefault="007A4A12" w:rsidP="007A4A12">
      <w:pPr>
        <w:rPr>
          <w:spacing w:val="-2"/>
          <w:lang w:val="ar-SA" w:bidi="ar-EG"/>
        </w:rPr>
      </w:pPr>
      <w:r w:rsidRPr="007A4A12">
        <w:rPr>
          <w:spacing w:val="-2"/>
          <w:rtl/>
        </w:rPr>
        <w:t>وبما أن التركيز الأولي للتحول ينصب على الوظائف المؤسسية المشتركة بين معظم المنظمات، ستقاس التحسينات المرجوة، حيثما أمكن، باستخدام أفضل مؤشرات الأداء المؤسسي.‎ وستُحدد مستويات الأداء المنشودة في الاتحاد استناداً إلى تحسينات يمكن تحقيقها وقياسها بالمقارنة مع مجموعة مختارة محددة من المنظمات المماثلة. وسيضمن ذلك قدرة الاتحاد على تقييم التقدم الذي يحرزه، وكذلك على مقارنة نفسه بنظرائه مما يوفر للإدارة والأعضاء نتائج يمكن التحقق منها بسهولة من أجل التحول.</w:t>
      </w:r>
    </w:p>
    <w:p w14:paraId="0809DDEB" w14:textId="77777777" w:rsidR="007A4A12" w:rsidRPr="007A4A12" w:rsidRDefault="007A4A12" w:rsidP="007A4A12">
      <w:pPr>
        <w:rPr>
          <w:lang w:val="ar-SA" w:bidi="ar-EG"/>
        </w:rPr>
      </w:pPr>
      <w:r w:rsidRPr="007A4A12">
        <w:rPr>
          <w:rtl/>
        </w:rPr>
        <w:t>وستقاس النتائج الإجمالية من خلال التقدم المحرز بشأن المؤشرات على النحو المبين في الملحق 1.</w:t>
      </w:r>
    </w:p>
    <w:p w14:paraId="7D934274" w14:textId="77777777" w:rsidR="007A4A12" w:rsidRPr="007A4A12" w:rsidRDefault="007A4A12" w:rsidP="007A4A12">
      <w:pPr>
        <w:rPr>
          <w:lang w:val="ar-SA" w:bidi="ar-EG"/>
        </w:rPr>
      </w:pPr>
      <w:r w:rsidRPr="007A4A12">
        <w:rPr>
          <w:rtl/>
        </w:rPr>
        <w:t>ويُقترح اعتماد هدف عام تحدد على أساسه أهداف كل مؤشر. ويُقترح أن يستند هذا الهدف إلى ترتيب ينبغي أن يحققه الاتحاد، وأن يقارن مع الوكالات المماثلة للاتحاد من حيث التكوين والإدارة ونموذج الأعمال. ويجري وضع أهداف مفصلة وستُعرض على المجلس مشفوعة بمعايير مرجعية في دورة عام 2025.</w:t>
      </w:r>
    </w:p>
    <w:p w14:paraId="1569644A" w14:textId="41EADBFF" w:rsidR="007A4A12" w:rsidRPr="007A4A12" w:rsidRDefault="003E4898" w:rsidP="003E4898">
      <w:pPr>
        <w:pStyle w:val="Heading1"/>
        <w:rPr>
          <w:lang w:val="ar-SA" w:bidi="ar-EG"/>
        </w:rPr>
      </w:pPr>
      <w:r>
        <w:t>5</w:t>
      </w:r>
      <w:r>
        <w:tab/>
      </w:r>
      <w:r w:rsidR="007A4A12" w:rsidRPr="007A4A12">
        <w:rPr>
          <w:rtl/>
        </w:rPr>
        <w:t>فريق التحول</w:t>
      </w:r>
    </w:p>
    <w:p w14:paraId="07392003" w14:textId="77777777" w:rsidR="007A4A12" w:rsidRPr="007A4A12" w:rsidRDefault="007A4A12" w:rsidP="007A4A12">
      <w:pPr>
        <w:rPr>
          <w:lang w:val="ar-SA" w:bidi="ar-EG"/>
        </w:rPr>
      </w:pPr>
      <w:r w:rsidRPr="007A4A12">
        <w:rPr>
          <w:rtl/>
        </w:rPr>
        <w:t>سيقوم فريق التحول بتنسيق عملية التحول وسيضمن تنفيذ المبادرات المحددة من جانب الفرق المسؤولة، بما يضمن المساءلة. وعلى وجه التحديد، سيتولى الفريق المسؤوليات التالية:</w:t>
      </w:r>
    </w:p>
    <w:p w14:paraId="358DBE40" w14:textId="00A658A8" w:rsidR="007A4A12" w:rsidRPr="007A4A12" w:rsidRDefault="00865AB8" w:rsidP="00865AB8">
      <w:pPr>
        <w:pStyle w:val="enumlev1"/>
        <w:rPr>
          <w:bCs/>
          <w:lang w:val="ar-SA" w:bidi="ar-EG"/>
        </w:rPr>
      </w:pPr>
      <w:r>
        <w:sym w:font="Symbol" w:char="F0B7"/>
      </w:r>
      <w:r>
        <w:rPr>
          <w:rtl/>
        </w:rPr>
        <w:tab/>
      </w:r>
      <w:r w:rsidR="007A4A12" w:rsidRPr="007A4A12">
        <w:rPr>
          <w:rtl/>
        </w:rPr>
        <w:t>تخطيط مبادرة التحول والإشراف عليها.</w:t>
      </w:r>
    </w:p>
    <w:p w14:paraId="19C868B5" w14:textId="0ECFFAC2" w:rsidR="007A4A12" w:rsidRPr="007A4A12" w:rsidRDefault="00865AB8" w:rsidP="00865AB8">
      <w:pPr>
        <w:pStyle w:val="enumlev1"/>
        <w:rPr>
          <w:bCs/>
          <w:lang w:val="ar-SA" w:bidi="ar-EG"/>
        </w:rPr>
      </w:pPr>
      <w:r>
        <w:sym w:font="Symbol" w:char="F0B7"/>
      </w:r>
      <w:r>
        <w:rPr>
          <w:rtl/>
        </w:rPr>
        <w:tab/>
      </w:r>
      <w:r w:rsidR="007A4A12" w:rsidRPr="007A4A12">
        <w:rPr>
          <w:rtl/>
        </w:rPr>
        <w:t>المراقبة وقياس التقدم.</w:t>
      </w:r>
    </w:p>
    <w:p w14:paraId="386597DC" w14:textId="24A3C862" w:rsidR="007A4A12" w:rsidRPr="007A4A12" w:rsidRDefault="00865AB8" w:rsidP="00865AB8">
      <w:pPr>
        <w:pStyle w:val="enumlev1"/>
        <w:rPr>
          <w:bCs/>
          <w:rtl/>
          <w:lang w:val="ar-SA" w:bidi="ar-EG"/>
        </w:rPr>
      </w:pPr>
      <w:r>
        <w:sym w:font="Symbol" w:char="F0B7"/>
      </w:r>
      <w:r>
        <w:rPr>
          <w:rtl/>
        </w:rPr>
        <w:tab/>
      </w:r>
      <w:r w:rsidR="007A4A12" w:rsidRPr="007A4A12">
        <w:rPr>
          <w:rtl/>
        </w:rPr>
        <w:t>ضمان المساءلة والشفافية</w:t>
      </w:r>
      <w:r>
        <w:rPr>
          <w:rFonts w:hint="cs"/>
          <w:rtl/>
          <w:lang w:bidi="ar-EG"/>
        </w:rPr>
        <w:t>.</w:t>
      </w:r>
    </w:p>
    <w:p w14:paraId="2C7F9DED" w14:textId="3A4B1C89" w:rsidR="007A4A12" w:rsidRPr="007A4A12" w:rsidRDefault="00865AB8" w:rsidP="00865AB8">
      <w:pPr>
        <w:pStyle w:val="enumlev1"/>
        <w:rPr>
          <w:bCs/>
          <w:lang w:val="ar-SA" w:bidi="ar-EG"/>
        </w:rPr>
      </w:pPr>
      <w:r>
        <w:sym w:font="Symbol" w:char="F0B7"/>
      </w:r>
      <w:r>
        <w:rPr>
          <w:rtl/>
        </w:rPr>
        <w:tab/>
      </w:r>
      <w:r w:rsidR="007A4A12" w:rsidRPr="007A4A12">
        <w:rPr>
          <w:rtl/>
        </w:rPr>
        <w:t>مراجعة العمليات وإعادة هندستها</w:t>
      </w:r>
      <w:r>
        <w:rPr>
          <w:rFonts w:hint="cs"/>
          <w:rtl/>
        </w:rPr>
        <w:t>.</w:t>
      </w:r>
    </w:p>
    <w:p w14:paraId="36DA601E" w14:textId="5A7EAFB9" w:rsidR="007A4A12" w:rsidRPr="007A4A12" w:rsidRDefault="00865AB8" w:rsidP="00865AB8">
      <w:pPr>
        <w:pStyle w:val="enumlev1"/>
        <w:rPr>
          <w:bCs/>
          <w:lang w:val="ar-SA" w:bidi="ar-EG"/>
        </w:rPr>
      </w:pPr>
      <w:r>
        <w:sym w:font="Symbol" w:char="F0B7"/>
      </w:r>
      <w:r>
        <w:rPr>
          <w:rtl/>
        </w:rPr>
        <w:tab/>
      </w:r>
      <w:r w:rsidR="007A4A12" w:rsidRPr="007A4A12">
        <w:rPr>
          <w:rtl/>
        </w:rPr>
        <w:t>التتبع والمتابعة.</w:t>
      </w:r>
    </w:p>
    <w:p w14:paraId="72A642A0" w14:textId="4928393A" w:rsidR="007A4A12" w:rsidRPr="007A4A12" w:rsidRDefault="00865AB8" w:rsidP="00865AB8">
      <w:pPr>
        <w:pStyle w:val="enumlev1"/>
        <w:rPr>
          <w:bCs/>
          <w:lang w:val="ar-SA" w:bidi="ar-EG"/>
        </w:rPr>
      </w:pPr>
      <w:r>
        <w:lastRenderedPageBreak/>
        <w:sym w:font="Symbol" w:char="F0B7"/>
      </w:r>
      <w:r>
        <w:rPr>
          <w:rtl/>
        </w:rPr>
        <w:tab/>
      </w:r>
      <w:r w:rsidR="007A4A12" w:rsidRPr="007A4A12">
        <w:rPr>
          <w:rtl/>
        </w:rPr>
        <w:t>دعم التسليم.</w:t>
      </w:r>
    </w:p>
    <w:p w14:paraId="6F56EB42" w14:textId="27284AED" w:rsidR="007A4A12" w:rsidRPr="007A4A12" w:rsidRDefault="00865AB8" w:rsidP="00865AB8">
      <w:pPr>
        <w:pStyle w:val="enumlev1"/>
        <w:rPr>
          <w:bCs/>
          <w:lang w:val="ar-SA" w:bidi="ar-EG"/>
        </w:rPr>
      </w:pPr>
      <w:r>
        <w:sym w:font="Symbol" w:char="F0B7"/>
      </w:r>
      <w:r>
        <w:rPr>
          <w:rtl/>
        </w:rPr>
        <w:tab/>
      </w:r>
      <w:r w:rsidR="007A4A12" w:rsidRPr="007A4A12">
        <w:rPr>
          <w:rtl/>
        </w:rPr>
        <w:t>التعامل والتواصل مع أصحاب المصلحة.</w:t>
      </w:r>
    </w:p>
    <w:p w14:paraId="748C3BFC" w14:textId="4FCF2C4E" w:rsidR="007A4A12" w:rsidRPr="007A4A12" w:rsidRDefault="00865AB8" w:rsidP="00865AB8">
      <w:pPr>
        <w:pStyle w:val="enumlev1"/>
        <w:rPr>
          <w:bCs/>
          <w:lang w:val="ar-SA" w:bidi="ar-EG"/>
        </w:rPr>
      </w:pPr>
      <w:r>
        <w:sym w:font="Symbol" w:char="F0B7"/>
      </w:r>
      <w:r>
        <w:rPr>
          <w:rtl/>
        </w:rPr>
        <w:tab/>
      </w:r>
      <w:r w:rsidR="007A4A12" w:rsidRPr="007A4A12">
        <w:rPr>
          <w:rtl/>
        </w:rPr>
        <w:t>ضمان رعاية القيادة العليا.</w:t>
      </w:r>
    </w:p>
    <w:p w14:paraId="42E619E0" w14:textId="59E38DBE" w:rsidR="007A4A12" w:rsidRPr="007A4A12" w:rsidRDefault="00865AB8" w:rsidP="00865AB8">
      <w:pPr>
        <w:pStyle w:val="enumlev1"/>
        <w:rPr>
          <w:bCs/>
          <w:lang w:val="ar-SA" w:bidi="ar-EG"/>
        </w:rPr>
      </w:pPr>
      <w:r>
        <w:sym w:font="Symbol" w:char="F0B7"/>
      </w:r>
      <w:r>
        <w:rPr>
          <w:rtl/>
        </w:rPr>
        <w:tab/>
      </w:r>
      <w:r w:rsidR="007A4A12" w:rsidRPr="007A4A12">
        <w:rPr>
          <w:rtl/>
        </w:rPr>
        <w:t>إدارة التغيير.</w:t>
      </w:r>
    </w:p>
    <w:p w14:paraId="107B6C70" w14:textId="09C190F6" w:rsidR="007A4A12" w:rsidRPr="007A4A12" w:rsidRDefault="00865AB8" w:rsidP="00865AB8">
      <w:pPr>
        <w:pStyle w:val="enumlev1"/>
        <w:rPr>
          <w:bCs/>
          <w:lang w:val="ar-SA" w:bidi="ar-EG"/>
        </w:rPr>
      </w:pPr>
      <w:r>
        <w:sym w:font="Symbol" w:char="F0B7"/>
      </w:r>
      <w:r>
        <w:rPr>
          <w:rtl/>
        </w:rPr>
        <w:tab/>
      </w:r>
      <w:r w:rsidR="007A4A12" w:rsidRPr="007A4A12">
        <w:rPr>
          <w:rtl/>
        </w:rPr>
        <w:t>إدارة المخاطر.</w:t>
      </w:r>
    </w:p>
    <w:p w14:paraId="69FBB1CB" w14:textId="07F0641B" w:rsidR="007A4A12" w:rsidRPr="007A4A12" w:rsidRDefault="00865AB8" w:rsidP="00865AB8">
      <w:pPr>
        <w:pStyle w:val="Heading1"/>
        <w:rPr>
          <w:lang w:val="ar-SA" w:bidi="ar-EG"/>
        </w:rPr>
      </w:pPr>
      <w:r>
        <w:rPr>
          <w:rFonts w:hint="cs"/>
          <w:rtl/>
        </w:rPr>
        <w:t>6</w:t>
      </w:r>
      <w:r>
        <w:rPr>
          <w:rtl/>
        </w:rPr>
        <w:tab/>
      </w:r>
      <w:r w:rsidR="007A4A12" w:rsidRPr="007A4A12">
        <w:rPr>
          <w:rtl/>
        </w:rPr>
        <w:t>إدارة عملية التحول</w:t>
      </w:r>
    </w:p>
    <w:p w14:paraId="77E09FEB" w14:textId="74A659C1" w:rsidR="007A4A12" w:rsidRPr="007A4A12" w:rsidRDefault="007A4A12" w:rsidP="007A4A12">
      <w:pPr>
        <w:rPr>
          <w:lang w:val="ar-SA" w:bidi="ar-EG"/>
        </w:rPr>
      </w:pPr>
      <w:r w:rsidRPr="007A4A12">
        <w:rPr>
          <w:rtl/>
        </w:rPr>
        <w:t>وستناصر الأمينة العامة ونائب الأمينة العامة هذا التحول بالتشاور والتعاون الوثيق مع مديري المكاتب (إذ تشارك كلها في لجنة التنسيق) وكذلك مع كبار المديرين (فريق التنسيق الإداري).</w:t>
      </w:r>
    </w:p>
    <w:p w14:paraId="7F63FF24" w14:textId="77777777" w:rsidR="007A4A12" w:rsidRPr="007A4A12" w:rsidRDefault="007A4A12" w:rsidP="007A4A12">
      <w:pPr>
        <w:rPr>
          <w:lang w:val="ar-SA" w:bidi="ar-EG"/>
        </w:rPr>
      </w:pPr>
      <w:r w:rsidRPr="007A4A12">
        <w:rPr>
          <w:rtl/>
        </w:rPr>
        <w:t>أنشئ فريق تحول مشترك بين القطاعات لتقديم التوجيه بشأن عملية التحول. ويضم الفريق كبار الممثلين من كل مكتب، ويساعد في تحديد عملية التحول ويقدم المشورة بشأن الأولويات ويعزز الوعي والدعم الشاملين لعدة قطاعات عبر المكاتب. وأدار الفريق أيضاً بشكل مباشر مبادرات التحول الشاملة لعدة قطاعات ذات الأهمية الخاصة (مثل مبادرة تسريع التوظيف بموجب اتفاق الخدمة الخاصة).</w:t>
      </w:r>
    </w:p>
    <w:p w14:paraId="3A400330" w14:textId="77777777" w:rsidR="007A4A12" w:rsidRPr="007A4A12" w:rsidRDefault="007A4A12" w:rsidP="007A4A12">
      <w:pPr>
        <w:rPr>
          <w:lang w:val="ar-SA" w:bidi="ar-EG"/>
        </w:rPr>
      </w:pPr>
      <w:r w:rsidRPr="007A4A12">
        <w:rPr>
          <w:rtl/>
        </w:rPr>
        <w:t xml:space="preserve">وسيقدم فريق التحول تحديثات منتظمة إلى اللجنة الاستشارية المستقلة للإدارة وفريق العمل التابع للمجلس والمعني بالموارد المالية والبشرية والمجلس. </w:t>
      </w:r>
    </w:p>
    <w:p w14:paraId="44C70CB2" w14:textId="1734FE99" w:rsidR="007A4A12" w:rsidRPr="007A4A12" w:rsidRDefault="00865AB8" w:rsidP="00865AB8">
      <w:pPr>
        <w:pStyle w:val="Heading1"/>
        <w:rPr>
          <w:lang w:val="ar-SA" w:bidi="ar-EG"/>
        </w:rPr>
      </w:pPr>
      <w:r>
        <w:t>7</w:t>
      </w:r>
      <w:r>
        <w:tab/>
      </w:r>
      <w:r w:rsidR="007A4A12" w:rsidRPr="007A4A12">
        <w:rPr>
          <w:rtl/>
        </w:rPr>
        <w:t>الآثار المالية</w:t>
      </w:r>
    </w:p>
    <w:p w14:paraId="233EF4B6" w14:textId="2419E85C" w:rsidR="007A4A12" w:rsidRPr="007A4A12" w:rsidRDefault="007A4A12" w:rsidP="007A4A12">
      <w:pPr>
        <w:rPr>
          <w:lang w:val="ar-SA" w:bidi="ar-EG"/>
        </w:rPr>
      </w:pPr>
      <w:r w:rsidRPr="007A4A12">
        <w:rPr>
          <w:rtl/>
        </w:rPr>
        <w:t>سيأتي تمويل التحول بشكل أساسي من مخصصات الميزانية العادية، مع السعي إلى تخصيص بعض المخصصات الإضافية لضمان القدرات والخبرات الكافية لتنفيذ المبادرات.</w:t>
      </w:r>
    </w:p>
    <w:p w14:paraId="413EC11C" w14:textId="4E1B3AD5" w:rsidR="007A4A12" w:rsidRPr="007A4A12" w:rsidRDefault="007A4A12" w:rsidP="007A4A12">
      <w:pPr>
        <w:rPr>
          <w:rtl/>
          <w:lang w:val="ar-SA" w:bidi="ar-EG"/>
        </w:rPr>
      </w:pPr>
      <w:r w:rsidRPr="007A4A12">
        <w:rPr>
          <w:rtl/>
        </w:rPr>
        <w:t>وخلال عام 2024، تشير التقديرات إلى أن التمويل الإضافي التالي سيكون مطلوباً لدعم مبادرات تحول محددة لا يمكن استكمالها باستخدام الموارد المالية والبشرية الحالية</w:t>
      </w:r>
      <w:r w:rsidR="00865AB8">
        <w:rPr>
          <w:rFonts w:hint="cs"/>
          <w:rtl/>
          <w:lang w:bidi="ar-EG"/>
        </w:rPr>
        <w:t>:</w:t>
      </w:r>
    </w:p>
    <w:p w14:paraId="1F832498" w14:textId="77777777" w:rsidR="007A4A12" w:rsidRPr="007A4A12" w:rsidRDefault="007A4A12" w:rsidP="00865AB8">
      <w:pPr>
        <w:pStyle w:val="Headingb"/>
        <w:rPr>
          <w:lang w:val="ar-SA" w:bidi="ar-EG"/>
        </w:rPr>
      </w:pPr>
      <w:r w:rsidRPr="007A4A12">
        <w:rPr>
          <w:rtl/>
        </w:rPr>
        <w:t xml:space="preserve">الأشخاص والثقافة - يقدّر التمويل بمبلغ </w:t>
      </w:r>
      <w:r w:rsidRPr="007A4A12">
        <w:rPr>
          <w:lang w:val="en-GB" w:bidi="ar-EG"/>
        </w:rPr>
        <w:t>300 000</w:t>
      </w:r>
      <w:r w:rsidRPr="007A4A12">
        <w:rPr>
          <w:rtl/>
        </w:rPr>
        <w:t xml:space="preserve"> فرنك سويسري</w:t>
      </w:r>
    </w:p>
    <w:p w14:paraId="051F9165" w14:textId="50FD65B5" w:rsidR="007A4A12" w:rsidRPr="007A4A12" w:rsidRDefault="00865AB8" w:rsidP="00865AB8">
      <w:pPr>
        <w:pStyle w:val="enumlev1"/>
        <w:rPr>
          <w:lang w:val="ar-SA" w:bidi="ar-EG"/>
        </w:rPr>
      </w:pPr>
      <w:r>
        <w:rPr>
          <w:b/>
          <w:bCs/>
          <w:lang w:bidi="ar-SA"/>
        </w:rPr>
        <w:sym w:font="Symbol" w:char="F0B7"/>
      </w:r>
      <w:r>
        <w:rPr>
          <w:b/>
          <w:bCs/>
          <w:lang w:bidi="ar-SA"/>
        </w:rPr>
        <w:tab/>
      </w:r>
      <w:r w:rsidR="007A4A12" w:rsidRPr="007A4A12">
        <w:rPr>
          <w:b/>
          <w:bCs/>
          <w:rtl/>
        </w:rPr>
        <w:t>وضع سياسة الموارد البشرية</w:t>
      </w:r>
      <w:r w:rsidR="007A4A12" w:rsidRPr="007A4A12">
        <w:rPr>
          <w:rtl/>
        </w:rPr>
        <w:t xml:space="preserve">: ترتكز تحسينات الأفراد والسياسة على سياسات وممارسات وقواعد الموارد البشرية للمنظمة. ومن الخطوات الأولية الرئيسية في تحسين هذا الجانب، استعراض السياسات ومراجعتها للتأكد من ملاءمتها لاتحاد أكثر كفاءة وفعالية. وستدعم عملية التحول دائرة إدارة الموارد البشرية </w:t>
      </w:r>
      <w:r w:rsidR="007A4A12" w:rsidRPr="007A4A12">
        <w:rPr>
          <w:lang w:bidi="ar-EG"/>
        </w:rPr>
        <w:t>(HRMD</w:t>
      </w:r>
      <w:r>
        <w:t>)</w:t>
      </w:r>
      <w:r w:rsidR="007A4A12" w:rsidRPr="007A4A12">
        <w:rPr>
          <w:rtl/>
        </w:rPr>
        <w:t xml:space="preserve"> في استعراض وتجديد شاملين لسياسات الموارد البشرية الحالية لدعم التغييرات التي ستمكن من إجراء تحسينات. وسيضمن ذلك أن يكون لدى موظفي الاتحاد ما يلزم من معدات وقدرات ودوافع لتحقيق النتائج.</w:t>
      </w:r>
    </w:p>
    <w:p w14:paraId="27198FAF" w14:textId="039CD427" w:rsidR="007A4A12" w:rsidRPr="007A4A12" w:rsidRDefault="00865AB8" w:rsidP="00865AB8">
      <w:pPr>
        <w:pStyle w:val="enumlev1"/>
        <w:rPr>
          <w:lang w:val="ar-SA" w:bidi="ar-EG"/>
        </w:rPr>
      </w:pPr>
      <w:r>
        <w:rPr>
          <w:b/>
          <w:bCs/>
          <w:lang w:bidi="ar-SA"/>
        </w:rPr>
        <w:sym w:font="Symbol" w:char="F0B7"/>
      </w:r>
      <w:r>
        <w:rPr>
          <w:b/>
          <w:bCs/>
          <w:lang w:bidi="ar-SA"/>
        </w:rPr>
        <w:tab/>
      </w:r>
      <w:r w:rsidR="007A4A12" w:rsidRPr="007A4A12">
        <w:rPr>
          <w:b/>
          <w:bCs/>
          <w:rtl/>
        </w:rPr>
        <w:t>تعريف الثقافة والقيم</w:t>
      </w:r>
      <w:r w:rsidR="007A4A12" w:rsidRPr="007A4A12">
        <w:rPr>
          <w:rtl/>
        </w:rPr>
        <w:t>: من النواتج الرئيسية لمعتكف الإدارة العليا الذي أجراه الاتحاد مؤخراً، والذي استند إلى الدراسة الاستقصائية الأخيرة بشأن رفاه الموظفين على نطاق الأمم المتحدة، ضرورة قيام الاتحاد بتطوير وتحديد ثقافة داخلية ومجموعة من القيم للمنظمة، وهي عملية ستقودها وحدة التحول، بالتعاون الوثيق مع دائرة إدارة الموارد البشرية.</w:t>
      </w:r>
    </w:p>
    <w:p w14:paraId="1AA9E4B3" w14:textId="32838B60" w:rsidR="007A4A12" w:rsidRPr="007A4A12" w:rsidRDefault="00865AB8" w:rsidP="00865AB8">
      <w:pPr>
        <w:pStyle w:val="enumlev1"/>
        <w:rPr>
          <w:lang w:val="ar-SA" w:bidi="ar-EG"/>
        </w:rPr>
      </w:pPr>
      <w:r>
        <w:rPr>
          <w:b/>
          <w:bCs/>
          <w:lang w:bidi="ar-SA"/>
        </w:rPr>
        <w:sym w:font="Symbol" w:char="F0B7"/>
      </w:r>
      <w:r>
        <w:rPr>
          <w:b/>
          <w:bCs/>
          <w:lang w:bidi="ar-SA"/>
        </w:rPr>
        <w:tab/>
      </w:r>
      <w:r w:rsidR="007A4A12" w:rsidRPr="007A4A12">
        <w:rPr>
          <w:b/>
          <w:bCs/>
          <w:rtl/>
        </w:rPr>
        <w:t>تخطيط القوى العاملة</w:t>
      </w:r>
      <w:r w:rsidR="007A4A12" w:rsidRPr="007A4A12">
        <w:rPr>
          <w:rtl/>
        </w:rPr>
        <w:t>: سيتطلب ضمان مستقبل مستدام للأمانة استعراض القوة العاملة في الاتحاد من منظور المهارات والقدرات، وكذلك من منظور أساليب العمل ومعاييره التي سيمكنها التحول. وسيجري استعراض وتقييم القوة العاملة لضمان تزويد الموظفين بالمعدات الكاملة للقيام بالوظائف في مكان عمل متحول.</w:t>
      </w:r>
    </w:p>
    <w:p w14:paraId="02B75C61" w14:textId="40055311" w:rsidR="007A4A12" w:rsidRPr="007A4A12" w:rsidRDefault="007A4A12" w:rsidP="00865AB8">
      <w:pPr>
        <w:pStyle w:val="Headingb"/>
        <w:rPr>
          <w:lang w:val="ar-SA" w:bidi="ar-EG"/>
        </w:rPr>
      </w:pPr>
      <w:r w:rsidRPr="007A4A12">
        <w:rPr>
          <w:rtl/>
        </w:rPr>
        <w:t>عمليات وأدوات الأنظمة - يقدّر التمويل بمبلغ</w:t>
      </w:r>
      <w:r w:rsidR="00865AB8">
        <w:rPr>
          <w:rFonts w:hint="cs"/>
          <w:rtl/>
        </w:rPr>
        <w:t>:</w:t>
      </w:r>
      <w:r w:rsidRPr="007A4A12">
        <w:rPr>
          <w:rtl/>
        </w:rPr>
        <w:t xml:space="preserve"> </w:t>
      </w:r>
      <w:r w:rsidRPr="007A4A12">
        <w:rPr>
          <w:lang w:val="en-GB" w:bidi="ar-EG"/>
        </w:rPr>
        <w:t>700 000</w:t>
      </w:r>
      <w:r w:rsidRPr="007A4A12">
        <w:rPr>
          <w:rtl/>
        </w:rPr>
        <w:t xml:space="preserve"> فرنك سويسري</w:t>
      </w:r>
    </w:p>
    <w:p w14:paraId="4F5FB54D" w14:textId="2433B157" w:rsidR="007A4A12" w:rsidRPr="007A4A12" w:rsidRDefault="00865AB8" w:rsidP="00865AB8">
      <w:pPr>
        <w:pStyle w:val="enumlev1"/>
        <w:rPr>
          <w:lang w:val="ar-SA" w:bidi="ar-EG"/>
        </w:rPr>
      </w:pPr>
      <w:r>
        <w:rPr>
          <w:b/>
          <w:bCs/>
          <w:lang w:bidi="ar-SA"/>
        </w:rPr>
        <w:sym w:font="Symbol" w:char="F0B7"/>
      </w:r>
      <w:r>
        <w:rPr>
          <w:b/>
          <w:bCs/>
          <w:lang w:bidi="ar-SA"/>
        </w:rPr>
        <w:tab/>
      </w:r>
      <w:r w:rsidR="007A4A12" w:rsidRPr="007A4A12">
        <w:rPr>
          <w:b/>
          <w:bCs/>
          <w:rtl/>
        </w:rPr>
        <w:t>بنية المؤسسة</w:t>
      </w:r>
      <w:r w:rsidR="007A4A12" w:rsidRPr="007A4A12">
        <w:rPr>
          <w:rtl/>
        </w:rPr>
        <w:t>: وضع خطة شاملة توفق بين التكنولوجيا والعمليات والموارد لدعم الأهداف الاستراتيجية للمنظمة وتحولها الرقمي. وسيشمل ذلك، ضمن أمور أخرى، الحالة المستهدفة لتكنولوجيا المعلومات والأمن السيبراني ومعماريات البيانات. وستتيح بنية المؤسسة هذه تبسيط العمليات وتقليل التعقيد وتيسير الابتكار وضمان اتخاذ القرار الصائب بشأن الاستثمار في تحديث تكنولوجيا المعلومات وإدارتها التي تشمل الأمن السيبراني وحماية البيانات، بما يتماشى مع التوصيات الصادرة عن اللجنة الاستشارية المستقلة للإدارة.</w:t>
      </w:r>
    </w:p>
    <w:p w14:paraId="25BB306E" w14:textId="2BB453F3" w:rsidR="007A4A12" w:rsidRPr="007A4A12" w:rsidRDefault="00865AB8" w:rsidP="00865AB8">
      <w:pPr>
        <w:pStyle w:val="enumlev1"/>
        <w:rPr>
          <w:lang w:val="ar-SA" w:bidi="ar-EG"/>
        </w:rPr>
      </w:pPr>
      <w:r>
        <w:rPr>
          <w:b/>
          <w:bCs/>
          <w:lang w:bidi="ar-SA"/>
        </w:rPr>
        <w:lastRenderedPageBreak/>
        <w:sym w:font="Symbol" w:char="F0B7"/>
      </w:r>
      <w:r>
        <w:rPr>
          <w:b/>
          <w:bCs/>
          <w:lang w:bidi="ar-SA"/>
        </w:rPr>
        <w:tab/>
      </w:r>
      <w:r w:rsidR="007A4A12" w:rsidRPr="007A4A12">
        <w:rPr>
          <w:b/>
          <w:bCs/>
          <w:rtl/>
        </w:rPr>
        <w:t>خطة تنفيذ التحول الرقمي استناداً إلى بنية المؤسسة</w:t>
      </w:r>
      <w:r>
        <w:rPr>
          <w:rFonts w:hint="cs"/>
          <w:b/>
          <w:bCs/>
          <w:rtl/>
        </w:rPr>
        <w:t xml:space="preserve">: </w:t>
      </w:r>
      <w:r w:rsidR="007A4A12" w:rsidRPr="007A4A12">
        <w:rPr>
          <w:rtl/>
        </w:rPr>
        <w:t xml:space="preserve">ستشمل وضع مخططات شاملة وحافظة مشاريع قابلة للتنفيذ، وتسليط الضوء على التبعيات وتقديم تقييم للموارد اللازمة لضمان التنفيذ الناجح وتوفير العائد على الاستثمارات. ويُذكّر المجلس بأن خارطة الطريق الإرشادية التي وضعها الخبراء الاستشاريون لدى شركة </w:t>
      </w:r>
      <w:r w:rsidR="007A4A12" w:rsidRPr="007A4A12">
        <w:rPr>
          <w:lang w:bidi="ar-EG"/>
        </w:rPr>
        <w:t>EY</w:t>
      </w:r>
      <w:r w:rsidR="007A4A12" w:rsidRPr="007A4A12">
        <w:rPr>
          <w:rtl/>
        </w:rPr>
        <w:t xml:space="preserve"> والتي عُرضت على المجلس في دورته لعام 2023، قدّرت نفقات التحول الرقمي بمبلغ </w:t>
      </w:r>
      <w:r w:rsidR="007A4A12" w:rsidRPr="007A4A12">
        <w:rPr>
          <w:lang w:bidi="ar-EG"/>
        </w:rPr>
        <w:t>8</w:t>
      </w:r>
      <w:r w:rsidR="007A4A12" w:rsidRPr="007A4A12">
        <w:rPr>
          <w:rFonts w:hint="eastAsia"/>
          <w:lang w:bidi="ar-EG"/>
        </w:rPr>
        <w:t> </w:t>
      </w:r>
      <w:r w:rsidR="007A4A12" w:rsidRPr="007A4A12">
        <w:rPr>
          <w:lang w:bidi="ar-EG"/>
        </w:rPr>
        <w:t>280</w:t>
      </w:r>
      <w:r w:rsidR="007A4A12" w:rsidRPr="007A4A12">
        <w:rPr>
          <w:rFonts w:hint="eastAsia"/>
          <w:lang w:bidi="ar-EG"/>
        </w:rPr>
        <w:t> </w:t>
      </w:r>
      <w:r w:rsidR="007A4A12" w:rsidRPr="007A4A12">
        <w:rPr>
          <w:lang w:bidi="ar-EG"/>
        </w:rPr>
        <w:t>000</w:t>
      </w:r>
      <w:r w:rsidR="007A4A12" w:rsidRPr="007A4A12">
        <w:rPr>
          <w:rtl/>
        </w:rPr>
        <w:t xml:space="preserve"> فرنك سويسري. وستعود الأمانة إلى المجلس بمزيد من التفاصيل عن الآثار المالية، بمجرد وضع خطة التنفيذ.</w:t>
      </w:r>
    </w:p>
    <w:p w14:paraId="193DB432" w14:textId="27F7192C" w:rsidR="007A4A12" w:rsidRPr="007A4A12" w:rsidRDefault="00865AB8" w:rsidP="00865AB8">
      <w:pPr>
        <w:pStyle w:val="enumlev1"/>
        <w:rPr>
          <w:lang w:val="ar-SA" w:bidi="ar-EG"/>
        </w:rPr>
      </w:pPr>
      <w:r>
        <w:rPr>
          <w:b/>
          <w:bCs/>
          <w:lang w:bidi="ar-SA"/>
        </w:rPr>
        <w:sym w:font="Symbol" w:char="F0B7"/>
      </w:r>
      <w:r>
        <w:rPr>
          <w:b/>
          <w:bCs/>
          <w:lang w:bidi="ar-SA"/>
        </w:rPr>
        <w:tab/>
      </w:r>
      <w:r w:rsidR="007A4A12" w:rsidRPr="007A4A12">
        <w:rPr>
          <w:b/>
          <w:bCs/>
          <w:rtl/>
        </w:rPr>
        <w:t>خارطة طريق الموقع الإلكتروني</w:t>
      </w:r>
      <w:r w:rsidR="007A4A12" w:rsidRPr="007A4A12">
        <w:rPr>
          <w:rtl/>
        </w:rPr>
        <w:t xml:space="preserve">: تعرض الوثيقة </w:t>
      </w:r>
      <w:hyperlink r:id="rId24" w:history="1">
        <w:r w:rsidR="007A4A12" w:rsidRPr="00865AB8">
          <w:rPr>
            <w:rStyle w:val="Hyperlink"/>
            <w:rtl/>
          </w:rPr>
          <w:t>C24/53</w:t>
        </w:r>
      </w:hyperlink>
      <w:r w:rsidR="007A4A12" w:rsidRPr="007A4A12">
        <w:rPr>
          <w:rtl/>
        </w:rPr>
        <w:t xml:space="preserve"> خارطة طريق لتنسيق وتحسين وظائف البحث في الموقع الإلكتروني للاتحاد. وهذا جزء أساسي من فعالية الاتحاد وسوف تدعمه عملية التحول.</w:t>
      </w:r>
    </w:p>
    <w:p w14:paraId="6F369989" w14:textId="7995C64F" w:rsidR="007A4A12" w:rsidRPr="007A4A12" w:rsidRDefault="007A4A12" w:rsidP="00865AB8">
      <w:pPr>
        <w:pStyle w:val="Headingb"/>
        <w:rPr>
          <w:lang w:val="ar-SA" w:bidi="ar-EG"/>
        </w:rPr>
      </w:pPr>
      <w:r w:rsidRPr="007A4A12">
        <w:rPr>
          <w:rtl/>
        </w:rPr>
        <w:t xml:space="preserve">تكاليف موظفي فريق التحول - يقدّر التمويل بمبلغ </w:t>
      </w:r>
      <w:r w:rsidRPr="007A4A12">
        <w:rPr>
          <w:lang w:bidi="ar-EG"/>
        </w:rPr>
        <w:t>354</w:t>
      </w:r>
      <w:r w:rsidRPr="007A4A12">
        <w:rPr>
          <w:rFonts w:hint="eastAsia"/>
          <w:lang w:bidi="ar-EG"/>
        </w:rPr>
        <w:t> </w:t>
      </w:r>
      <w:r w:rsidRPr="007A4A12">
        <w:rPr>
          <w:lang w:bidi="ar-EG"/>
        </w:rPr>
        <w:t>000</w:t>
      </w:r>
      <w:r w:rsidRPr="007A4A12">
        <w:rPr>
          <w:rtl/>
        </w:rPr>
        <w:t xml:space="preserve"> فرنك سويسري</w:t>
      </w:r>
    </w:p>
    <w:p w14:paraId="1CACFF87" w14:textId="77777777" w:rsidR="007A4A12" w:rsidRPr="007A4A12" w:rsidRDefault="007A4A12" w:rsidP="00865AB8">
      <w:pPr>
        <w:spacing w:after="120"/>
        <w:rPr>
          <w:lang w:val="ar-SA" w:bidi="ar-EG"/>
        </w:rPr>
      </w:pPr>
      <w:r w:rsidRPr="007A4A12">
        <w:rPr>
          <w:rtl/>
        </w:rPr>
        <w:t>تم حتى الآن تمويل فريق التحول من خلال تخصيص أولي من الوفورات المحققة في دورة المجلس لعام 2023. وقد مكن ذلك من توظيف رئيس قسم التحول وعضو واحد من الفريق، ولكن هناك حاجة إلى مزيد من التمويل لضمان تزويد الفريق بالموارد المناسبة لتنفيذ مختلف المبادرات والنواتج على نحو فعال.</w:t>
      </w:r>
    </w:p>
    <w:tbl>
      <w:tblPr>
        <w:bidiVisual/>
        <w:tblW w:w="5000" w:type="pct"/>
        <w:jc w:val="center"/>
        <w:tblLayout w:type="fixed"/>
        <w:tblLook w:val="04A0" w:firstRow="1" w:lastRow="0" w:firstColumn="1" w:lastColumn="0" w:noHBand="0" w:noVBand="1"/>
      </w:tblPr>
      <w:tblGrid>
        <w:gridCol w:w="2966"/>
        <w:gridCol w:w="4400"/>
        <w:gridCol w:w="2263"/>
      </w:tblGrid>
      <w:tr w:rsidR="007A4A12" w:rsidRPr="007A4A12" w14:paraId="5D699C08" w14:textId="77777777" w:rsidTr="00865AB8">
        <w:trPr>
          <w:trHeight w:val="290"/>
          <w:tblHeader/>
          <w:jc w:val="center"/>
        </w:trPr>
        <w:tc>
          <w:tcPr>
            <w:tcW w:w="2972" w:type="dxa"/>
            <w:tcBorders>
              <w:top w:val="single" w:sz="4" w:space="0" w:color="8EA9DB"/>
              <w:left w:val="single" w:sz="4" w:space="0" w:color="8EA9DB"/>
              <w:bottom w:val="single" w:sz="4" w:space="0" w:color="8EA9DB"/>
              <w:right w:val="nil"/>
            </w:tcBorders>
            <w:shd w:val="clear" w:color="auto" w:fill="4472C4"/>
            <w:noWrap/>
            <w:vAlign w:val="bottom"/>
            <w:hideMark/>
          </w:tcPr>
          <w:p w14:paraId="58D85216" w14:textId="77777777" w:rsidR="007A4A12" w:rsidRPr="007A4A12" w:rsidRDefault="007A4A12" w:rsidP="00865AB8">
            <w:pPr>
              <w:spacing w:before="80" w:after="80" w:line="240" w:lineRule="exact"/>
              <w:rPr>
                <w:b/>
                <w:bCs/>
                <w:color w:val="FFFFFF" w:themeColor="background1"/>
                <w:sz w:val="18"/>
                <w:szCs w:val="18"/>
                <w:lang w:val="ar-SA" w:bidi="ar-EG"/>
              </w:rPr>
            </w:pPr>
            <w:r w:rsidRPr="007A4A12">
              <w:rPr>
                <w:b/>
                <w:bCs/>
                <w:color w:val="FFFFFF" w:themeColor="background1"/>
                <w:sz w:val="18"/>
                <w:szCs w:val="18"/>
                <w:rtl/>
              </w:rPr>
              <w:t>الدعامة</w:t>
            </w:r>
          </w:p>
        </w:tc>
        <w:tc>
          <w:tcPr>
            <w:tcW w:w="4410" w:type="dxa"/>
            <w:tcBorders>
              <w:top w:val="single" w:sz="4" w:space="0" w:color="8EA9DB"/>
              <w:left w:val="nil"/>
              <w:bottom w:val="single" w:sz="4" w:space="0" w:color="8EA9DB"/>
              <w:right w:val="nil"/>
            </w:tcBorders>
            <w:shd w:val="clear" w:color="auto" w:fill="4472C4"/>
            <w:vAlign w:val="center"/>
            <w:hideMark/>
          </w:tcPr>
          <w:p w14:paraId="7DD2088E" w14:textId="77777777" w:rsidR="007A4A12" w:rsidRPr="007A4A12" w:rsidRDefault="007A4A12" w:rsidP="00865AB8">
            <w:pPr>
              <w:spacing w:before="80" w:after="80" w:line="240" w:lineRule="exact"/>
              <w:rPr>
                <w:b/>
                <w:bCs/>
                <w:color w:val="FFFFFF" w:themeColor="background1"/>
                <w:sz w:val="18"/>
                <w:szCs w:val="18"/>
                <w:lang w:val="ar-SA" w:bidi="ar-EG"/>
              </w:rPr>
            </w:pPr>
            <w:r w:rsidRPr="007A4A12">
              <w:rPr>
                <w:b/>
                <w:bCs/>
                <w:color w:val="FFFFFF" w:themeColor="background1"/>
                <w:sz w:val="18"/>
                <w:szCs w:val="18"/>
                <w:rtl/>
              </w:rPr>
              <w:t>البند</w:t>
            </w:r>
          </w:p>
        </w:tc>
        <w:tc>
          <w:tcPr>
            <w:tcW w:w="2268" w:type="dxa"/>
            <w:tcBorders>
              <w:top w:val="single" w:sz="4" w:space="0" w:color="8EA9DB"/>
              <w:left w:val="nil"/>
              <w:bottom w:val="single" w:sz="4" w:space="0" w:color="8EA9DB"/>
              <w:right w:val="single" w:sz="4" w:space="0" w:color="8EA9DB"/>
            </w:tcBorders>
            <w:shd w:val="clear" w:color="auto" w:fill="4472C4"/>
            <w:noWrap/>
            <w:vAlign w:val="bottom"/>
            <w:hideMark/>
          </w:tcPr>
          <w:p w14:paraId="7D9F255F" w14:textId="77777777" w:rsidR="007A4A12" w:rsidRPr="007A4A12" w:rsidRDefault="007A4A12" w:rsidP="00865AB8">
            <w:pPr>
              <w:spacing w:before="80" w:after="80" w:line="240" w:lineRule="exact"/>
              <w:rPr>
                <w:b/>
                <w:bCs/>
                <w:color w:val="FFFFFF" w:themeColor="background1"/>
                <w:sz w:val="18"/>
                <w:szCs w:val="18"/>
                <w:lang w:val="ar-SA" w:bidi="ar-EG"/>
              </w:rPr>
            </w:pPr>
            <w:r w:rsidRPr="007A4A12">
              <w:rPr>
                <w:b/>
                <w:bCs/>
                <w:color w:val="FFFFFF" w:themeColor="background1"/>
                <w:sz w:val="18"/>
                <w:szCs w:val="18"/>
                <w:rtl/>
              </w:rPr>
              <w:t>المبلغ (بالفرنك السويسري)</w:t>
            </w:r>
          </w:p>
        </w:tc>
      </w:tr>
      <w:tr w:rsidR="007A4A12" w:rsidRPr="007A4A12" w14:paraId="09E58739" w14:textId="77777777" w:rsidTr="00865AB8">
        <w:trPr>
          <w:trHeight w:val="310"/>
          <w:jc w:val="center"/>
        </w:trPr>
        <w:tc>
          <w:tcPr>
            <w:tcW w:w="2972" w:type="dxa"/>
            <w:tcBorders>
              <w:top w:val="single" w:sz="4" w:space="0" w:color="8EA9DB"/>
              <w:left w:val="single" w:sz="4" w:space="0" w:color="8EA9DB"/>
              <w:bottom w:val="single" w:sz="4" w:space="0" w:color="8EA9DB"/>
              <w:right w:val="nil"/>
            </w:tcBorders>
            <w:shd w:val="clear" w:color="auto" w:fill="auto"/>
            <w:noWrap/>
            <w:hideMark/>
          </w:tcPr>
          <w:p w14:paraId="3793B5C0" w14:textId="77777777" w:rsidR="007A4A12" w:rsidRPr="007A4A12" w:rsidRDefault="007A4A12" w:rsidP="00865AB8">
            <w:pPr>
              <w:spacing w:before="80" w:after="80" w:line="240" w:lineRule="exact"/>
              <w:rPr>
                <w:b/>
                <w:bCs/>
                <w:sz w:val="18"/>
                <w:szCs w:val="18"/>
                <w:lang w:val="ar-SA" w:bidi="ar-EG"/>
              </w:rPr>
            </w:pPr>
            <w:r w:rsidRPr="007A4A12">
              <w:rPr>
                <w:b/>
                <w:bCs/>
                <w:sz w:val="18"/>
                <w:szCs w:val="18"/>
                <w:rtl/>
              </w:rPr>
              <w:t>تكاليف موظفي فريق التحول</w:t>
            </w:r>
            <w:r w:rsidRPr="007A4A12">
              <w:rPr>
                <w:bCs/>
                <w:sz w:val="18"/>
                <w:szCs w:val="18"/>
                <w:rtl/>
              </w:rPr>
              <w:t xml:space="preserve"> </w:t>
            </w:r>
          </w:p>
        </w:tc>
        <w:tc>
          <w:tcPr>
            <w:tcW w:w="4410" w:type="dxa"/>
            <w:tcBorders>
              <w:top w:val="single" w:sz="4" w:space="0" w:color="8EA9DB"/>
              <w:left w:val="nil"/>
              <w:bottom w:val="single" w:sz="4" w:space="0" w:color="8EA9DB"/>
              <w:right w:val="nil"/>
            </w:tcBorders>
            <w:shd w:val="clear" w:color="auto" w:fill="auto"/>
            <w:hideMark/>
          </w:tcPr>
          <w:p w14:paraId="38B04E3B" w14:textId="77777777" w:rsidR="007A4A12" w:rsidRPr="007A4A12" w:rsidRDefault="007A4A12" w:rsidP="00865AB8">
            <w:pPr>
              <w:spacing w:before="80" w:after="80" w:line="240" w:lineRule="exact"/>
              <w:rPr>
                <w:sz w:val="18"/>
                <w:szCs w:val="18"/>
                <w:lang w:bidi="ar-EG"/>
              </w:rPr>
            </w:pPr>
          </w:p>
        </w:tc>
        <w:tc>
          <w:tcPr>
            <w:tcW w:w="2268" w:type="dxa"/>
            <w:tcBorders>
              <w:top w:val="single" w:sz="4" w:space="0" w:color="8EA9DB"/>
              <w:left w:val="nil"/>
              <w:bottom w:val="single" w:sz="4" w:space="0" w:color="8EA9DB"/>
              <w:right w:val="single" w:sz="4" w:space="0" w:color="8EA9DB"/>
            </w:tcBorders>
            <w:shd w:val="clear" w:color="auto" w:fill="auto"/>
            <w:noWrap/>
            <w:hideMark/>
          </w:tcPr>
          <w:p w14:paraId="5EB61236" w14:textId="77777777" w:rsidR="007A4A12" w:rsidRPr="007A4A12" w:rsidRDefault="007A4A12" w:rsidP="00865AB8">
            <w:pPr>
              <w:spacing w:before="80" w:after="80" w:line="240" w:lineRule="exact"/>
              <w:rPr>
                <w:sz w:val="18"/>
                <w:szCs w:val="18"/>
                <w:lang w:val="ar-SA" w:bidi="ar-EG"/>
              </w:rPr>
            </w:pPr>
            <w:r w:rsidRPr="007A4A12">
              <w:rPr>
                <w:sz w:val="18"/>
                <w:szCs w:val="18"/>
                <w:rtl/>
              </w:rPr>
              <w:t>000 354</w:t>
            </w:r>
          </w:p>
        </w:tc>
      </w:tr>
      <w:tr w:rsidR="007A4A12" w:rsidRPr="007A4A12" w14:paraId="730DFEEB" w14:textId="77777777" w:rsidTr="00865AB8">
        <w:trPr>
          <w:trHeight w:val="1070"/>
          <w:jc w:val="center"/>
        </w:trPr>
        <w:tc>
          <w:tcPr>
            <w:tcW w:w="2972" w:type="dxa"/>
            <w:tcBorders>
              <w:top w:val="single" w:sz="4" w:space="0" w:color="8EA9DB"/>
              <w:left w:val="single" w:sz="4" w:space="0" w:color="8EA9DB"/>
              <w:bottom w:val="single" w:sz="4" w:space="0" w:color="8EA9DB"/>
              <w:right w:val="nil"/>
            </w:tcBorders>
            <w:shd w:val="clear" w:color="auto" w:fill="D9E1F2"/>
            <w:noWrap/>
            <w:hideMark/>
          </w:tcPr>
          <w:p w14:paraId="458154DF" w14:textId="77777777" w:rsidR="007A4A12" w:rsidRPr="007A4A12" w:rsidRDefault="007A4A12" w:rsidP="00865AB8">
            <w:pPr>
              <w:spacing w:before="80" w:after="80" w:line="240" w:lineRule="exact"/>
              <w:rPr>
                <w:b/>
                <w:bCs/>
                <w:sz w:val="18"/>
                <w:szCs w:val="18"/>
                <w:lang w:val="ar-SA" w:bidi="ar-EG"/>
              </w:rPr>
            </w:pPr>
            <w:r w:rsidRPr="007A4A12">
              <w:rPr>
                <w:b/>
                <w:bCs/>
                <w:sz w:val="18"/>
                <w:szCs w:val="18"/>
                <w:rtl/>
              </w:rPr>
              <w:t>الأشخاص والثقافة</w:t>
            </w:r>
          </w:p>
        </w:tc>
        <w:tc>
          <w:tcPr>
            <w:tcW w:w="4410" w:type="dxa"/>
            <w:tcBorders>
              <w:top w:val="single" w:sz="4" w:space="0" w:color="8EA9DB"/>
              <w:left w:val="nil"/>
              <w:bottom w:val="single" w:sz="4" w:space="0" w:color="8EA9DB"/>
              <w:right w:val="nil"/>
            </w:tcBorders>
            <w:shd w:val="clear" w:color="auto" w:fill="D9E1F2"/>
            <w:hideMark/>
          </w:tcPr>
          <w:p w14:paraId="0DA1CD93" w14:textId="1C42D158" w:rsidR="007A4A12" w:rsidRPr="007A4A12" w:rsidRDefault="00865AB8" w:rsidP="00865AB8">
            <w:pPr>
              <w:tabs>
                <w:tab w:val="clear" w:pos="794"/>
              </w:tabs>
              <w:spacing w:before="80" w:after="80" w:line="240" w:lineRule="exact"/>
              <w:ind w:left="317" w:hanging="317"/>
              <w:rPr>
                <w:sz w:val="18"/>
                <w:szCs w:val="18"/>
                <w:lang w:val="ar-SA" w:bidi="ar-EG"/>
              </w:rPr>
            </w:pPr>
            <w:r>
              <w:rPr>
                <w:sz w:val="18"/>
                <w:szCs w:val="18"/>
              </w:rPr>
              <w:sym w:font="Symbol" w:char="F0B7"/>
            </w:r>
            <w:r>
              <w:rPr>
                <w:sz w:val="18"/>
                <w:szCs w:val="18"/>
              </w:rPr>
              <w:tab/>
            </w:r>
            <w:r w:rsidR="007A4A12" w:rsidRPr="007A4A12">
              <w:rPr>
                <w:sz w:val="18"/>
                <w:szCs w:val="18"/>
                <w:rtl/>
              </w:rPr>
              <w:t>وضع سياسات الموارد البشرية</w:t>
            </w:r>
          </w:p>
          <w:p w14:paraId="13583CB9" w14:textId="40A3E3F2" w:rsidR="007A4A12" w:rsidRPr="007A4A12" w:rsidRDefault="00865AB8" w:rsidP="00865AB8">
            <w:pPr>
              <w:tabs>
                <w:tab w:val="clear" w:pos="794"/>
              </w:tabs>
              <w:spacing w:before="80" w:after="80" w:line="240" w:lineRule="exact"/>
              <w:ind w:left="317" w:hanging="317"/>
              <w:rPr>
                <w:sz w:val="18"/>
                <w:szCs w:val="18"/>
                <w:lang w:val="ar-SA" w:bidi="ar-EG"/>
              </w:rPr>
            </w:pPr>
            <w:r>
              <w:rPr>
                <w:sz w:val="18"/>
                <w:szCs w:val="18"/>
              </w:rPr>
              <w:sym w:font="Symbol" w:char="F0B7"/>
            </w:r>
            <w:r>
              <w:rPr>
                <w:sz w:val="18"/>
                <w:szCs w:val="18"/>
              </w:rPr>
              <w:tab/>
            </w:r>
            <w:r w:rsidR="007A4A12" w:rsidRPr="007A4A12">
              <w:rPr>
                <w:sz w:val="18"/>
                <w:szCs w:val="18"/>
                <w:rtl/>
              </w:rPr>
              <w:t xml:space="preserve">تنمية الثقافة والقيم في الاتحاد </w:t>
            </w:r>
          </w:p>
          <w:p w14:paraId="3B1E4126" w14:textId="6A6C9833" w:rsidR="007A4A12" w:rsidRPr="007A4A12" w:rsidRDefault="00865AB8" w:rsidP="00865AB8">
            <w:pPr>
              <w:tabs>
                <w:tab w:val="clear" w:pos="794"/>
              </w:tabs>
              <w:spacing w:before="80" w:after="80" w:line="240" w:lineRule="exact"/>
              <w:ind w:left="317" w:hanging="317"/>
              <w:rPr>
                <w:sz w:val="18"/>
                <w:szCs w:val="18"/>
                <w:lang w:val="ar-SA" w:bidi="ar-EG"/>
              </w:rPr>
            </w:pPr>
            <w:r>
              <w:rPr>
                <w:sz w:val="18"/>
                <w:szCs w:val="18"/>
              </w:rPr>
              <w:sym w:font="Symbol" w:char="F0B7"/>
            </w:r>
            <w:r>
              <w:rPr>
                <w:sz w:val="18"/>
                <w:szCs w:val="18"/>
              </w:rPr>
              <w:tab/>
            </w:r>
            <w:r w:rsidR="007A4A12" w:rsidRPr="007A4A12">
              <w:rPr>
                <w:sz w:val="18"/>
                <w:szCs w:val="18"/>
                <w:rtl/>
              </w:rPr>
              <w:t>تخطيط القوى العاملة في الاتحاد</w:t>
            </w:r>
          </w:p>
        </w:tc>
        <w:tc>
          <w:tcPr>
            <w:tcW w:w="2268" w:type="dxa"/>
            <w:tcBorders>
              <w:top w:val="single" w:sz="4" w:space="0" w:color="8EA9DB"/>
              <w:left w:val="nil"/>
              <w:bottom w:val="single" w:sz="4" w:space="0" w:color="8EA9DB"/>
              <w:right w:val="single" w:sz="4" w:space="0" w:color="8EA9DB"/>
            </w:tcBorders>
            <w:shd w:val="clear" w:color="auto" w:fill="D9E1F2"/>
            <w:noWrap/>
            <w:hideMark/>
          </w:tcPr>
          <w:p w14:paraId="12B634A3" w14:textId="77777777" w:rsidR="007A4A12" w:rsidRPr="007A4A12" w:rsidRDefault="007A4A12" w:rsidP="00865AB8">
            <w:pPr>
              <w:spacing w:before="80" w:after="80" w:line="240" w:lineRule="exact"/>
              <w:rPr>
                <w:sz w:val="18"/>
                <w:szCs w:val="18"/>
                <w:lang w:val="ar-SA" w:bidi="ar-EG"/>
              </w:rPr>
            </w:pPr>
            <w:r w:rsidRPr="007A4A12">
              <w:rPr>
                <w:sz w:val="18"/>
                <w:szCs w:val="18"/>
                <w:rtl/>
              </w:rPr>
              <w:t>000 300</w:t>
            </w:r>
          </w:p>
        </w:tc>
      </w:tr>
      <w:tr w:rsidR="007A4A12" w:rsidRPr="007A4A12" w14:paraId="4CA5A935" w14:textId="77777777" w:rsidTr="00865AB8">
        <w:trPr>
          <w:trHeight w:val="400"/>
          <w:jc w:val="center"/>
        </w:trPr>
        <w:tc>
          <w:tcPr>
            <w:tcW w:w="2972" w:type="dxa"/>
            <w:tcBorders>
              <w:top w:val="single" w:sz="4" w:space="0" w:color="8EA9DB"/>
              <w:left w:val="single" w:sz="4" w:space="0" w:color="8EA9DB"/>
              <w:bottom w:val="single" w:sz="4" w:space="0" w:color="8EA9DB"/>
              <w:right w:val="nil"/>
            </w:tcBorders>
            <w:shd w:val="clear" w:color="auto" w:fill="auto"/>
            <w:noWrap/>
          </w:tcPr>
          <w:p w14:paraId="7AF975ED" w14:textId="77777777" w:rsidR="007A4A12" w:rsidRPr="007A4A12" w:rsidRDefault="007A4A12" w:rsidP="00865AB8">
            <w:pPr>
              <w:spacing w:before="80" w:after="80" w:line="240" w:lineRule="exact"/>
              <w:rPr>
                <w:sz w:val="18"/>
                <w:szCs w:val="18"/>
                <w:lang w:val="ar-SA" w:bidi="ar-EG"/>
              </w:rPr>
            </w:pPr>
            <w:r w:rsidRPr="007A4A12">
              <w:rPr>
                <w:b/>
                <w:bCs/>
                <w:sz w:val="18"/>
                <w:szCs w:val="18"/>
                <w:rtl/>
              </w:rPr>
              <w:t>عمليات وأدوات الأنظمة</w:t>
            </w:r>
          </w:p>
        </w:tc>
        <w:tc>
          <w:tcPr>
            <w:tcW w:w="4410" w:type="dxa"/>
            <w:tcBorders>
              <w:top w:val="single" w:sz="4" w:space="0" w:color="8EA9DB"/>
              <w:left w:val="nil"/>
              <w:bottom w:val="single" w:sz="4" w:space="0" w:color="8EA9DB"/>
              <w:right w:val="nil"/>
            </w:tcBorders>
            <w:shd w:val="clear" w:color="auto" w:fill="auto"/>
          </w:tcPr>
          <w:p w14:paraId="4F2E0F57" w14:textId="6317BBD6" w:rsidR="007A4A12" w:rsidRPr="007A4A12" w:rsidRDefault="00865AB8" w:rsidP="00865AB8">
            <w:pPr>
              <w:tabs>
                <w:tab w:val="clear" w:pos="794"/>
              </w:tabs>
              <w:spacing w:before="80" w:after="80" w:line="240" w:lineRule="exact"/>
              <w:ind w:left="317" w:hanging="317"/>
              <w:rPr>
                <w:sz w:val="18"/>
                <w:szCs w:val="18"/>
                <w:lang w:val="ar-SA" w:bidi="ar-EG"/>
              </w:rPr>
            </w:pPr>
            <w:r>
              <w:rPr>
                <w:sz w:val="18"/>
                <w:szCs w:val="18"/>
              </w:rPr>
              <w:sym w:font="Symbol" w:char="F0B7"/>
            </w:r>
            <w:r>
              <w:rPr>
                <w:sz w:val="18"/>
                <w:szCs w:val="18"/>
              </w:rPr>
              <w:tab/>
            </w:r>
            <w:r w:rsidR="007A4A12" w:rsidRPr="007A4A12">
              <w:rPr>
                <w:sz w:val="18"/>
                <w:szCs w:val="18"/>
                <w:rtl/>
              </w:rPr>
              <w:t>تقييم بنية المؤسسة</w:t>
            </w:r>
          </w:p>
          <w:p w14:paraId="350F5B64" w14:textId="208DDC62" w:rsidR="007A4A12" w:rsidRPr="007A4A12" w:rsidRDefault="00865AB8" w:rsidP="00865AB8">
            <w:pPr>
              <w:tabs>
                <w:tab w:val="clear" w:pos="794"/>
              </w:tabs>
              <w:spacing w:before="80" w:after="80" w:line="240" w:lineRule="exact"/>
              <w:ind w:left="317" w:hanging="317"/>
              <w:rPr>
                <w:sz w:val="18"/>
                <w:szCs w:val="18"/>
                <w:lang w:val="ar-SA" w:bidi="ar-EG"/>
              </w:rPr>
            </w:pPr>
            <w:r>
              <w:rPr>
                <w:sz w:val="18"/>
                <w:szCs w:val="18"/>
              </w:rPr>
              <w:sym w:font="Symbol" w:char="F0B7"/>
            </w:r>
            <w:r>
              <w:rPr>
                <w:sz w:val="18"/>
                <w:szCs w:val="18"/>
              </w:rPr>
              <w:tab/>
            </w:r>
            <w:r w:rsidR="007A4A12" w:rsidRPr="007A4A12">
              <w:rPr>
                <w:sz w:val="18"/>
                <w:szCs w:val="18"/>
                <w:rtl/>
              </w:rPr>
              <w:t>خطة تنفيذ التحول الرقمي</w:t>
            </w:r>
          </w:p>
          <w:p w14:paraId="2931DC8D" w14:textId="7D4C54B2" w:rsidR="007A4A12" w:rsidRPr="007A4A12" w:rsidRDefault="00865AB8" w:rsidP="00865AB8">
            <w:pPr>
              <w:tabs>
                <w:tab w:val="clear" w:pos="794"/>
              </w:tabs>
              <w:spacing w:before="80" w:after="80" w:line="240" w:lineRule="exact"/>
              <w:ind w:left="317" w:hanging="317"/>
              <w:rPr>
                <w:sz w:val="18"/>
                <w:szCs w:val="18"/>
                <w:lang w:val="ar-SA" w:bidi="ar-EG"/>
              </w:rPr>
            </w:pPr>
            <w:r>
              <w:rPr>
                <w:sz w:val="18"/>
                <w:szCs w:val="18"/>
              </w:rPr>
              <w:sym w:font="Symbol" w:char="F0B7"/>
            </w:r>
            <w:r>
              <w:rPr>
                <w:sz w:val="18"/>
                <w:szCs w:val="18"/>
              </w:rPr>
              <w:tab/>
            </w:r>
            <w:r w:rsidR="007A4A12" w:rsidRPr="007A4A12">
              <w:rPr>
                <w:sz w:val="18"/>
                <w:szCs w:val="18"/>
                <w:rtl/>
              </w:rPr>
              <w:t>تحسين الموقع الإلكتروني</w:t>
            </w:r>
          </w:p>
        </w:tc>
        <w:tc>
          <w:tcPr>
            <w:tcW w:w="2268" w:type="dxa"/>
            <w:tcBorders>
              <w:top w:val="single" w:sz="4" w:space="0" w:color="8EA9DB"/>
              <w:left w:val="nil"/>
              <w:bottom w:val="single" w:sz="4" w:space="0" w:color="8EA9DB"/>
              <w:right w:val="single" w:sz="4" w:space="0" w:color="8EA9DB"/>
            </w:tcBorders>
            <w:shd w:val="clear" w:color="auto" w:fill="auto"/>
            <w:noWrap/>
            <w:hideMark/>
          </w:tcPr>
          <w:p w14:paraId="78E6E32A" w14:textId="77777777" w:rsidR="007A4A12" w:rsidRPr="007A4A12" w:rsidRDefault="007A4A12" w:rsidP="00865AB8">
            <w:pPr>
              <w:spacing w:before="80" w:after="80" w:line="240" w:lineRule="exact"/>
              <w:rPr>
                <w:sz w:val="18"/>
                <w:szCs w:val="18"/>
                <w:lang w:val="ar-SA" w:bidi="ar-EG"/>
              </w:rPr>
            </w:pPr>
            <w:r w:rsidRPr="007A4A12">
              <w:rPr>
                <w:sz w:val="18"/>
                <w:szCs w:val="18"/>
                <w:rtl/>
              </w:rPr>
              <w:t>000 700</w:t>
            </w:r>
          </w:p>
        </w:tc>
      </w:tr>
      <w:tr w:rsidR="007A4A12" w:rsidRPr="007A4A12" w14:paraId="4B82A816" w14:textId="77777777" w:rsidTr="00865AB8">
        <w:trPr>
          <w:trHeight w:val="444"/>
          <w:jc w:val="center"/>
        </w:trPr>
        <w:tc>
          <w:tcPr>
            <w:tcW w:w="2972" w:type="dxa"/>
            <w:tcBorders>
              <w:top w:val="single" w:sz="4" w:space="0" w:color="8EA9DB"/>
              <w:left w:val="single" w:sz="4" w:space="0" w:color="8EA9DB"/>
              <w:bottom w:val="single" w:sz="4" w:space="0" w:color="8EA9DB"/>
              <w:right w:val="nil"/>
            </w:tcBorders>
            <w:shd w:val="clear" w:color="auto" w:fill="D9E1F2"/>
            <w:noWrap/>
          </w:tcPr>
          <w:p w14:paraId="0A594646" w14:textId="77777777" w:rsidR="007A4A12" w:rsidRPr="007A4A12" w:rsidRDefault="007A4A12" w:rsidP="00865AB8">
            <w:pPr>
              <w:spacing w:before="80" w:after="80" w:line="240" w:lineRule="exact"/>
              <w:rPr>
                <w:b/>
                <w:bCs/>
                <w:sz w:val="18"/>
                <w:szCs w:val="18"/>
                <w:lang w:val="ar-SA" w:bidi="ar-EG"/>
              </w:rPr>
            </w:pPr>
            <w:r w:rsidRPr="007A4A12">
              <w:rPr>
                <w:b/>
                <w:bCs/>
                <w:sz w:val="18"/>
                <w:szCs w:val="18"/>
                <w:rtl/>
              </w:rPr>
              <w:t>المجموع</w:t>
            </w:r>
          </w:p>
        </w:tc>
        <w:tc>
          <w:tcPr>
            <w:tcW w:w="4410" w:type="dxa"/>
            <w:tcBorders>
              <w:top w:val="single" w:sz="4" w:space="0" w:color="8EA9DB"/>
              <w:left w:val="nil"/>
              <w:bottom w:val="single" w:sz="4" w:space="0" w:color="8EA9DB"/>
              <w:right w:val="nil"/>
            </w:tcBorders>
            <w:shd w:val="clear" w:color="auto" w:fill="D9E1F2"/>
          </w:tcPr>
          <w:p w14:paraId="1DE9B41D" w14:textId="77777777" w:rsidR="007A4A12" w:rsidRPr="007A4A12" w:rsidRDefault="007A4A12" w:rsidP="00865AB8">
            <w:pPr>
              <w:spacing w:before="80" w:after="80" w:line="240" w:lineRule="exact"/>
              <w:rPr>
                <w:b/>
                <w:bCs/>
                <w:sz w:val="18"/>
                <w:szCs w:val="18"/>
                <w:lang w:bidi="ar-EG"/>
              </w:rPr>
            </w:pPr>
          </w:p>
        </w:tc>
        <w:tc>
          <w:tcPr>
            <w:tcW w:w="2268" w:type="dxa"/>
            <w:tcBorders>
              <w:top w:val="single" w:sz="4" w:space="0" w:color="8EA9DB"/>
              <w:left w:val="nil"/>
              <w:bottom w:val="single" w:sz="4" w:space="0" w:color="8EA9DB"/>
              <w:right w:val="single" w:sz="4" w:space="0" w:color="8EA9DB"/>
            </w:tcBorders>
            <w:shd w:val="clear" w:color="auto" w:fill="D9E1F2"/>
            <w:noWrap/>
          </w:tcPr>
          <w:p w14:paraId="29AF775B" w14:textId="77777777" w:rsidR="007A4A12" w:rsidRPr="007A4A12" w:rsidRDefault="007A4A12" w:rsidP="00865AB8">
            <w:pPr>
              <w:spacing w:before="80" w:after="80" w:line="240" w:lineRule="exact"/>
              <w:rPr>
                <w:b/>
                <w:bCs/>
                <w:sz w:val="18"/>
                <w:szCs w:val="18"/>
                <w:lang w:val="ar-SA" w:bidi="ar-EG"/>
              </w:rPr>
            </w:pPr>
            <w:r w:rsidRPr="007A4A12">
              <w:rPr>
                <w:b/>
                <w:bCs/>
                <w:sz w:val="18"/>
                <w:szCs w:val="18"/>
                <w:rtl/>
              </w:rPr>
              <w:t>000 354 1</w:t>
            </w:r>
          </w:p>
        </w:tc>
      </w:tr>
    </w:tbl>
    <w:p w14:paraId="6E773F83" w14:textId="77777777" w:rsidR="007A4A12" w:rsidRPr="007A4A12" w:rsidRDefault="007A4A12" w:rsidP="007A4A12">
      <w:pPr>
        <w:rPr>
          <w:lang w:bidi="ar-EG"/>
        </w:rPr>
      </w:pPr>
      <w:r w:rsidRPr="007A4A12">
        <w:rPr>
          <w:lang w:bidi="ar-EG"/>
        </w:rPr>
        <w:br w:type="page"/>
      </w:r>
    </w:p>
    <w:p w14:paraId="6128A040" w14:textId="77777777" w:rsidR="007A4A12" w:rsidRDefault="007A4A12" w:rsidP="00E61BE8">
      <w:pPr>
        <w:rPr>
          <w:rtl/>
          <w:lang w:bidi="ar-EG"/>
        </w:rPr>
        <w:sectPr w:rsidR="007A4A12" w:rsidSect="006C3242">
          <w:footerReference w:type="default" r:id="rId25"/>
          <w:headerReference w:type="first" r:id="rId26"/>
          <w:footerReference w:type="first" r:id="rId27"/>
          <w:type w:val="oddPage"/>
          <w:pgSz w:w="11907" w:h="16840" w:code="9"/>
          <w:pgMar w:top="1418" w:right="1134" w:bottom="1134" w:left="1134" w:header="709" w:footer="709" w:gutter="0"/>
          <w:cols w:space="708"/>
          <w:titlePg/>
          <w:docGrid w:linePitch="360"/>
        </w:sectPr>
      </w:pPr>
    </w:p>
    <w:p w14:paraId="72BB25AB" w14:textId="26E4743A" w:rsidR="007A4A12" w:rsidRPr="007A4A12" w:rsidRDefault="007A4A12" w:rsidP="00865AB8">
      <w:pPr>
        <w:pStyle w:val="Annextitle"/>
        <w:jc w:val="both"/>
        <w:rPr>
          <w:rtl/>
          <w:lang w:val="ar-SA" w:bidi="ar-EG"/>
        </w:rPr>
      </w:pPr>
      <w:r w:rsidRPr="007A4A12">
        <w:rPr>
          <w:rtl/>
        </w:rPr>
        <w:lastRenderedPageBreak/>
        <w:t xml:space="preserve">الملحق 1 - النتائج والرؤى ومؤشرات الأداء الرئيسية </w:t>
      </w:r>
      <w:r w:rsidRPr="007A4A12">
        <w:rPr>
          <w:lang w:bidi="ar-EG"/>
        </w:rPr>
        <w:t>(KPI</w:t>
      </w:r>
      <w:r w:rsidR="00865AB8">
        <w:t>)</w:t>
      </w:r>
    </w:p>
    <w:tbl>
      <w:tblPr>
        <w:tblStyle w:val="ListTable3"/>
        <w:bidiVisual/>
        <w:tblW w:w="5000" w:type="pct"/>
        <w:jc w:val="center"/>
        <w:tblLayout w:type="fixed"/>
        <w:tblLook w:val="04A0" w:firstRow="1" w:lastRow="0" w:firstColumn="1" w:lastColumn="0" w:noHBand="0" w:noVBand="1"/>
      </w:tblPr>
      <w:tblGrid>
        <w:gridCol w:w="1836"/>
        <w:gridCol w:w="2617"/>
        <w:gridCol w:w="6978"/>
        <w:gridCol w:w="4265"/>
      </w:tblGrid>
      <w:tr w:rsidR="007A4A12" w:rsidRPr="007A4A12" w14:paraId="2F5A658F" w14:textId="77777777" w:rsidTr="00865AB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dxa"/>
          </w:tcPr>
          <w:p w14:paraId="10A0FBD2" w14:textId="77777777" w:rsidR="007A4A12" w:rsidRPr="007A4A12" w:rsidRDefault="007A4A12" w:rsidP="00865AB8">
            <w:pPr>
              <w:spacing w:before="80" w:after="80" w:line="260" w:lineRule="exact"/>
              <w:rPr>
                <w:position w:val="2"/>
                <w:sz w:val="20"/>
                <w:szCs w:val="20"/>
                <w:lang w:val="ar-SA" w:bidi="ar-EG"/>
              </w:rPr>
            </w:pPr>
            <w:r w:rsidRPr="007A4A12">
              <w:rPr>
                <w:position w:val="2"/>
                <w:sz w:val="20"/>
                <w:szCs w:val="20"/>
                <w:rtl/>
              </w:rPr>
              <w:t>الدعامة</w:t>
            </w:r>
          </w:p>
        </w:tc>
        <w:tc>
          <w:tcPr>
            <w:tcW w:w="0" w:type="dxa"/>
          </w:tcPr>
          <w:p w14:paraId="0AE973F2" w14:textId="77777777" w:rsidR="007A4A12" w:rsidRPr="007A4A12" w:rsidRDefault="007A4A12" w:rsidP="00865AB8">
            <w:pPr>
              <w:spacing w:before="80" w:after="80" w:line="260" w:lineRule="exact"/>
              <w:cnfStyle w:val="100000000000" w:firstRow="1"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النتيجة</w:t>
            </w:r>
          </w:p>
        </w:tc>
        <w:tc>
          <w:tcPr>
            <w:tcW w:w="6480" w:type="dxa"/>
          </w:tcPr>
          <w:p w14:paraId="3911B76C" w14:textId="77777777" w:rsidR="007A4A12" w:rsidRPr="007A4A12" w:rsidRDefault="007A4A12" w:rsidP="00865AB8">
            <w:pPr>
              <w:spacing w:before="80" w:after="80" w:line="260" w:lineRule="exact"/>
              <w:cnfStyle w:val="100000000000" w:firstRow="1"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الرؤية</w:t>
            </w:r>
          </w:p>
        </w:tc>
        <w:tc>
          <w:tcPr>
            <w:tcW w:w="3960" w:type="dxa"/>
          </w:tcPr>
          <w:p w14:paraId="77B68006" w14:textId="77777777" w:rsidR="007A4A12" w:rsidRPr="007A4A12" w:rsidRDefault="007A4A12" w:rsidP="00865AB8">
            <w:pPr>
              <w:spacing w:before="80" w:after="80" w:line="260" w:lineRule="exact"/>
              <w:cnfStyle w:val="100000000000" w:firstRow="1"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مؤشرات الأداء الرئيسية</w:t>
            </w:r>
          </w:p>
        </w:tc>
      </w:tr>
      <w:tr w:rsidR="007A4A12" w:rsidRPr="007A4A12" w14:paraId="3DDC661E"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Merge w:val="restart"/>
          </w:tcPr>
          <w:p w14:paraId="39F6F0B2" w14:textId="77777777" w:rsidR="007A4A12" w:rsidRPr="007A4A12" w:rsidRDefault="007A4A12" w:rsidP="00865AB8">
            <w:pPr>
              <w:spacing w:before="80" w:after="80" w:line="260" w:lineRule="exact"/>
              <w:rPr>
                <w:position w:val="2"/>
                <w:sz w:val="20"/>
                <w:szCs w:val="20"/>
                <w:lang w:val="ar-SA" w:bidi="ar-EG"/>
              </w:rPr>
            </w:pPr>
            <w:r w:rsidRPr="007A4A12">
              <w:rPr>
                <w:position w:val="2"/>
                <w:sz w:val="20"/>
                <w:szCs w:val="20"/>
                <w:rtl/>
              </w:rPr>
              <w:t>الأشخاص والثقافة</w:t>
            </w:r>
          </w:p>
        </w:tc>
        <w:tc>
          <w:tcPr>
            <w:tcW w:w="0" w:type="dxa"/>
            <w:vMerge w:val="restart"/>
          </w:tcPr>
          <w:p w14:paraId="396C5949" w14:textId="039D7150"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b/>
                <w:bCs/>
                <w:position w:val="2"/>
                <w:sz w:val="20"/>
                <w:szCs w:val="20"/>
                <w:lang w:val="ar-SA" w:bidi="ar-EG"/>
              </w:rPr>
            </w:pPr>
            <w:r w:rsidRPr="007A4A12">
              <w:rPr>
                <w:bCs/>
                <w:position w:val="2"/>
                <w:sz w:val="20"/>
                <w:szCs w:val="20"/>
                <w:rtl/>
              </w:rPr>
              <w:t>البيئة التمكينية والإدارة</w:t>
            </w:r>
          </w:p>
        </w:tc>
        <w:tc>
          <w:tcPr>
            <w:tcW w:w="6480" w:type="dxa"/>
            <w:vMerge w:val="restart"/>
          </w:tcPr>
          <w:p w14:paraId="0CAA11A6"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b/>
                <w:position w:val="2"/>
                <w:sz w:val="20"/>
                <w:szCs w:val="20"/>
                <w:lang w:val="ar-SA" w:bidi="ar-EG"/>
              </w:rPr>
            </w:pPr>
            <w:r w:rsidRPr="007A4A12">
              <w:rPr>
                <w:b/>
                <w:position w:val="2"/>
                <w:sz w:val="20"/>
                <w:szCs w:val="20"/>
                <w:rtl/>
              </w:rPr>
              <w:t>البيئة والإدارة التمكينية: تصبح بيئة العمل وثقافة الإدارة في الاتحاد أكثر تمكيناً فتضمن انخراط الموظفين وأداءهم العالي وعرضتهم للمساءلة، مع تحسن الأداء وممارسات إدارة قصور الأداء.</w:t>
            </w:r>
          </w:p>
        </w:tc>
        <w:tc>
          <w:tcPr>
            <w:tcW w:w="3960" w:type="dxa"/>
          </w:tcPr>
          <w:p w14:paraId="7373D5C2"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معدل التغيب عن العمل</w:t>
            </w:r>
          </w:p>
        </w:tc>
      </w:tr>
      <w:tr w:rsidR="007A4A12" w:rsidRPr="007A4A12" w14:paraId="329F35C4"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4B466371" w14:textId="77777777" w:rsidR="007A4A12" w:rsidRPr="007A4A12" w:rsidRDefault="007A4A12" w:rsidP="00865AB8">
            <w:pPr>
              <w:spacing w:before="80" w:after="80" w:line="260" w:lineRule="exact"/>
              <w:rPr>
                <w:position w:val="2"/>
                <w:sz w:val="20"/>
                <w:szCs w:val="20"/>
                <w:lang w:bidi="ar-EG"/>
              </w:rPr>
            </w:pPr>
          </w:p>
        </w:tc>
        <w:tc>
          <w:tcPr>
            <w:tcW w:w="0" w:type="dxa"/>
            <w:vMerge/>
          </w:tcPr>
          <w:p w14:paraId="6661B805"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6480" w:type="dxa"/>
            <w:vMerge/>
          </w:tcPr>
          <w:p w14:paraId="4DDD8D14"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3960" w:type="dxa"/>
          </w:tcPr>
          <w:p w14:paraId="477A1C5F"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مؤشر الأمم المتحدة للمخاطر الصحية للإجهاد</w:t>
            </w:r>
          </w:p>
        </w:tc>
      </w:tr>
      <w:tr w:rsidR="007A4A12" w:rsidRPr="007A4A12" w14:paraId="1F96921F"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20DE5E19" w14:textId="77777777" w:rsidR="007A4A12" w:rsidRPr="007A4A12" w:rsidRDefault="007A4A12" w:rsidP="00865AB8">
            <w:pPr>
              <w:spacing w:before="80" w:after="80" w:line="260" w:lineRule="exact"/>
              <w:rPr>
                <w:position w:val="2"/>
                <w:sz w:val="20"/>
                <w:szCs w:val="20"/>
                <w:lang w:bidi="ar-EG"/>
              </w:rPr>
            </w:pPr>
          </w:p>
        </w:tc>
        <w:tc>
          <w:tcPr>
            <w:tcW w:w="0" w:type="dxa"/>
            <w:vMerge w:val="restart"/>
          </w:tcPr>
          <w:p w14:paraId="0DCC99E9"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ثقافة القيادة</w:t>
            </w:r>
          </w:p>
        </w:tc>
        <w:tc>
          <w:tcPr>
            <w:tcW w:w="6480" w:type="dxa"/>
            <w:vMerge w:val="restart"/>
          </w:tcPr>
          <w:p w14:paraId="7D39354A"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ثقافة القيادة: تقود القيادة الملهمة على جميع المستويات كيفية قيامنا بالإدارة والتشغيل والتواصل واتخاذ القرارات لدعم الموظفين في تحقيق أهدافهم.</w:t>
            </w:r>
          </w:p>
        </w:tc>
        <w:tc>
          <w:tcPr>
            <w:tcW w:w="3960" w:type="dxa"/>
          </w:tcPr>
          <w:p w14:paraId="16BE5A30"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تعليقات الموظفين على مبادرات التغيير</w:t>
            </w:r>
          </w:p>
        </w:tc>
      </w:tr>
      <w:tr w:rsidR="007A4A12" w:rsidRPr="007A4A12" w14:paraId="045B3385"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6E7068F4" w14:textId="77777777" w:rsidR="007A4A12" w:rsidRPr="007A4A12" w:rsidRDefault="007A4A12" w:rsidP="00865AB8">
            <w:pPr>
              <w:spacing w:before="80" w:after="80" w:line="260" w:lineRule="exact"/>
              <w:rPr>
                <w:position w:val="2"/>
                <w:sz w:val="20"/>
                <w:szCs w:val="20"/>
                <w:lang w:bidi="ar-EG"/>
              </w:rPr>
            </w:pPr>
          </w:p>
        </w:tc>
        <w:tc>
          <w:tcPr>
            <w:tcW w:w="0" w:type="dxa"/>
            <w:vMerge/>
          </w:tcPr>
          <w:p w14:paraId="69775399"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6480" w:type="dxa"/>
            <w:vMerge/>
          </w:tcPr>
          <w:p w14:paraId="21CEF145"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3960" w:type="dxa"/>
          </w:tcPr>
          <w:p w14:paraId="1B0AB1FF"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 xml:space="preserve">إدارة الأداء </w:t>
            </w:r>
          </w:p>
        </w:tc>
      </w:tr>
      <w:tr w:rsidR="007A4A12" w:rsidRPr="007A4A12" w14:paraId="21D0BB58"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39D42B6A" w14:textId="77777777" w:rsidR="007A4A12" w:rsidRPr="007A4A12" w:rsidRDefault="007A4A12" w:rsidP="00865AB8">
            <w:pPr>
              <w:spacing w:before="80" w:after="80" w:line="260" w:lineRule="exact"/>
              <w:rPr>
                <w:position w:val="2"/>
                <w:sz w:val="20"/>
                <w:szCs w:val="20"/>
                <w:lang w:bidi="ar-EG"/>
              </w:rPr>
            </w:pPr>
          </w:p>
        </w:tc>
        <w:tc>
          <w:tcPr>
            <w:tcW w:w="0" w:type="dxa"/>
          </w:tcPr>
          <w:p w14:paraId="1B9260E5"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الهيكل التنظيمي الأمثل</w:t>
            </w:r>
          </w:p>
        </w:tc>
        <w:tc>
          <w:tcPr>
            <w:tcW w:w="6480" w:type="dxa"/>
          </w:tcPr>
          <w:p w14:paraId="599BED6F"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الهيكل المؤسسي الأمثل: يعزز الهيكل المؤسسي ونموذج التشغيل الوضع الاستراتيجي للاتحاد في المستقبل ويزيدان الكفاءة إلى أقصى حد في تقديم عرض القيمة الخاص به.</w:t>
            </w:r>
          </w:p>
        </w:tc>
        <w:tc>
          <w:tcPr>
            <w:tcW w:w="3960" w:type="dxa"/>
          </w:tcPr>
          <w:p w14:paraId="4DF096A9"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القوى العاملة الشاملة - الجنس والفئات العمرية والتمثيل الجغرافي</w:t>
            </w:r>
          </w:p>
        </w:tc>
      </w:tr>
      <w:tr w:rsidR="007A4A12" w:rsidRPr="007A4A12" w14:paraId="55F79C4E"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5FAFF2A9" w14:textId="77777777" w:rsidR="007A4A12" w:rsidRPr="007A4A12" w:rsidRDefault="007A4A12" w:rsidP="00865AB8">
            <w:pPr>
              <w:spacing w:before="80" w:after="80" w:line="260" w:lineRule="exact"/>
              <w:rPr>
                <w:position w:val="2"/>
                <w:sz w:val="20"/>
                <w:szCs w:val="20"/>
                <w:lang w:bidi="ar-EG"/>
              </w:rPr>
            </w:pPr>
          </w:p>
        </w:tc>
        <w:tc>
          <w:tcPr>
            <w:tcW w:w="0" w:type="dxa"/>
          </w:tcPr>
          <w:p w14:paraId="7BFD3979" w14:textId="77777777" w:rsidR="007A4A12" w:rsidRPr="007A4A12" w:rsidRDefault="007A4A12" w:rsidP="00A269A4">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مواءمة الهيكل التنظيمي والعمليات من أجل تنفيذ الولاية</w:t>
            </w:r>
          </w:p>
        </w:tc>
        <w:tc>
          <w:tcPr>
            <w:tcW w:w="6480" w:type="dxa"/>
          </w:tcPr>
          <w:p w14:paraId="3C92CF5E"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مواءمة الهيكل المؤسسي والعمليات: ويعني ذلك ضمان وضوح الأدوار والمسؤوليات والتراتبيات الوظيفية، فضلاً عن عمليات تتسم بالكفاءة والترشيد تحقق الحد الأمثل من توزيع الموارد وتقلل الازدواجية إلى أدنى حد وتعزز التعاون والتواصل.</w:t>
            </w:r>
          </w:p>
        </w:tc>
        <w:tc>
          <w:tcPr>
            <w:tcW w:w="3960" w:type="dxa"/>
          </w:tcPr>
          <w:p w14:paraId="672A1F17"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تكاليف الدعم التشغيلي كنسبة مئوية من إجمالي الميزانية تتماشى مع المعايير المرجعية للأمم المتحدة</w:t>
            </w:r>
          </w:p>
        </w:tc>
      </w:tr>
      <w:tr w:rsidR="007A4A12" w:rsidRPr="007A4A12" w14:paraId="4497FAEC"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17344C35" w14:textId="77777777" w:rsidR="007A4A12" w:rsidRPr="007A4A12" w:rsidRDefault="007A4A12" w:rsidP="00865AB8">
            <w:pPr>
              <w:spacing w:before="80" w:after="80" w:line="260" w:lineRule="exact"/>
              <w:rPr>
                <w:position w:val="2"/>
                <w:sz w:val="20"/>
                <w:szCs w:val="20"/>
                <w:lang w:bidi="ar-EG"/>
              </w:rPr>
            </w:pPr>
          </w:p>
        </w:tc>
        <w:tc>
          <w:tcPr>
            <w:tcW w:w="0" w:type="dxa"/>
          </w:tcPr>
          <w:p w14:paraId="4C5C47FF"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تحديث العمليات</w:t>
            </w:r>
          </w:p>
        </w:tc>
        <w:tc>
          <w:tcPr>
            <w:tcW w:w="6480" w:type="dxa"/>
          </w:tcPr>
          <w:p w14:paraId="0B42EB10"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spacing w:val="-4"/>
                <w:position w:val="2"/>
                <w:sz w:val="20"/>
                <w:szCs w:val="20"/>
                <w:lang w:val="ar-SA" w:bidi="ar-EG"/>
              </w:rPr>
            </w:pPr>
            <w:r w:rsidRPr="007A4A12">
              <w:rPr>
                <w:spacing w:val="-4"/>
                <w:position w:val="2"/>
                <w:sz w:val="20"/>
                <w:szCs w:val="20"/>
                <w:rtl/>
              </w:rPr>
              <w:t>تتيح العمليات المبسطة، المؤتمتة والرقمية بأقصى قدر ممكن، عمليات توظيف ذات كفاءة عالية لدورة الحياة الكاملة، فضلاً عن تسهيل قيام الاتحاد بحشد وبناء أفضل مجموعة ممكنة من المواهب.</w:t>
            </w:r>
          </w:p>
        </w:tc>
        <w:tc>
          <w:tcPr>
            <w:tcW w:w="3960" w:type="dxa"/>
          </w:tcPr>
          <w:p w14:paraId="21408E18"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تخفيض متوسط وقت التوظيف</w:t>
            </w:r>
          </w:p>
        </w:tc>
      </w:tr>
      <w:tr w:rsidR="007A4A12" w:rsidRPr="007A4A12" w14:paraId="2BE3546C"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1581FF29" w14:textId="77777777" w:rsidR="007A4A12" w:rsidRPr="007A4A12" w:rsidRDefault="007A4A12" w:rsidP="00865AB8">
            <w:pPr>
              <w:spacing w:before="80" w:after="80" w:line="260" w:lineRule="exact"/>
              <w:rPr>
                <w:position w:val="2"/>
                <w:sz w:val="20"/>
                <w:szCs w:val="20"/>
                <w:lang w:bidi="ar-EG"/>
              </w:rPr>
            </w:pPr>
          </w:p>
        </w:tc>
        <w:tc>
          <w:tcPr>
            <w:tcW w:w="0" w:type="dxa"/>
            <w:vMerge w:val="restart"/>
          </w:tcPr>
          <w:p w14:paraId="3726900D"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إدارة المواهب</w:t>
            </w:r>
          </w:p>
        </w:tc>
        <w:tc>
          <w:tcPr>
            <w:tcW w:w="6480" w:type="dxa"/>
            <w:vMerge w:val="restart"/>
          </w:tcPr>
          <w:p w14:paraId="5D71197D"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الاتحاد هو صاحب العمل المفضَّل والقادر على توظيف أفضل المواهب ودعمها وإدارتها وتمكينها والاحتفاظ بها، بما في ذلك زيادة مرونة العمل والتقدم الوظيفي.</w:t>
            </w:r>
          </w:p>
        </w:tc>
        <w:tc>
          <w:tcPr>
            <w:tcW w:w="3960" w:type="dxa"/>
          </w:tcPr>
          <w:p w14:paraId="56EBB749"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معدل جيد لتجدد الموظفين</w:t>
            </w:r>
          </w:p>
        </w:tc>
      </w:tr>
      <w:tr w:rsidR="007A4A12" w:rsidRPr="007A4A12" w14:paraId="6F4B077E"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4B2A7219" w14:textId="77777777" w:rsidR="007A4A12" w:rsidRPr="007A4A12" w:rsidRDefault="007A4A12" w:rsidP="00865AB8">
            <w:pPr>
              <w:spacing w:before="80" w:after="80" w:line="260" w:lineRule="exact"/>
              <w:rPr>
                <w:position w:val="2"/>
                <w:sz w:val="20"/>
                <w:szCs w:val="20"/>
                <w:lang w:bidi="ar-EG"/>
              </w:rPr>
            </w:pPr>
          </w:p>
        </w:tc>
        <w:tc>
          <w:tcPr>
            <w:tcW w:w="0" w:type="dxa"/>
            <w:vMerge/>
          </w:tcPr>
          <w:p w14:paraId="36681222"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p>
        </w:tc>
        <w:tc>
          <w:tcPr>
            <w:tcW w:w="6480" w:type="dxa"/>
            <w:vMerge/>
          </w:tcPr>
          <w:p w14:paraId="518C6F27"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p>
        </w:tc>
        <w:tc>
          <w:tcPr>
            <w:tcW w:w="3960" w:type="dxa"/>
          </w:tcPr>
          <w:p w14:paraId="13910BFA"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p>
          <w:p w14:paraId="3E85435F"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وقت التوظيف – موظفون بعقود محددة المدة</w:t>
            </w:r>
          </w:p>
          <w:p w14:paraId="19766D47"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bidi="en-GB"/>
              </w:rPr>
            </w:pPr>
            <w:r w:rsidRPr="007A4A12">
              <w:rPr>
                <w:position w:val="2"/>
                <w:sz w:val="20"/>
                <w:szCs w:val="20"/>
                <w:rtl/>
              </w:rPr>
              <w:t>وقت التوظيف – استشاريون</w:t>
            </w:r>
          </w:p>
        </w:tc>
      </w:tr>
      <w:tr w:rsidR="007A4A12" w:rsidRPr="007A4A12" w14:paraId="6DEA15E1"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2C6B70A6" w14:textId="77777777" w:rsidR="007A4A12" w:rsidRPr="007A4A12" w:rsidRDefault="007A4A12" w:rsidP="00A269A4">
            <w:pPr>
              <w:spacing w:before="80" w:after="80" w:line="260" w:lineRule="exact"/>
              <w:jc w:val="left"/>
              <w:rPr>
                <w:position w:val="2"/>
                <w:sz w:val="20"/>
                <w:szCs w:val="20"/>
                <w:lang w:val="ar-SA" w:bidi="ar-EG"/>
              </w:rPr>
            </w:pPr>
            <w:r w:rsidRPr="007A4A12">
              <w:rPr>
                <w:position w:val="2"/>
                <w:sz w:val="20"/>
                <w:szCs w:val="20"/>
                <w:rtl/>
              </w:rPr>
              <w:t>الاستعمال الأمثل للموارد</w:t>
            </w:r>
          </w:p>
        </w:tc>
        <w:tc>
          <w:tcPr>
            <w:tcW w:w="2430" w:type="dxa"/>
          </w:tcPr>
          <w:p w14:paraId="30CD5E28" w14:textId="77777777" w:rsidR="007A4A12" w:rsidRPr="007A4A12" w:rsidRDefault="007A4A12" w:rsidP="00A269A4">
            <w:pPr>
              <w:spacing w:before="80" w:after="80" w:line="26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lang w:val="ar-SA" w:bidi="ar-EG"/>
              </w:rPr>
            </w:pPr>
            <w:r w:rsidRPr="007A4A12">
              <w:rPr>
                <w:spacing w:val="-4"/>
                <w:position w:val="2"/>
                <w:sz w:val="20"/>
                <w:szCs w:val="20"/>
                <w:rtl/>
              </w:rPr>
              <w:t>مواءمة الهيكل التنظيمي والعمليات</w:t>
            </w:r>
          </w:p>
        </w:tc>
        <w:tc>
          <w:tcPr>
            <w:tcW w:w="6480" w:type="dxa"/>
          </w:tcPr>
          <w:p w14:paraId="51A1F3CE"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lang w:val="ar-SA" w:bidi="ar-EG"/>
              </w:rPr>
            </w:pPr>
            <w:r w:rsidRPr="007A4A12">
              <w:rPr>
                <w:spacing w:val="-4"/>
                <w:position w:val="2"/>
                <w:sz w:val="20"/>
                <w:szCs w:val="20"/>
                <w:rtl/>
              </w:rPr>
              <w:t>يعني ذلك ضمان وضوح الأدوار والمسؤوليات والتراتبيات الوظيفية، فضلاً عن عمليات تتسم بالكفاءة والترشيد تحقق الحد الأمثل من توزيع الموارد وتقلل الازدواجية إلى أدنى حد وتعزز التعاون والتواصل.</w:t>
            </w:r>
          </w:p>
        </w:tc>
        <w:tc>
          <w:tcPr>
            <w:tcW w:w="3960" w:type="dxa"/>
          </w:tcPr>
          <w:p w14:paraId="4D13066B"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lang w:val="ar-SA" w:bidi="ar-EG"/>
              </w:rPr>
            </w:pPr>
            <w:r w:rsidRPr="007A4A12">
              <w:rPr>
                <w:spacing w:val="-4"/>
                <w:position w:val="2"/>
                <w:sz w:val="20"/>
                <w:szCs w:val="20"/>
                <w:rtl/>
              </w:rPr>
              <w:t>تكاليف الدعم التشغيلي كنسبة مئوية من الميزانية الإجمالية</w:t>
            </w:r>
          </w:p>
        </w:tc>
      </w:tr>
      <w:tr w:rsidR="007A4A12" w:rsidRPr="007A4A12" w14:paraId="7F092C0B"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48563EDE" w14:textId="77777777" w:rsidR="007A4A12" w:rsidRPr="007A4A12" w:rsidRDefault="007A4A12" w:rsidP="00865AB8">
            <w:pPr>
              <w:spacing w:before="80" w:after="80" w:line="260" w:lineRule="exact"/>
              <w:rPr>
                <w:position w:val="2"/>
                <w:sz w:val="20"/>
                <w:szCs w:val="20"/>
                <w:lang w:bidi="ar-EG"/>
              </w:rPr>
            </w:pPr>
          </w:p>
        </w:tc>
        <w:tc>
          <w:tcPr>
            <w:tcW w:w="2430" w:type="dxa"/>
            <w:vMerge w:val="restart"/>
          </w:tcPr>
          <w:p w14:paraId="2FB6944E" w14:textId="77777777" w:rsidR="007A4A12" w:rsidRPr="007A4A12" w:rsidRDefault="007A4A12" w:rsidP="00A269A4">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التوافق مع أفضل ممارسات الإدارة المالية</w:t>
            </w:r>
          </w:p>
        </w:tc>
        <w:tc>
          <w:tcPr>
            <w:tcW w:w="6480" w:type="dxa"/>
            <w:vMerge w:val="restart"/>
          </w:tcPr>
          <w:p w14:paraId="4285A3A3" w14:textId="1C9A99CA" w:rsidR="007A4A12" w:rsidRPr="007A4A12" w:rsidRDefault="007A4A12" w:rsidP="00A269A4">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إجراء العمليات المالية بطريقة تتسم بالكفاءة والفعالية وبما يتماشى مع المعايير الدولية</w:t>
            </w:r>
          </w:p>
        </w:tc>
        <w:tc>
          <w:tcPr>
            <w:tcW w:w="3960" w:type="dxa"/>
          </w:tcPr>
          <w:p w14:paraId="1BE36E3F"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نسبة الإيرادات الواردة إلى الميزانية</w:t>
            </w:r>
          </w:p>
        </w:tc>
      </w:tr>
      <w:tr w:rsidR="007A4A12" w:rsidRPr="007A4A12" w14:paraId="753FB72B"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1DEB94F0" w14:textId="77777777" w:rsidR="007A4A12" w:rsidRPr="007A4A12" w:rsidRDefault="007A4A12" w:rsidP="00865AB8">
            <w:pPr>
              <w:spacing w:before="80" w:after="80" w:line="260" w:lineRule="exact"/>
              <w:rPr>
                <w:position w:val="2"/>
                <w:sz w:val="20"/>
                <w:szCs w:val="20"/>
                <w:lang w:bidi="ar-EG"/>
              </w:rPr>
            </w:pPr>
          </w:p>
        </w:tc>
        <w:tc>
          <w:tcPr>
            <w:tcW w:w="2430" w:type="dxa"/>
            <w:vMerge/>
          </w:tcPr>
          <w:p w14:paraId="71BD873D"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6480" w:type="dxa"/>
            <w:vMerge/>
          </w:tcPr>
          <w:p w14:paraId="0EFA1704"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3960" w:type="dxa"/>
          </w:tcPr>
          <w:p w14:paraId="2B519EA4"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الفرق بين الميزانية والنفقات</w:t>
            </w:r>
          </w:p>
        </w:tc>
      </w:tr>
      <w:tr w:rsidR="007A4A12" w:rsidRPr="007A4A12" w14:paraId="0B230B8B"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2862D24D" w14:textId="77777777" w:rsidR="007A4A12" w:rsidRPr="007A4A12" w:rsidRDefault="007A4A12" w:rsidP="00A269A4">
            <w:pPr>
              <w:spacing w:before="80" w:after="80" w:line="260" w:lineRule="exact"/>
              <w:jc w:val="left"/>
              <w:rPr>
                <w:position w:val="2"/>
                <w:sz w:val="20"/>
                <w:szCs w:val="20"/>
                <w:lang w:bidi="ar-EG"/>
              </w:rPr>
            </w:pPr>
          </w:p>
        </w:tc>
        <w:tc>
          <w:tcPr>
            <w:tcW w:w="2430" w:type="dxa"/>
          </w:tcPr>
          <w:p w14:paraId="722A9A2D" w14:textId="77777777" w:rsidR="007A4A12" w:rsidRPr="007A4A12" w:rsidRDefault="007A4A12" w:rsidP="00A269A4">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تعزيز الشفافية وتوفر المعلومات المالية</w:t>
            </w:r>
          </w:p>
        </w:tc>
        <w:tc>
          <w:tcPr>
            <w:tcW w:w="6480" w:type="dxa"/>
          </w:tcPr>
          <w:p w14:paraId="6769B81E"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 xml:space="preserve">من شأن وضع ممارسات إدارية مالية حصينة أن يؤدي إلى زيادة الشفافية في العمليات المالية. ويشمل ذلك تقديم تقارير دقيقة وفي الوقت المناسب إلى أصحاب المصلحة بشأن البيانات المالية </w:t>
            </w:r>
            <w:r w:rsidRPr="007A4A12">
              <w:rPr>
                <w:position w:val="2"/>
                <w:sz w:val="20"/>
                <w:szCs w:val="20"/>
                <w:rtl/>
              </w:rPr>
              <w:lastRenderedPageBreak/>
              <w:t>وإمكانية النفاذ إليها. ومن شأن المعلومات المالية الشفافة أن تعزز المساءلة وتمكِّن من اتخاذ قرارات مستنيرة.</w:t>
            </w:r>
          </w:p>
        </w:tc>
        <w:tc>
          <w:tcPr>
            <w:tcW w:w="3960" w:type="dxa"/>
          </w:tcPr>
          <w:p w14:paraId="5DC935D5"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lastRenderedPageBreak/>
              <w:t>دقة وتواتر التقارير المالية والتسوية المالية</w:t>
            </w:r>
          </w:p>
        </w:tc>
      </w:tr>
      <w:tr w:rsidR="007A4A12" w:rsidRPr="007A4A12" w14:paraId="6BC66534"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5A7E7AD5" w14:textId="77777777" w:rsidR="007A4A12" w:rsidRPr="007A4A12" w:rsidRDefault="007A4A12" w:rsidP="00A269A4">
            <w:pPr>
              <w:spacing w:before="80" w:after="80" w:line="260" w:lineRule="exact"/>
              <w:jc w:val="left"/>
              <w:rPr>
                <w:position w:val="2"/>
                <w:sz w:val="20"/>
                <w:szCs w:val="20"/>
                <w:lang w:bidi="ar-EG"/>
              </w:rPr>
            </w:pPr>
          </w:p>
        </w:tc>
        <w:tc>
          <w:tcPr>
            <w:tcW w:w="2430" w:type="dxa"/>
          </w:tcPr>
          <w:p w14:paraId="413B2514" w14:textId="75FA6D26" w:rsidR="007A4A12" w:rsidRPr="007A4A12" w:rsidRDefault="007A4A12" w:rsidP="00A269A4">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 xml:space="preserve">تعزيز الميزنة والإدارة المالية على أساس النتائج </w:t>
            </w:r>
            <w:r w:rsidRPr="007A4A12">
              <w:rPr>
                <w:position w:val="2"/>
                <w:sz w:val="20"/>
                <w:szCs w:val="20"/>
                <w:lang w:bidi="ar-EG"/>
              </w:rPr>
              <w:t>(RBM</w:t>
            </w:r>
            <w:r w:rsidR="00A269A4">
              <w:rPr>
                <w:position w:val="2"/>
                <w:sz w:val="20"/>
                <w:szCs w:val="20"/>
              </w:rPr>
              <w:t>)</w:t>
            </w:r>
          </w:p>
        </w:tc>
        <w:tc>
          <w:tcPr>
            <w:tcW w:w="6480" w:type="dxa"/>
          </w:tcPr>
          <w:p w14:paraId="150A5918"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من شأن تحسين إطار الإدارة القائمة على النتائج أن يمكن الاتحاد من تحسين القرارات المالية وتوزيعات الموارد التي تسترشد بالغايات والأهداف ومؤشرات الأداء، بما يؤدي إلى تحسين المساءلة وتحقيق النتائج المرجوة.</w:t>
            </w:r>
          </w:p>
        </w:tc>
        <w:tc>
          <w:tcPr>
            <w:tcW w:w="3960" w:type="dxa"/>
          </w:tcPr>
          <w:p w14:paraId="4908A59D"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0"/>
                <w:lang w:val="ar-SA" w:bidi="ar-EG"/>
              </w:rPr>
            </w:pPr>
            <w:r w:rsidRPr="007A4A12">
              <w:rPr>
                <w:spacing w:val="-6"/>
                <w:position w:val="2"/>
                <w:sz w:val="20"/>
                <w:szCs w:val="20"/>
                <w:rtl/>
              </w:rPr>
              <w:t>تكلفة تنفيذ الأولويات المقررة كنسبة مئوية من إجمالي الميزانية</w:t>
            </w:r>
          </w:p>
        </w:tc>
      </w:tr>
      <w:tr w:rsidR="007A4A12" w:rsidRPr="007A4A12" w14:paraId="456B6EFC"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35256EAF" w14:textId="77777777" w:rsidR="007A4A12" w:rsidRPr="007A4A12" w:rsidRDefault="007A4A12" w:rsidP="00A269A4">
            <w:pPr>
              <w:spacing w:before="80" w:after="80" w:line="260" w:lineRule="exact"/>
              <w:jc w:val="left"/>
              <w:rPr>
                <w:position w:val="2"/>
                <w:sz w:val="20"/>
                <w:szCs w:val="20"/>
                <w:lang w:val="ar-SA" w:bidi="ar-EG"/>
              </w:rPr>
            </w:pPr>
            <w:r w:rsidRPr="007A4A12">
              <w:rPr>
                <w:position w:val="2"/>
                <w:sz w:val="20"/>
                <w:szCs w:val="20"/>
                <w:rtl/>
              </w:rPr>
              <w:t>عمليات وأدوات الأنظمة</w:t>
            </w:r>
          </w:p>
        </w:tc>
        <w:tc>
          <w:tcPr>
            <w:tcW w:w="2430" w:type="dxa"/>
          </w:tcPr>
          <w:p w14:paraId="7813ED89" w14:textId="77777777" w:rsidR="007A4A12" w:rsidRPr="007A4A12" w:rsidRDefault="007A4A12" w:rsidP="00A269A4">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الثقافة الرقمية</w:t>
            </w:r>
          </w:p>
        </w:tc>
        <w:tc>
          <w:tcPr>
            <w:tcW w:w="6480" w:type="dxa"/>
            <w:vMerge w:val="restart"/>
          </w:tcPr>
          <w:p w14:paraId="2F8CA94A"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إنشاء منظمة يتم فيها تقدير قيمة البيانات واستخدامها ودمجها في عمليات صنع القرار على جميع المستويات. وتمكن هذه الثقافة الموظفين من اتخاذ خيارات مستنيرة، وحفز الابتكار، وتعزيز الأداء التنظيمي من خلال الاستفادة من الرؤى القائمة على البيانات، وتوفير معلومات قيمة للأعضاء وأصحاب المصلحة بشأن المسائل التي تندرج ضمن ولاية الاتحاد.</w:t>
            </w:r>
          </w:p>
        </w:tc>
        <w:tc>
          <w:tcPr>
            <w:tcW w:w="3960" w:type="dxa"/>
          </w:tcPr>
          <w:p w14:paraId="424753EC"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البيانات اللازمة لاتخاذ القرارات متاحة من خلال مصدر واحد دقيق موثوق</w:t>
            </w:r>
          </w:p>
        </w:tc>
      </w:tr>
      <w:tr w:rsidR="007A4A12" w:rsidRPr="007A4A12" w14:paraId="059BB39C"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458D82C0" w14:textId="77777777" w:rsidR="007A4A12" w:rsidRPr="007A4A12" w:rsidRDefault="007A4A12" w:rsidP="00A269A4">
            <w:pPr>
              <w:spacing w:before="80" w:after="80" w:line="260" w:lineRule="exact"/>
              <w:jc w:val="left"/>
              <w:rPr>
                <w:position w:val="2"/>
                <w:sz w:val="20"/>
                <w:szCs w:val="20"/>
                <w:lang w:bidi="ar-EG"/>
              </w:rPr>
            </w:pPr>
          </w:p>
        </w:tc>
        <w:tc>
          <w:tcPr>
            <w:tcW w:w="2430" w:type="dxa"/>
          </w:tcPr>
          <w:p w14:paraId="60DDEB58" w14:textId="77777777" w:rsidR="007A4A12" w:rsidRPr="007A4A12" w:rsidRDefault="007A4A12" w:rsidP="00A269A4">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الثقافة الرقمية</w:t>
            </w:r>
          </w:p>
        </w:tc>
        <w:tc>
          <w:tcPr>
            <w:tcW w:w="6480" w:type="dxa"/>
            <w:vMerge/>
          </w:tcPr>
          <w:p w14:paraId="3C9A88E1"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3960" w:type="dxa"/>
          </w:tcPr>
          <w:p w14:paraId="0F81E786"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النسبة المئوية لمعلومات الاتحاد المصنفة والمؤمنة</w:t>
            </w:r>
          </w:p>
        </w:tc>
      </w:tr>
      <w:tr w:rsidR="007A4A12" w:rsidRPr="007A4A12" w14:paraId="05A7C27A"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4146166D" w14:textId="77777777" w:rsidR="007A4A12" w:rsidRPr="007A4A12" w:rsidRDefault="007A4A12" w:rsidP="00A269A4">
            <w:pPr>
              <w:spacing w:before="80" w:after="80" w:line="260" w:lineRule="exact"/>
              <w:jc w:val="left"/>
              <w:rPr>
                <w:position w:val="2"/>
                <w:sz w:val="20"/>
                <w:szCs w:val="20"/>
                <w:lang w:bidi="ar-EG"/>
              </w:rPr>
            </w:pPr>
          </w:p>
        </w:tc>
        <w:tc>
          <w:tcPr>
            <w:tcW w:w="2430" w:type="dxa"/>
          </w:tcPr>
          <w:p w14:paraId="38D73AA0" w14:textId="77777777" w:rsidR="007A4A12" w:rsidRPr="007A4A12" w:rsidRDefault="007A4A12" w:rsidP="00A269A4">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spacing w:val="-4"/>
                <w:position w:val="2"/>
                <w:sz w:val="20"/>
                <w:szCs w:val="20"/>
                <w:lang w:val="ar-SA" w:bidi="ar-EG"/>
              </w:rPr>
            </w:pPr>
            <w:r w:rsidRPr="007A4A12">
              <w:rPr>
                <w:spacing w:val="-4"/>
                <w:position w:val="2"/>
                <w:sz w:val="20"/>
                <w:szCs w:val="20"/>
                <w:rtl/>
              </w:rPr>
              <w:t>أنظمة وعمليات وأدوات تتسم بالكفاءة والفعالية على نطاق الاتحاد</w:t>
            </w:r>
          </w:p>
        </w:tc>
        <w:tc>
          <w:tcPr>
            <w:tcW w:w="6480" w:type="dxa"/>
          </w:tcPr>
          <w:p w14:paraId="33F0DC99"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spacing w:val="-4"/>
                <w:position w:val="2"/>
                <w:sz w:val="20"/>
                <w:szCs w:val="20"/>
                <w:lang w:val="ar-SA" w:bidi="ar-EG"/>
              </w:rPr>
            </w:pPr>
            <w:r w:rsidRPr="007A4A12">
              <w:rPr>
                <w:spacing w:val="-4"/>
                <w:position w:val="2"/>
                <w:sz w:val="20"/>
                <w:szCs w:val="20"/>
                <w:rtl/>
              </w:rPr>
              <w:t>تعزز أنظمة الاتحاد وعملياته وأدواته الكفاءة والإنتاجية والمرونة. وتبسط الأنظمة والعمليات، مما يسمح بتقليل التكرار، وتوزيع الموارد بشكل فعال، وبالتالي تحقيق وفورات في التكاليف وتحسين الأداء.</w:t>
            </w:r>
          </w:p>
        </w:tc>
        <w:tc>
          <w:tcPr>
            <w:tcW w:w="3960" w:type="dxa"/>
          </w:tcPr>
          <w:p w14:paraId="3A4BB692"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التكلفة والوقت لتنفيذ العمليات الرئيسية</w:t>
            </w:r>
          </w:p>
        </w:tc>
      </w:tr>
      <w:tr w:rsidR="007A4A12" w:rsidRPr="007A4A12" w14:paraId="5782D447"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0FDC8815" w14:textId="77777777" w:rsidR="007A4A12" w:rsidRPr="007A4A12" w:rsidRDefault="007A4A12" w:rsidP="00A269A4">
            <w:pPr>
              <w:spacing w:before="80" w:after="80" w:line="260" w:lineRule="exact"/>
              <w:jc w:val="left"/>
              <w:rPr>
                <w:position w:val="2"/>
                <w:sz w:val="20"/>
                <w:szCs w:val="20"/>
                <w:lang w:bidi="ar-EG"/>
              </w:rPr>
            </w:pPr>
          </w:p>
        </w:tc>
        <w:tc>
          <w:tcPr>
            <w:tcW w:w="0" w:type="dxa"/>
            <w:vMerge w:val="restart"/>
          </w:tcPr>
          <w:p w14:paraId="1A5D453A" w14:textId="77777777" w:rsidR="007A4A12" w:rsidRPr="007A4A12" w:rsidRDefault="007A4A12" w:rsidP="00A269A4">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التميز في المؤتمرات والاجتماعات والأحداث</w:t>
            </w:r>
          </w:p>
        </w:tc>
        <w:tc>
          <w:tcPr>
            <w:tcW w:w="0" w:type="dxa"/>
            <w:vMerge w:val="restart"/>
          </w:tcPr>
          <w:p w14:paraId="0735935F"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تحديث وتحسين تقديم الخدمات في مؤتمرات الاتحاد واجتماعاته وأحداثه، مع زيادة فعالية استخدام التكنولوجيا وتعزيز مستويات الإنتاجية عبر الخدمات</w:t>
            </w:r>
          </w:p>
        </w:tc>
        <w:tc>
          <w:tcPr>
            <w:tcW w:w="0" w:type="dxa"/>
          </w:tcPr>
          <w:p w14:paraId="2D635A10"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 xml:space="preserve">مستوى المشاركة </w:t>
            </w:r>
          </w:p>
        </w:tc>
      </w:tr>
      <w:tr w:rsidR="007A4A12" w:rsidRPr="007A4A12" w14:paraId="54F7DD49"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51169809" w14:textId="77777777" w:rsidR="007A4A12" w:rsidRPr="007A4A12" w:rsidRDefault="007A4A12" w:rsidP="00A269A4">
            <w:pPr>
              <w:spacing w:before="80" w:after="80" w:line="260" w:lineRule="exact"/>
              <w:jc w:val="left"/>
              <w:rPr>
                <w:position w:val="2"/>
                <w:sz w:val="20"/>
                <w:szCs w:val="20"/>
                <w:lang w:bidi="ar-EG"/>
              </w:rPr>
            </w:pPr>
          </w:p>
        </w:tc>
        <w:tc>
          <w:tcPr>
            <w:tcW w:w="2430" w:type="dxa"/>
            <w:vMerge/>
          </w:tcPr>
          <w:p w14:paraId="6AD36EDA" w14:textId="77777777" w:rsidR="007A4A12" w:rsidRPr="007A4A12" w:rsidRDefault="007A4A12" w:rsidP="00A269A4">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lang w:bidi="ar-EG"/>
              </w:rPr>
            </w:pPr>
          </w:p>
        </w:tc>
        <w:tc>
          <w:tcPr>
            <w:tcW w:w="6480" w:type="dxa"/>
            <w:vMerge/>
          </w:tcPr>
          <w:p w14:paraId="4C509C61"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p>
        </w:tc>
        <w:tc>
          <w:tcPr>
            <w:tcW w:w="3960" w:type="dxa"/>
          </w:tcPr>
          <w:p w14:paraId="4B8C0064"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تسجيل المشاركين</w:t>
            </w:r>
          </w:p>
        </w:tc>
      </w:tr>
      <w:tr w:rsidR="007A4A12" w:rsidRPr="007A4A12" w14:paraId="6241A2EC"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43F11502" w14:textId="77777777" w:rsidR="007A4A12" w:rsidRPr="007A4A12" w:rsidRDefault="007A4A12" w:rsidP="00A269A4">
            <w:pPr>
              <w:spacing w:before="80" w:after="80" w:line="260" w:lineRule="exact"/>
              <w:jc w:val="left"/>
              <w:rPr>
                <w:position w:val="2"/>
                <w:sz w:val="20"/>
                <w:szCs w:val="20"/>
                <w:lang w:bidi="ar-EG"/>
              </w:rPr>
            </w:pPr>
          </w:p>
        </w:tc>
        <w:tc>
          <w:tcPr>
            <w:tcW w:w="2430" w:type="dxa"/>
            <w:vMerge/>
          </w:tcPr>
          <w:p w14:paraId="12BFBF40" w14:textId="77777777" w:rsidR="007A4A12" w:rsidRPr="007A4A12" w:rsidRDefault="007A4A12" w:rsidP="00A269A4">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6480" w:type="dxa"/>
            <w:vMerge/>
          </w:tcPr>
          <w:p w14:paraId="6118C5B3"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3960" w:type="dxa"/>
          </w:tcPr>
          <w:p w14:paraId="0E6560DC"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التكلفة لكل مشارك</w:t>
            </w:r>
          </w:p>
        </w:tc>
      </w:tr>
      <w:tr w:rsidR="007A4A12" w:rsidRPr="007A4A12" w14:paraId="692AFB0E"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0B14311F" w14:textId="77777777" w:rsidR="007A4A12" w:rsidRPr="007A4A12" w:rsidRDefault="007A4A12" w:rsidP="00A269A4">
            <w:pPr>
              <w:spacing w:before="80" w:after="80" w:line="260" w:lineRule="exact"/>
              <w:jc w:val="left"/>
              <w:rPr>
                <w:position w:val="2"/>
                <w:sz w:val="20"/>
                <w:szCs w:val="20"/>
                <w:lang w:bidi="ar-EG"/>
              </w:rPr>
            </w:pPr>
          </w:p>
        </w:tc>
        <w:tc>
          <w:tcPr>
            <w:tcW w:w="2430" w:type="dxa"/>
            <w:vMerge w:val="restart"/>
          </w:tcPr>
          <w:p w14:paraId="20AD2FA1" w14:textId="77777777" w:rsidR="007A4A12" w:rsidRPr="007A4A12" w:rsidRDefault="007A4A12" w:rsidP="00A269A4">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تسهيل التحول الرقمي</w:t>
            </w:r>
          </w:p>
        </w:tc>
        <w:tc>
          <w:tcPr>
            <w:tcW w:w="6480" w:type="dxa"/>
            <w:vMerge w:val="restart"/>
          </w:tcPr>
          <w:p w14:paraId="2F090443"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يستفيد الاتحاد على النحو الأمثل من التكنولوجيا لتعزيز الكفاءة والمرونة والابتكار داخل المنظمة، مما يمكّنه من التكيف مع المتطلبات المتطورة للأعضاء، ضمن حدود الموارد المالية المثلى.</w:t>
            </w:r>
          </w:p>
        </w:tc>
        <w:tc>
          <w:tcPr>
            <w:tcW w:w="3960" w:type="dxa"/>
          </w:tcPr>
          <w:p w14:paraId="07F550D7"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درجة الأمن السيبراني</w:t>
            </w:r>
          </w:p>
        </w:tc>
      </w:tr>
      <w:tr w:rsidR="007A4A12" w:rsidRPr="007A4A12" w14:paraId="2462759A"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30EE35B5" w14:textId="77777777" w:rsidR="007A4A12" w:rsidRPr="007A4A12" w:rsidRDefault="007A4A12" w:rsidP="00A269A4">
            <w:pPr>
              <w:spacing w:before="80" w:after="80" w:line="260" w:lineRule="exact"/>
              <w:jc w:val="left"/>
              <w:rPr>
                <w:position w:val="2"/>
                <w:sz w:val="20"/>
                <w:szCs w:val="20"/>
                <w:lang w:bidi="ar-EG"/>
              </w:rPr>
            </w:pPr>
          </w:p>
        </w:tc>
        <w:tc>
          <w:tcPr>
            <w:tcW w:w="2430" w:type="dxa"/>
            <w:vMerge/>
          </w:tcPr>
          <w:p w14:paraId="3D8F30A1" w14:textId="77777777" w:rsidR="007A4A12" w:rsidRPr="007A4A12" w:rsidRDefault="007A4A12" w:rsidP="00A269A4">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6480" w:type="dxa"/>
            <w:vMerge/>
          </w:tcPr>
          <w:p w14:paraId="39495C17"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3960" w:type="dxa"/>
          </w:tcPr>
          <w:p w14:paraId="4E5EC2C2" w14:textId="720A98CC"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النسبة المئوية لأنظمة المعلومات الحرجة المتوافقة مع معايير الصناعة والأمن السيبراني الحديثة</w:t>
            </w:r>
          </w:p>
        </w:tc>
      </w:tr>
      <w:tr w:rsidR="007A4A12" w:rsidRPr="007A4A12" w14:paraId="0B69E4CD"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04668B6" w14:textId="77777777" w:rsidR="007A4A12" w:rsidRPr="007A4A12" w:rsidRDefault="007A4A12" w:rsidP="00A269A4">
            <w:pPr>
              <w:spacing w:before="80" w:after="80" w:line="260" w:lineRule="exact"/>
              <w:jc w:val="left"/>
              <w:rPr>
                <w:position w:val="2"/>
                <w:sz w:val="20"/>
                <w:szCs w:val="20"/>
                <w:lang w:val="ar-SA" w:bidi="ar-EG"/>
              </w:rPr>
            </w:pPr>
            <w:r w:rsidRPr="007A4A12">
              <w:rPr>
                <w:position w:val="2"/>
                <w:sz w:val="20"/>
                <w:szCs w:val="20"/>
                <w:rtl/>
              </w:rPr>
              <w:t>الإدارة</w:t>
            </w:r>
          </w:p>
        </w:tc>
        <w:tc>
          <w:tcPr>
            <w:tcW w:w="2430" w:type="dxa"/>
            <w:vMerge w:val="restart"/>
          </w:tcPr>
          <w:p w14:paraId="582C112A" w14:textId="77777777" w:rsidR="007A4A12" w:rsidRPr="007A4A12" w:rsidRDefault="007A4A12" w:rsidP="00A269A4">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الضوابط الداخلية</w:t>
            </w:r>
          </w:p>
        </w:tc>
        <w:tc>
          <w:tcPr>
            <w:tcW w:w="6480" w:type="dxa"/>
            <w:vMerge w:val="restart"/>
          </w:tcPr>
          <w:p w14:paraId="2D9B6C9F"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استعراض وتعزيز آليات التتبع والرصد والتنسيق الداخلية لتجنب الازدواجية وتحسين الكفاءة والشفافية.</w:t>
            </w:r>
          </w:p>
        </w:tc>
        <w:tc>
          <w:tcPr>
            <w:tcW w:w="3960" w:type="dxa"/>
          </w:tcPr>
          <w:p w14:paraId="3EA2ECF9"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‏وقت الحل فيما يتعلق بتوصيات اللجنة الاستشارية الإدارية المستقلة والمراجعة</w:t>
            </w:r>
          </w:p>
        </w:tc>
      </w:tr>
      <w:tr w:rsidR="007A4A12" w:rsidRPr="007A4A12" w14:paraId="4D772920"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787B45DD" w14:textId="77777777" w:rsidR="007A4A12" w:rsidRPr="007A4A12" w:rsidRDefault="007A4A12" w:rsidP="00865AB8">
            <w:pPr>
              <w:spacing w:before="80" w:after="80" w:line="260" w:lineRule="exact"/>
              <w:rPr>
                <w:position w:val="2"/>
                <w:sz w:val="20"/>
                <w:szCs w:val="20"/>
                <w:lang w:bidi="ar-EG"/>
              </w:rPr>
            </w:pPr>
          </w:p>
        </w:tc>
        <w:tc>
          <w:tcPr>
            <w:tcW w:w="2430" w:type="dxa"/>
            <w:vMerge/>
          </w:tcPr>
          <w:p w14:paraId="2C3434BC"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6480" w:type="dxa"/>
            <w:vMerge/>
          </w:tcPr>
          <w:p w14:paraId="69D7D71A"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c>
          <w:tcPr>
            <w:tcW w:w="3960" w:type="dxa"/>
          </w:tcPr>
          <w:p w14:paraId="1863F33D"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عدد التوصيات الجديدة والتوصيات المعلقة</w:t>
            </w:r>
          </w:p>
        </w:tc>
      </w:tr>
      <w:tr w:rsidR="007A4A12" w:rsidRPr="007A4A12" w14:paraId="4B22E692" w14:textId="77777777" w:rsidTr="00865A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6F7192C7" w14:textId="77777777" w:rsidR="007A4A12" w:rsidRPr="007A4A12" w:rsidRDefault="007A4A12" w:rsidP="00865AB8">
            <w:pPr>
              <w:spacing w:before="80" w:after="80" w:line="260" w:lineRule="exact"/>
              <w:rPr>
                <w:position w:val="2"/>
                <w:sz w:val="20"/>
                <w:szCs w:val="20"/>
                <w:lang w:bidi="ar-EG"/>
              </w:rPr>
            </w:pPr>
          </w:p>
        </w:tc>
        <w:tc>
          <w:tcPr>
            <w:tcW w:w="2430" w:type="dxa"/>
          </w:tcPr>
          <w:p w14:paraId="7318DA8B" w14:textId="77777777" w:rsidR="007A4A12" w:rsidRPr="007A4A12" w:rsidRDefault="007A4A12" w:rsidP="00A269A4">
            <w:pPr>
              <w:spacing w:before="80" w:after="80" w:line="26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إدارة المخاطر</w:t>
            </w:r>
          </w:p>
        </w:tc>
        <w:tc>
          <w:tcPr>
            <w:tcW w:w="6480" w:type="dxa"/>
          </w:tcPr>
          <w:p w14:paraId="1B850940"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ستعالج خطة التحول وتعزز التخفيف من المخاطر التنظيمية الحالية.</w:t>
            </w:r>
          </w:p>
        </w:tc>
        <w:tc>
          <w:tcPr>
            <w:tcW w:w="3960" w:type="dxa"/>
          </w:tcPr>
          <w:p w14:paraId="59C08E60" w14:textId="77777777" w:rsidR="007A4A12" w:rsidRPr="007A4A12" w:rsidRDefault="007A4A12" w:rsidP="00865AB8">
            <w:pPr>
              <w:spacing w:before="80" w:after="80" w:line="26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7A4A12">
              <w:rPr>
                <w:position w:val="2"/>
                <w:sz w:val="20"/>
                <w:szCs w:val="20"/>
                <w:rtl/>
              </w:rPr>
              <w:t>النسبة المئوية للمخاطر في سجل المخاطر مع إجراءات التخفيف أو الحل الصحيحة‎</w:t>
            </w:r>
          </w:p>
        </w:tc>
      </w:tr>
      <w:tr w:rsidR="007A4A12" w:rsidRPr="007A4A12" w14:paraId="20978E81" w14:textId="77777777" w:rsidTr="00865AB8">
        <w:trPr>
          <w:jc w:val="center"/>
        </w:trPr>
        <w:tc>
          <w:tcPr>
            <w:cnfStyle w:val="001000000000" w:firstRow="0" w:lastRow="0" w:firstColumn="1" w:lastColumn="0" w:oddVBand="0" w:evenVBand="0" w:oddHBand="0" w:evenHBand="0" w:firstRowFirstColumn="0" w:firstRowLastColumn="0" w:lastRowFirstColumn="0" w:lastRowLastColumn="0"/>
            <w:tcW w:w="1705" w:type="dxa"/>
            <w:vMerge/>
          </w:tcPr>
          <w:p w14:paraId="14F445E2" w14:textId="77777777" w:rsidR="007A4A12" w:rsidRPr="007A4A12" w:rsidRDefault="007A4A12" w:rsidP="00865AB8">
            <w:pPr>
              <w:spacing w:before="80" w:after="80" w:line="260" w:lineRule="exact"/>
              <w:rPr>
                <w:position w:val="2"/>
                <w:sz w:val="20"/>
                <w:szCs w:val="20"/>
                <w:lang w:bidi="ar-EG"/>
              </w:rPr>
            </w:pPr>
          </w:p>
        </w:tc>
        <w:tc>
          <w:tcPr>
            <w:tcW w:w="2430" w:type="dxa"/>
          </w:tcPr>
          <w:p w14:paraId="7A29B694" w14:textId="77777777" w:rsidR="007A4A12" w:rsidRPr="007A4A12" w:rsidRDefault="007A4A12" w:rsidP="00A269A4">
            <w:pPr>
              <w:spacing w:before="80" w:after="80" w:line="26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السلامة والأمن</w:t>
            </w:r>
          </w:p>
        </w:tc>
        <w:tc>
          <w:tcPr>
            <w:tcW w:w="6480" w:type="dxa"/>
          </w:tcPr>
          <w:p w14:paraId="2D4E56E9" w14:textId="0BD59AA6"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 xml:space="preserve">تعزيز السلامة والأمن والمرونة للموظفين والمندوبين من خلال العمليات التي تركز على العملاء وإدارة المخاطر واستمرارية الأعمال والتعافي من كوارث تكنولوجيا المعلومات وأطر إدارة الأزمات والامتثال المستمر لمتطلبات نظام الأمم المتحدة لإدارة الأمن </w:t>
            </w:r>
            <w:r w:rsidRPr="007A4A12">
              <w:rPr>
                <w:position w:val="2"/>
                <w:sz w:val="20"/>
                <w:szCs w:val="20"/>
                <w:lang w:bidi="ar-EG"/>
              </w:rPr>
              <w:t>(UNSMS</w:t>
            </w:r>
            <w:r w:rsidR="00A269A4">
              <w:rPr>
                <w:position w:val="2"/>
                <w:sz w:val="20"/>
                <w:szCs w:val="20"/>
              </w:rPr>
              <w:t>)</w:t>
            </w:r>
          </w:p>
        </w:tc>
        <w:tc>
          <w:tcPr>
            <w:tcW w:w="3960" w:type="dxa"/>
          </w:tcPr>
          <w:p w14:paraId="3168E7F6" w14:textId="77777777" w:rsidR="007A4A12" w:rsidRPr="007A4A12" w:rsidRDefault="007A4A12" w:rsidP="00865AB8">
            <w:pPr>
              <w:spacing w:before="80" w:after="80" w:line="260" w:lineRule="exact"/>
              <w:cnfStyle w:val="000000000000" w:firstRow="0" w:lastRow="0" w:firstColumn="0" w:lastColumn="0" w:oddVBand="0" w:evenVBand="0" w:oddHBand="0" w:evenHBand="0" w:firstRowFirstColumn="0" w:firstRowLastColumn="0" w:lastRowFirstColumn="0" w:lastRowLastColumn="0"/>
              <w:rPr>
                <w:position w:val="2"/>
                <w:sz w:val="20"/>
                <w:szCs w:val="20"/>
                <w:lang w:val="ar-SA" w:bidi="ar-EG"/>
              </w:rPr>
            </w:pPr>
            <w:r w:rsidRPr="007A4A12">
              <w:rPr>
                <w:position w:val="2"/>
                <w:sz w:val="20"/>
                <w:szCs w:val="20"/>
                <w:rtl/>
              </w:rPr>
              <w:t xml:space="preserve">تعزيز استمرارية الأعمال وإدارة الأزمات </w:t>
            </w:r>
          </w:p>
        </w:tc>
      </w:tr>
    </w:tbl>
    <w:p w14:paraId="71429EF0" w14:textId="77777777" w:rsidR="007A4A12" w:rsidRPr="007A4A12" w:rsidRDefault="007A4A12" w:rsidP="007A4A12">
      <w:pPr>
        <w:rPr>
          <w:lang w:bidi="ar-EG"/>
        </w:rPr>
      </w:pPr>
      <w:r w:rsidRPr="007A4A12">
        <w:rPr>
          <w:lang w:bidi="ar-EG"/>
        </w:rPr>
        <w:br w:type="page"/>
      </w:r>
    </w:p>
    <w:p w14:paraId="23D8403F" w14:textId="77777777" w:rsidR="007A4A12" w:rsidRPr="007A4A12" w:rsidRDefault="007A4A12" w:rsidP="00BA5B3F">
      <w:pPr>
        <w:pStyle w:val="Annextitle"/>
        <w:jc w:val="both"/>
        <w:rPr>
          <w:lang w:val="ar-SA" w:bidi="ar-EG"/>
        </w:rPr>
      </w:pPr>
      <w:r w:rsidRPr="007A4A12">
        <w:rPr>
          <w:rtl/>
        </w:rPr>
        <w:lastRenderedPageBreak/>
        <w:t>الملحق 2 - المنهجية</w:t>
      </w:r>
    </w:p>
    <w:p w14:paraId="2BE7264E" w14:textId="79DEAC3A" w:rsidR="00BA5B3F" w:rsidRDefault="00BA5B3F" w:rsidP="00BA5B3F">
      <w:pPr>
        <w:rPr>
          <w:rtl/>
          <w:lang w:bidi="ar-EG"/>
        </w:rPr>
      </w:pPr>
      <w:r>
        <w:rPr>
          <w:noProof/>
          <w:lang w:bidi="ar-EG"/>
        </w:rPr>
        <w:drawing>
          <wp:inline distT="0" distB="0" distL="0" distR="0" wp14:anchorId="0BF42259" wp14:editId="3D08B236">
            <wp:extent cx="9988906" cy="54731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15270" cy="5487576"/>
                    </a:xfrm>
                    <a:prstGeom prst="rect">
                      <a:avLst/>
                    </a:prstGeom>
                    <a:noFill/>
                  </pic:spPr>
                </pic:pic>
              </a:graphicData>
            </a:graphic>
          </wp:inline>
        </w:drawing>
      </w:r>
    </w:p>
    <w:p w14:paraId="003E02D8" w14:textId="647D09A0" w:rsidR="007A4A12" w:rsidRPr="007A4A12" w:rsidRDefault="007A4A12" w:rsidP="00BA5B3F">
      <w:pPr>
        <w:spacing w:before="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7A4A12" w:rsidRPr="007A4A12" w:rsidSect="007A4A12">
      <w:footerReference w:type="default" r:id="rId29"/>
      <w:headerReference w:type="first" r:id="rId30"/>
      <w:footerReference w:type="first" r:id="rId31"/>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D008" w14:textId="77777777" w:rsidR="007A4A12" w:rsidRDefault="007A4A12" w:rsidP="006C3242">
      <w:pPr>
        <w:spacing w:before="0" w:line="240" w:lineRule="auto"/>
      </w:pPr>
      <w:r>
        <w:separator/>
      </w:r>
    </w:p>
  </w:endnote>
  <w:endnote w:type="continuationSeparator" w:id="0">
    <w:p w14:paraId="6E455518" w14:textId="77777777" w:rsidR="007A4A12" w:rsidRDefault="007A4A1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D6A80EC" w14:textId="77777777" w:rsidTr="00357086">
      <w:trPr>
        <w:jc w:val="center"/>
      </w:trPr>
      <w:tc>
        <w:tcPr>
          <w:tcW w:w="868" w:type="pct"/>
          <w:vAlign w:val="center"/>
        </w:tcPr>
        <w:p w14:paraId="14CA5223" w14:textId="196363C1"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30BDD478" w14:textId="1DC13D8F"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7A4A12">
            <w:rPr>
              <w:rFonts w:ascii="Calibri" w:hAnsi="Calibri" w:cs="Arial"/>
              <w:bCs/>
              <w:color w:val="7F7F7F"/>
              <w:sz w:val="18"/>
            </w:rPr>
            <w:t>52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D8CCB9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9E0B255" w14:textId="14F69D8F" w:rsidR="00387876" w:rsidRPr="0026373E" w:rsidRDefault="00387876" w:rsidP="007A4A1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03C50D9" w14:textId="77777777" w:rsidTr="00F50E3F">
      <w:trPr>
        <w:jc w:val="center"/>
      </w:trPr>
      <w:tc>
        <w:tcPr>
          <w:tcW w:w="868" w:type="pct"/>
          <w:vAlign w:val="center"/>
        </w:tcPr>
        <w:p w14:paraId="5E8B6EE1" w14:textId="77777777" w:rsidR="007B0AA0" w:rsidRPr="007B0AA0" w:rsidRDefault="00373B2C"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62990A5" w14:textId="5DAD2334"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7A4A12">
            <w:rPr>
              <w:rFonts w:ascii="Calibri" w:hAnsi="Calibri" w:cs="Arial"/>
              <w:bCs/>
              <w:color w:val="7F7F7F"/>
              <w:sz w:val="18"/>
            </w:rPr>
            <w:t>52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39EDACB"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4F66A07" w14:textId="07C5114B" w:rsidR="00387876" w:rsidRPr="0026373E" w:rsidRDefault="00387876" w:rsidP="007A4A1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A269A4" w:rsidRPr="007B0AA0" w14:paraId="371FE1ED" w14:textId="77777777" w:rsidTr="00357086">
      <w:trPr>
        <w:jc w:val="center"/>
      </w:trPr>
      <w:tc>
        <w:tcPr>
          <w:tcW w:w="868" w:type="pct"/>
          <w:vAlign w:val="center"/>
        </w:tcPr>
        <w:p w14:paraId="6F0E5341" w14:textId="77777777" w:rsidR="00A269A4" w:rsidRPr="007B0AA0" w:rsidRDefault="00A269A4"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39CCC18" w14:textId="77777777" w:rsidR="00A269A4" w:rsidRPr="007B0AA0" w:rsidRDefault="00A269A4"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52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14E625B" w14:textId="77777777" w:rsidR="00A269A4" w:rsidRPr="007B0AA0" w:rsidRDefault="00A269A4"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D2B02A9" w14:textId="77777777" w:rsidR="00A269A4" w:rsidRPr="0026373E" w:rsidRDefault="00A269A4" w:rsidP="007A4A12">
    <w:pPr>
      <w:pStyle w:val="Footer"/>
      <w:tabs>
        <w:tab w:val="clear" w:pos="4153"/>
        <w:tab w:val="clear" w:pos="8306"/>
        <w:tab w:val="center" w:pos="5103"/>
        <w:tab w:val="right" w:pos="9639"/>
      </w:tabs>
      <w:spacing w:before="120"/>
      <w:rPr>
        <w:sz w:val="16"/>
        <w:szCs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2288"/>
      <w:gridCol w:w="691"/>
    </w:tblGrid>
    <w:tr w:rsidR="007A4A12" w:rsidRPr="007B0AA0" w14:paraId="5147411E" w14:textId="77777777" w:rsidTr="00271316">
      <w:trPr>
        <w:jc w:val="center"/>
      </w:trPr>
      <w:tc>
        <w:tcPr>
          <w:tcW w:w="868" w:type="pct"/>
          <w:vAlign w:val="center"/>
        </w:tcPr>
        <w:p w14:paraId="4703F9BB" w14:textId="113FF193" w:rsidR="007A4A12" w:rsidRPr="007B0AA0" w:rsidRDefault="007A4A12" w:rsidP="007A4A12">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7E906627" w14:textId="4B86E65A" w:rsidR="007A4A12" w:rsidRPr="007B0AA0" w:rsidRDefault="007A4A12" w:rsidP="007A4A12">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52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4ABE39A" w14:textId="77777777" w:rsidR="007A4A12" w:rsidRPr="007B0AA0" w:rsidRDefault="007A4A12" w:rsidP="007A4A12">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7</w:t>
          </w:r>
          <w:r w:rsidRPr="007B0AA0">
            <w:rPr>
              <w:rFonts w:ascii="Calibri" w:hAnsi="Calibri" w:cs="Arial"/>
              <w:noProof/>
              <w:color w:val="7F7F7F"/>
              <w:sz w:val="18"/>
            </w:rPr>
            <w:fldChar w:fldCharType="end"/>
          </w:r>
        </w:p>
      </w:tc>
    </w:tr>
  </w:tbl>
  <w:p w14:paraId="4A701445" w14:textId="0F151B03" w:rsidR="007A4A12" w:rsidRPr="007A4A12" w:rsidRDefault="007A4A12" w:rsidP="007A4A12">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B8B9" w14:textId="77777777" w:rsidR="007A4A12" w:rsidRDefault="007A4A12" w:rsidP="006C3242">
      <w:pPr>
        <w:spacing w:before="0" w:line="240" w:lineRule="auto"/>
      </w:pPr>
      <w:r>
        <w:separator/>
      </w:r>
    </w:p>
  </w:footnote>
  <w:footnote w:type="continuationSeparator" w:id="0">
    <w:p w14:paraId="6C591346" w14:textId="77777777" w:rsidR="007A4A12" w:rsidRDefault="007A4A1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41F2"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BC5864" wp14:editId="4497B43E">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9F330"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AEA860B" wp14:editId="62250D77">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13FD" w14:textId="1FA84EB1" w:rsidR="007A4A12" w:rsidRPr="007A4A12" w:rsidRDefault="007A4A12" w:rsidP="007A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5B85"/>
    <w:multiLevelType w:val="hybridMultilevel"/>
    <w:tmpl w:val="B816AA08"/>
    <w:lvl w:ilvl="0" w:tplc="51D248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6A35F4"/>
    <w:multiLevelType w:val="hybridMultilevel"/>
    <w:tmpl w:val="080C2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EC5A08"/>
    <w:multiLevelType w:val="multilevel"/>
    <w:tmpl w:val="59AC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73A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E04CE8"/>
    <w:multiLevelType w:val="multilevel"/>
    <w:tmpl w:val="539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FD5745"/>
    <w:multiLevelType w:val="hybridMultilevel"/>
    <w:tmpl w:val="98DE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239F0"/>
    <w:multiLevelType w:val="hybridMultilevel"/>
    <w:tmpl w:val="F25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47353"/>
    <w:multiLevelType w:val="hybridMultilevel"/>
    <w:tmpl w:val="ABF8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0190D"/>
    <w:multiLevelType w:val="hybridMultilevel"/>
    <w:tmpl w:val="4E78BD0E"/>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68097002"/>
    <w:multiLevelType w:val="hybridMultilevel"/>
    <w:tmpl w:val="7876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22F1F"/>
    <w:multiLevelType w:val="hybridMultilevel"/>
    <w:tmpl w:val="089C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1"/>
  </w:num>
  <w:num w:numId="12" w16cid:durableId="1904292003">
    <w:abstractNumId w:val="14"/>
    <w:lvlOverride w:ilvl="0">
      <w:lvl w:ilvl="0">
        <w:start w:val="1"/>
        <w:numFmt w:val="decimal"/>
        <w:lvlText w:val="%1."/>
        <w:lvlJc w:val="left"/>
        <w:pPr>
          <w:ind w:left="360" w:hanging="360"/>
        </w:pPr>
        <w:rPr>
          <w:rFonts w:hint="default"/>
        </w:rPr>
      </w:lvl>
    </w:lvlOverride>
  </w:num>
  <w:num w:numId="13" w16cid:durableId="1035232243">
    <w:abstractNumId w:val="19"/>
    <w:lvlOverride w:ilvl="0">
      <w:lvl w:ilvl="0" w:tplc="08090001">
        <w:start w:val="1"/>
        <w:numFmt w:val="bullet"/>
        <w:lvlText w:val=""/>
        <w:lvlJc w:val="left"/>
        <w:pPr>
          <w:ind w:left="0" w:hanging="360"/>
        </w:pPr>
        <w:rPr>
          <w:rFonts w:ascii="Symbol" w:hAnsi="Symbol" w:hint="default"/>
        </w:rPr>
      </w:lvl>
    </w:lvlOverride>
  </w:num>
  <w:num w:numId="14" w16cid:durableId="1553348716">
    <w:abstractNumId w:val="17"/>
    <w:lvlOverride w:ilvl="0">
      <w:lvl w:ilvl="0" w:tplc="08090001">
        <w:start w:val="1"/>
        <w:numFmt w:val="bullet"/>
        <w:lvlText w:val=""/>
        <w:lvlJc w:val="left"/>
        <w:pPr>
          <w:ind w:left="720" w:hanging="360"/>
        </w:pPr>
        <w:rPr>
          <w:rFonts w:ascii="Symbol" w:hAnsi="Symbol" w:hint="default"/>
        </w:rPr>
      </w:lvl>
    </w:lvlOverride>
  </w:num>
  <w:num w:numId="15" w16cid:durableId="1556432526">
    <w:abstractNumId w:val="20"/>
    <w:lvlOverride w:ilvl="0">
      <w:lvl w:ilvl="0" w:tplc="08090001">
        <w:start w:val="1"/>
        <w:numFmt w:val="bullet"/>
        <w:lvlText w:val=""/>
        <w:lvlJc w:val="left"/>
        <w:pPr>
          <w:ind w:left="720" w:hanging="360"/>
        </w:pPr>
        <w:rPr>
          <w:rFonts w:ascii="Symbol" w:hAnsi="Symbol" w:hint="default"/>
        </w:rPr>
      </w:lvl>
    </w:lvlOverride>
  </w:num>
  <w:num w:numId="16" w16cid:durableId="825170636">
    <w:abstractNumId w:val="10"/>
    <w:lvlOverride w:ilvl="0">
      <w:lvl w:ilvl="0" w:tplc="51D248B4">
        <w:start w:val="1"/>
        <w:numFmt w:val="lowerRoman"/>
        <w:lvlText w:val="%1."/>
        <w:lvlJc w:val="left"/>
        <w:pPr>
          <w:ind w:left="1440" w:hanging="720"/>
        </w:pPr>
        <w:rPr>
          <w:rFonts w:hint="default"/>
        </w:rPr>
      </w:lvl>
    </w:lvlOverride>
  </w:num>
  <w:num w:numId="17" w16cid:durableId="1848203417">
    <w:abstractNumId w:val="12"/>
    <w:lvlOverride w:ilvl="0">
      <w:lvl w:ilvl="0" w:tplc="08090001">
        <w:start w:val="1"/>
        <w:numFmt w:val="bullet"/>
        <w:lvlText w:val=""/>
        <w:lvlJc w:val="left"/>
        <w:pPr>
          <w:ind w:left="1080" w:hanging="360"/>
        </w:pPr>
        <w:rPr>
          <w:rFonts w:ascii="Symbol" w:hAnsi="Symbol" w:hint="default"/>
        </w:rPr>
      </w:lvl>
    </w:lvlOverride>
  </w:num>
  <w:num w:numId="18" w16cid:durableId="776407174">
    <w:abstractNumId w:val="13"/>
    <w:lvlOverride w:ilvl="0">
      <w:lvl w:ilvl="0">
        <w:start w:val="1"/>
        <w:numFmt w:val="decimal"/>
        <w:lvlText w:val="%1."/>
        <w:lvlJc w:val="left"/>
        <w:pPr>
          <w:tabs>
            <w:tab w:val="num" w:pos="720"/>
          </w:tabs>
          <w:ind w:left="720" w:hanging="360"/>
        </w:pPr>
      </w:lvl>
    </w:lvlOverride>
  </w:num>
  <w:num w:numId="19" w16cid:durableId="1110514761">
    <w:abstractNumId w:val="15"/>
    <w:lvlOverride w:ilvl="0">
      <w:lvl w:ilvl="0">
        <w:start w:val="1"/>
        <w:numFmt w:val="bullet"/>
        <w:lvlText w:val=""/>
        <w:lvlJc w:val="left"/>
        <w:pPr>
          <w:tabs>
            <w:tab w:val="num" w:pos="720"/>
          </w:tabs>
          <w:ind w:left="720" w:hanging="360"/>
        </w:pPr>
        <w:rPr>
          <w:rFonts w:ascii="Symbol" w:hAnsi="Symbol" w:hint="default"/>
          <w:sz w:val="20"/>
        </w:rPr>
      </w:lvl>
    </w:lvlOverride>
  </w:num>
  <w:num w:numId="20" w16cid:durableId="1564220993">
    <w:abstractNumId w:val="18"/>
    <w:lvlOverride w:ilvl="0">
      <w:lvl w:ilvl="0" w:tplc="08090001">
        <w:start w:val="1"/>
        <w:numFmt w:val="bullet"/>
        <w:lvlText w:val=""/>
        <w:lvlJc w:val="left"/>
        <w:pPr>
          <w:ind w:left="720" w:hanging="360"/>
        </w:pPr>
        <w:rPr>
          <w:rFonts w:ascii="Symbol" w:hAnsi="Symbol" w:hint="default"/>
        </w:rPr>
      </w:lvl>
    </w:lvlOverride>
  </w:num>
  <w:num w:numId="21" w16cid:durableId="1254627644">
    <w:abstractNumId w:val="16"/>
    <w:lvlOverride w:ilvl="0">
      <w:lvl w:ilvl="0" w:tplc="08090001">
        <w:start w:val="1"/>
        <w:numFmt w:val="bullet"/>
        <w:lvlText w:val=""/>
        <w:lvlJc w:val="left"/>
        <w:pPr>
          <w:ind w:left="720" w:hanging="360"/>
        </w:pPr>
        <w:rPr>
          <w:rFonts w:ascii="Symbol" w:hAnsi="Symbol" w:hint="default"/>
        </w:rPr>
      </w:lvl>
    </w:lvlOverride>
  </w:num>
  <w:num w:numId="22" w16cid:durableId="496725980">
    <w:abstractNumId w:val="12"/>
  </w:num>
  <w:num w:numId="23" w16cid:durableId="736971976">
    <w:abstractNumId w:val="10"/>
  </w:num>
  <w:num w:numId="24" w16cid:durableId="1728337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12"/>
    <w:rsid w:val="0006468A"/>
    <w:rsid w:val="00090574"/>
    <w:rsid w:val="0009186A"/>
    <w:rsid w:val="000C1C0E"/>
    <w:rsid w:val="000C548A"/>
    <w:rsid w:val="00195B5F"/>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73B2C"/>
    <w:rsid w:val="00383829"/>
    <w:rsid w:val="00387876"/>
    <w:rsid w:val="003E4898"/>
    <w:rsid w:val="003F4B29"/>
    <w:rsid w:val="0042686F"/>
    <w:rsid w:val="004317D8"/>
    <w:rsid w:val="00434183"/>
    <w:rsid w:val="00443869"/>
    <w:rsid w:val="00447F32"/>
    <w:rsid w:val="004B7334"/>
    <w:rsid w:val="004E11DC"/>
    <w:rsid w:val="00525DDD"/>
    <w:rsid w:val="005409AC"/>
    <w:rsid w:val="0055516A"/>
    <w:rsid w:val="00562A38"/>
    <w:rsid w:val="0058491B"/>
    <w:rsid w:val="00592EA5"/>
    <w:rsid w:val="005A3170"/>
    <w:rsid w:val="00677396"/>
    <w:rsid w:val="0069200F"/>
    <w:rsid w:val="006A65CB"/>
    <w:rsid w:val="006C3242"/>
    <w:rsid w:val="006C7CC0"/>
    <w:rsid w:val="006F63F7"/>
    <w:rsid w:val="007025C7"/>
    <w:rsid w:val="00706D7A"/>
    <w:rsid w:val="00722F0D"/>
    <w:rsid w:val="0074420E"/>
    <w:rsid w:val="00783E26"/>
    <w:rsid w:val="007A4A12"/>
    <w:rsid w:val="007B0AA0"/>
    <w:rsid w:val="007C3BC7"/>
    <w:rsid w:val="007C3BCD"/>
    <w:rsid w:val="007D4ACF"/>
    <w:rsid w:val="007F0787"/>
    <w:rsid w:val="00810B7B"/>
    <w:rsid w:val="0082358A"/>
    <w:rsid w:val="008235CD"/>
    <w:rsid w:val="008247DE"/>
    <w:rsid w:val="008339C0"/>
    <w:rsid w:val="00840B10"/>
    <w:rsid w:val="008513CB"/>
    <w:rsid w:val="00865AB8"/>
    <w:rsid w:val="008A7F84"/>
    <w:rsid w:val="008F0A27"/>
    <w:rsid w:val="0091702E"/>
    <w:rsid w:val="00923B0C"/>
    <w:rsid w:val="0094021C"/>
    <w:rsid w:val="00952F86"/>
    <w:rsid w:val="00974B51"/>
    <w:rsid w:val="00982B28"/>
    <w:rsid w:val="009D313F"/>
    <w:rsid w:val="00A269A4"/>
    <w:rsid w:val="00A47A5A"/>
    <w:rsid w:val="00A6683B"/>
    <w:rsid w:val="00A97F94"/>
    <w:rsid w:val="00AA7EA2"/>
    <w:rsid w:val="00B03099"/>
    <w:rsid w:val="00B05BC8"/>
    <w:rsid w:val="00B6080B"/>
    <w:rsid w:val="00B64B47"/>
    <w:rsid w:val="00B91B14"/>
    <w:rsid w:val="00B95654"/>
    <w:rsid w:val="00BA5B3F"/>
    <w:rsid w:val="00C002DE"/>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1587"/>
    <w:rsid w:val="00E45211"/>
    <w:rsid w:val="00E473C5"/>
    <w:rsid w:val="00E61BE8"/>
    <w:rsid w:val="00E92863"/>
    <w:rsid w:val="00E95327"/>
    <w:rsid w:val="00EB796D"/>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D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table" w:styleId="ListTable3">
    <w:name w:val="List Table 3"/>
    <w:basedOn w:val="TableNormal"/>
    <w:uiPriority w:val="48"/>
    <w:rsid w:val="007A4A1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7A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 w:id="162719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40/en" TargetMode="External"/><Relationship Id="rId18" Type="http://schemas.openxmlformats.org/officeDocument/2006/relationships/hyperlink" Target="https://www.itu.int/md/S23-CL-INF-0011/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4-CL-C-0053/en" TargetMode="External"/><Relationship Id="rId7" Type="http://schemas.openxmlformats.org/officeDocument/2006/relationships/endnotes" Target="endnotes.xml"/><Relationship Id="rId12" Type="http://schemas.openxmlformats.org/officeDocument/2006/relationships/hyperlink" Target="https://www.itu.int/md/S22-CL-INF-0013/en" TargetMode="External"/><Relationship Id="rId17" Type="http://schemas.openxmlformats.org/officeDocument/2006/relationships/hyperlink" Target="https://www.itu.int/md/S23-CL-C-0063/en"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3-CL-C-0050/en" TargetMode="External"/><Relationship Id="rId20" Type="http://schemas.openxmlformats.org/officeDocument/2006/relationships/hyperlink" Target="https://www.itu.int/md/S24-CL-C-0019/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INF-0015/en" TargetMode="External"/><Relationship Id="rId24" Type="http://schemas.openxmlformats.org/officeDocument/2006/relationships/hyperlink" Target="https://www.itu.int/md/S24-CL-C-0053/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CL-C-0036/en" TargetMode="External"/><Relationship Id="rId23" Type="http://schemas.openxmlformats.org/officeDocument/2006/relationships/image" Target="media/image1.png"/><Relationship Id="rId28" Type="http://schemas.openxmlformats.org/officeDocument/2006/relationships/image" Target="media/image3.png"/><Relationship Id="rId10" Type="http://schemas.openxmlformats.org/officeDocument/2006/relationships/hyperlink" Target="https://www.itu.int/md/S20-CL-C-0074/en" TargetMode="External"/><Relationship Id="rId19" Type="http://schemas.openxmlformats.org/officeDocument/2006/relationships/hyperlink" Target="https://www.itu.int/md/S23-CL-INF-0013/e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md/S20-CL-C-0061/en" TargetMode="External"/><Relationship Id="rId14" Type="http://schemas.openxmlformats.org/officeDocument/2006/relationships/hyperlink" Target="https://www.itu.int/md/S22-CL-C-0057/en" TargetMode="External"/><Relationship Id="rId22" Type="http://schemas.openxmlformats.org/officeDocument/2006/relationships/hyperlink" Target="https://www.itu.int/md/S24-CL-C-0031/en" TargetMode="External"/><Relationship Id="rId27" Type="http://schemas.openxmlformats.org/officeDocument/2006/relationships/footer" Target="footer2.xml"/><Relationship Id="rId30" Type="http://schemas.openxmlformats.org/officeDocument/2006/relationships/header" Target="header2.xml"/><Relationship Id="rId8" Type="http://schemas.openxmlformats.org/officeDocument/2006/relationships/hyperlink" Target="https://www.itu.int/md/S24-CL-C-001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2024-04-25T08:52:00Z</dcterms:created>
  <dcterms:modified xsi:type="dcterms:W3CDTF">2024-05-23T14:42:00Z</dcterms:modified>
  <cp:category>Conference document</cp:category>
</cp:coreProperties>
</file>