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0043AC80" w14:textId="77777777" w:rsidTr="71BAD9BC">
        <w:trPr>
          <w:cantSplit/>
          <w:trHeight w:val="23"/>
        </w:trPr>
        <w:tc>
          <w:tcPr>
            <w:tcW w:w="3969" w:type="dxa"/>
            <w:vMerge w:val="restart"/>
            <w:tcMar>
              <w:left w:w="0" w:type="dxa"/>
            </w:tcMar>
          </w:tcPr>
          <w:p w14:paraId="60A806D3" w14:textId="3DF48F1E"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Agenda item: </w:t>
            </w:r>
            <w:r w:rsidR="007F2B56">
              <w:rPr>
                <w:b/>
              </w:rPr>
              <w:t>PL.2</w:t>
            </w:r>
          </w:p>
        </w:tc>
        <w:tc>
          <w:tcPr>
            <w:tcW w:w="5245" w:type="dxa"/>
          </w:tcPr>
          <w:p w14:paraId="291AB2A2" w14:textId="5FABDC64" w:rsidR="00AD3606" w:rsidRPr="00E85629" w:rsidRDefault="00AD3606" w:rsidP="00472BAD">
            <w:pPr>
              <w:tabs>
                <w:tab w:val="left" w:pos="851"/>
              </w:tabs>
              <w:spacing w:before="0" w:line="240" w:lineRule="atLeast"/>
              <w:jc w:val="right"/>
              <w:rPr>
                <w:b/>
              </w:rPr>
            </w:pPr>
            <w:r>
              <w:rPr>
                <w:b/>
              </w:rPr>
              <w:t>Document C2</w:t>
            </w:r>
            <w:r w:rsidR="00E23618">
              <w:rPr>
                <w:b/>
              </w:rPr>
              <w:t>4</w:t>
            </w:r>
            <w:r>
              <w:rPr>
                <w:b/>
              </w:rPr>
              <w:t>/</w:t>
            </w:r>
            <w:r w:rsidR="007F2B56">
              <w:rPr>
                <w:b/>
              </w:rPr>
              <w:t>51</w:t>
            </w:r>
            <w:r>
              <w:rPr>
                <w:b/>
              </w:rPr>
              <w:t>-E</w:t>
            </w:r>
          </w:p>
        </w:tc>
      </w:tr>
      <w:tr w:rsidR="00AD3606" w:rsidRPr="00813E5E" w14:paraId="789B45BA" w14:textId="77777777" w:rsidTr="71BAD9BC">
        <w:trPr>
          <w:cantSplit/>
        </w:trPr>
        <w:tc>
          <w:tcPr>
            <w:tcW w:w="3969" w:type="dxa"/>
            <w:vMerge/>
          </w:tcPr>
          <w:p w14:paraId="3F3D4E17" w14:textId="77777777" w:rsidR="00AD3606" w:rsidRPr="00813E5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6CBB0DEC" w:rsidR="00AD3606" w:rsidRPr="00E85629" w:rsidRDefault="00F11B57" w:rsidP="00AD3606">
            <w:pPr>
              <w:tabs>
                <w:tab w:val="left" w:pos="851"/>
              </w:tabs>
              <w:spacing w:before="0"/>
              <w:jc w:val="right"/>
              <w:rPr>
                <w:b/>
              </w:rPr>
            </w:pPr>
            <w:r>
              <w:rPr>
                <w:b/>
              </w:rPr>
              <w:t>9 April</w:t>
            </w:r>
            <w:r w:rsidR="00AD3606">
              <w:rPr>
                <w:b/>
              </w:rPr>
              <w:t xml:space="preserve"> 202</w:t>
            </w:r>
            <w:r w:rsidR="00E23618">
              <w:rPr>
                <w:b/>
              </w:rPr>
              <w:t>4</w:t>
            </w:r>
          </w:p>
        </w:tc>
      </w:tr>
      <w:tr w:rsidR="00AD3606" w:rsidRPr="00813E5E" w14:paraId="58A84C4A" w14:textId="77777777" w:rsidTr="71BAD9BC">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E85629" w:rsidRDefault="00AD3606" w:rsidP="00AD3606">
            <w:pPr>
              <w:tabs>
                <w:tab w:val="left" w:pos="851"/>
              </w:tabs>
              <w:spacing w:before="0" w:line="240" w:lineRule="atLeast"/>
              <w:jc w:val="right"/>
              <w:rPr>
                <w:b/>
              </w:rPr>
            </w:pPr>
            <w:r>
              <w:rPr>
                <w:b/>
              </w:rPr>
              <w:t>Original: English</w:t>
            </w:r>
          </w:p>
        </w:tc>
      </w:tr>
      <w:tr w:rsidR="00472BAD" w:rsidRPr="00813E5E" w14:paraId="12C5EF5F" w14:textId="77777777" w:rsidTr="71BAD9BC">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71BAD9BC">
        <w:trPr>
          <w:cantSplit/>
        </w:trPr>
        <w:tc>
          <w:tcPr>
            <w:tcW w:w="9214" w:type="dxa"/>
            <w:gridSpan w:val="2"/>
            <w:tcMar>
              <w:left w:w="0" w:type="dxa"/>
            </w:tcMar>
          </w:tcPr>
          <w:p w14:paraId="4E7CDB90" w14:textId="61E08CAE" w:rsidR="00AD3606" w:rsidRPr="006850BE" w:rsidRDefault="00AD3606" w:rsidP="007F2B56">
            <w:pPr>
              <w:pStyle w:val="Source"/>
              <w:framePr w:hSpace="0" w:wrap="auto" w:vAnchor="margin" w:hAnchor="text" w:xAlign="left" w:yAlign="inline"/>
            </w:pPr>
            <w:bookmarkStart w:id="8" w:name="dsource" w:colFirst="0" w:colLast="0"/>
            <w:bookmarkEnd w:id="7"/>
          </w:p>
        </w:tc>
      </w:tr>
      <w:tr w:rsidR="00AD3606" w:rsidRPr="00813E5E" w14:paraId="2340750D" w14:textId="77777777" w:rsidTr="71BAD9BC">
        <w:trPr>
          <w:cantSplit/>
        </w:trPr>
        <w:tc>
          <w:tcPr>
            <w:tcW w:w="9214" w:type="dxa"/>
            <w:gridSpan w:val="2"/>
            <w:tcMar>
              <w:left w:w="0" w:type="dxa"/>
            </w:tcMar>
          </w:tcPr>
          <w:p w14:paraId="47B91AA8" w14:textId="27999D9E" w:rsidR="00AD3606" w:rsidRPr="006850BE" w:rsidRDefault="007F2B56" w:rsidP="007F2B56">
            <w:pPr>
              <w:pStyle w:val="Subtitle1"/>
              <w:framePr w:hSpace="0" w:wrap="auto" w:xAlign="left" w:yAlign="inline"/>
            </w:pPr>
            <w:bookmarkStart w:id="9" w:name="dtitle1" w:colFirst="0" w:colLast="0"/>
            <w:bookmarkEnd w:id="8"/>
            <w:r>
              <w:t xml:space="preserve">REPORT BY THE CHAIR OF THE COUNCIL WORKING GROUP ON </w:t>
            </w:r>
            <w:r>
              <w:br/>
              <w:t xml:space="preserve">INTERNATIONAL INTERNET-RELATED PUBLIC POLICY ISSUES </w:t>
            </w:r>
            <w:r>
              <w:br/>
              <w:t>(CWG-INTERNET)</w:t>
            </w:r>
          </w:p>
        </w:tc>
      </w:tr>
      <w:tr w:rsidR="00AD3606" w:rsidRPr="00813E5E" w14:paraId="1F564D2D" w14:textId="77777777" w:rsidTr="71BAD9BC">
        <w:trPr>
          <w:cantSplit/>
        </w:trPr>
        <w:tc>
          <w:tcPr>
            <w:tcW w:w="9214" w:type="dxa"/>
            <w:gridSpan w:val="2"/>
            <w:tcBorders>
              <w:top w:val="single" w:sz="4" w:space="0" w:color="auto"/>
              <w:bottom w:val="single" w:sz="4" w:space="0" w:color="auto"/>
            </w:tcBorders>
            <w:tcMar>
              <w:left w:w="0" w:type="dxa"/>
            </w:tcMar>
          </w:tcPr>
          <w:p w14:paraId="7AD73B47" w14:textId="1F588697" w:rsidR="00AD3606" w:rsidRPr="00F16BAB" w:rsidRDefault="00F16BAB" w:rsidP="00F16BAB">
            <w:pPr>
              <w:spacing w:before="160"/>
              <w:rPr>
                <w:b/>
                <w:bCs/>
                <w:sz w:val="26"/>
                <w:szCs w:val="26"/>
              </w:rPr>
            </w:pPr>
            <w:r w:rsidRPr="00F16BAB">
              <w:rPr>
                <w:b/>
                <w:bCs/>
                <w:sz w:val="26"/>
                <w:szCs w:val="26"/>
              </w:rPr>
              <w:t>Purpose</w:t>
            </w:r>
          </w:p>
          <w:p w14:paraId="2E09FE8B" w14:textId="23CD636A" w:rsidR="00AD3606" w:rsidRPr="00813E5E" w:rsidRDefault="007F2B56" w:rsidP="00691B64">
            <w:pPr>
              <w:jc w:val="both"/>
            </w:pPr>
            <w:r w:rsidRPr="004F0D87">
              <w:rPr>
                <w:spacing w:val="4"/>
              </w:rPr>
              <w:t>This report summarizes the main results of the eighteenth and nineteenth meeting of</w:t>
            </w:r>
            <w:r w:rsidRPr="007F2B56">
              <w:t xml:space="preserve"> CWG-Internet, held on 18 October 2023 and 31 January-1 February 2024 respectively, in line with Resolutions 102 (Rev. Bucharest, 2022) and 140 (Rev. Bucharest, 2022)</w:t>
            </w:r>
            <w:r w:rsidR="00691B64">
              <w:t xml:space="preserve"> of the Plenipotentiary Conference</w:t>
            </w:r>
            <w:r w:rsidRPr="007F2B56">
              <w:t>, and Council Resolutions 1305 (</w:t>
            </w:r>
            <w:r w:rsidR="00691B64">
              <w:t>C09, last amended C19</w:t>
            </w:r>
            <w:r w:rsidRPr="007F2B56">
              <w:t>) and 1336 (</w:t>
            </w:r>
            <w:r w:rsidR="00691B64">
              <w:t>C11, last amended C19</w:t>
            </w:r>
            <w:r w:rsidRPr="007F2B56">
              <w:t>).</w:t>
            </w:r>
          </w:p>
          <w:p w14:paraId="5076D5C4" w14:textId="77777777" w:rsidR="00AD3606" w:rsidRPr="00F16BAB" w:rsidRDefault="00AD3606" w:rsidP="00F16BAB">
            <w:pPr>
              <w:spacing w:before="160"/>
              <w:rPr>
                <w:b/>
                <w:bCs/>
                <w:sz w:val="26"/>
                <w:szCs w:val="26"/>
              </w:rPr>
            </w:pPr>
            <w:r w:rsidRPr="00F16BAB">
              <w:rPr>
                <w:b/>
                <w:bCs/>
                <w:sz w:val="26"/>
                <w:szCs w:val="26"/>
              </w:rPr>
              <w:t>Action required</w:t>
            </w:r>
            <w:r w:rsidR="00F16BAB" w:rsidRPr="00F16BAB">
              <w:rPr>
                <w:b/>
                <w:bCs/>
                <w:sz w:val="26"/>
                <w:szCs w:val="26"/>
              </w:rPr>
              <w:t xml:space="preserve"> by the Council</w:t>
            </w:r>
          </w:p>
          <w:p w14:paraId="79F38DAD" w14:textId="1BADE12D" w:rsidR="00AD3606" w:rsidRPr="00484009" w:rsidRDefault="007F2B56" w:rsidP="00AD3606">
            <w:r w:rsidRPr="007F2B56">
              <w:t xml:space="preserve">The Council is invited </w:t>
            </w:r>
            <w:r w:rsidRPr="007F2B56">
              <w:rPr>
                <w:b/>
                <w:bCs/>
              </w:rPr>
              <w:t>to note</w:t>
            </w:r>
            <w:r w:rsidRPr="007F2B56">
              <w:t xml:space="preserve"> the report.</w:t>
            </w:r>
          </w:p>
          <w:p w14:paraId="0F8F1F03" w14:textId="23731E1F" w:rsidR="00F16BAB" w:rsidRDefault="00F16BAB" w:rsidP="00F16BAB">
            <w:pPr>
              <w:spacing w:before="160"/>
              <w:rPr>
                <w:b/>
                <w:bCs/>
                <w:sz w:val="26"/>
                <w:szCs w:val="26"/>
              </w:rPr>
            </w:pPr>
            <w:r w:rsidRPr="71BAD9BC">
              <w:rPr>
                <w:b/>
                <w:bCs/>
                <w:sz w:val="26"/>
                <w:szCs w:val="26"/>
              </w:rPr>
              <w:t>Relevant link</w:t>
            </w:r>
            <w:r w:rsidR="00691B64">
              <w:rPr>
                <w:b/>
                <w:bCs/>
                <w:sz w:val="26"/>
                <w:szCs w:val="26"/>
              </w:rPr>
              <w:t>(s)</w:t>
            </w:r>
            <w:r w:rsidRPr="71BAD9BC">
              <w:rPr>
                <w:b/>
                <w:bCs/>
                <w:sz w:val="26"/>
                <w:szCs w:val="26"/>
              </w:rPr>
              <w:t xml:space="preserve"> with the Strategic Plan</w:t>
            </w:r>
          </w:p>
          <w:p w14:paraId="00A55EA1" w14:textId="125757D7" w:rsidR="00F16BAB" w:rsidRPr="00F16BAB" w:rsidRDefault="00AE343C" w:rsidP="00F16BAB">
            <w:r w:rsidRPr="00AE343C">
              <w:t>Membership Driven</w:t>
            </w:r>
            <w:r w:rsidR="00691B64">
              <w:t>.</w:t>
            </w:r>
          </w:p>
          <w:p w14:paraId="632C043A" w14:textId="165371C1" w:rsidR="00F16BAB" w:rsidRDefault="00F16BAB" w:rsidP="00F16BAB">
            <w:pPr>
              <w:spacing w:before="160"/>
              <w:rPr>
                <w:b/>
                <w:bCs/>
                <w:sz w:val="26"/>
                <w:szCs w:val="26"/>
              </w:rPr>
            </w:pPr>
            <w:r>
              <w:rPr>
                <w:b/>
                <w:bCs/>
                <w:sz w:val="26"/>
                <w:szCs w:val="26"/>
              </w:rPr>
              <w:t xml:space="preserve">Financial implications </w:t>
            </w:r>
          </w:p>
          <w:p w14:paraId="3DD8195B" w14:textId="28C485F3" w:rsidR="007F2B56" w:rsidRPr="00AB7A39" w:rsidRDefault="005759E1" w:rsidP="71BAD9BC">
            <w:pPr>
              <w:spacing w:before="160"/>
              <w:rPr>
                <w:szCs w:val="24"/>
                <w:highlight w:val="yellow"/>
                <w:lang w:val="en-US"/>
              </w:rPr>
            </w:pPr>
            <w:r w:rsidRPr="00AB7A39">
              <w:rPr>
                <w:szCs w:val="24"/>
                <w:lang w:val="en-US"/>
              </w:rPr>
              <w:t>Within the allocated budget 2024-2025.</w:t>
            </w:r>
          </w:p>
          <w:p w14:paraId="2AAB18B0" w14:textId="77777777" w:rsidR="00AD3606" w:rsidRPr="00813E5E" w:rsidRDefault="00AD3606" w:rsidP="00F16BAB">
            <w:pPr>
              <w:spacing w:before="160"/>
              <w:rPr>
                <w:caps/>
                <w:sz w:val="22"/>
              </w:rPr>
            </w:pPr>
            <w:r w:rsidRPr="00813E5E">
              <w:rPr>
                <w:sz w:val="22"/>
              </w:rPr>
              <w:t>____________</w:t>
            </w:r>
            <w:r>
              <w:rPr>
                <w:sz w:val="22"/>
              </w:rPr>
              <w:t>______</w:t>
            </w:r>
          </w:p>
          <w:p w14:paraId="00DEE14C" w14:textId="77777777" w:rsidR="00AD3606" w:rsidRDefault="00AD3606" w:rsidP="00F16BAB">
            <w:pPr>
              <w:spacing w:before="160"/>
              <w:rPr>
                <w:b/>
                <w:bCs/>
                <w:sz w:val="26"/>
                <w:szCs w:val="26"/>
              </w:rPr>
            </w:pPr>
            <w:r w:rsidRPr="00F16BAB">
              <w:rPr>
                <w:b/>
                <w:bCs/>
                <w:sz w:val="26"/>
                <w:szCs w:val="26"/>
              </w:rPr>
              <w:t>References</w:t>
            </w:r>
          </w:p>
          <w:p w14:paraId="7156D70F" w14:textId="77777777" w:rsidR="007F2B56" w:rsidRPr="007F2B56" w:rsidRDefault="009B310A" w:rsidP="007F2B56">
            <w:pPr>
              <w:rPr>
                <w:bCs/>
                <w:i/>
                <w:iCs/>
                <w:sz w:val="22"/>
                <w:szCs w:val="22"/>
                <w:lang w:val="en-US"/>
              </w:rPr>
            </w:pPr>
            <w:hyperlink r:id="rId11" w:history="1">
              <w:r w:rsidR="007F2B56" w:rsidRPr="007F2B56">
                <w:rPr>
                  <w:rStyle w:val="Hyperlink"/>
                  <w:bCs/>
                  <w:i/>
                  <w:iCs/>
                  <w:sz w:val="22"/>
                  <w:szCs w:val="22"/>
                  <w:lang w:val="en-US"/>
                </w:rPr>
                <w:t>Resolution 102 (</w:t>
              </w:r>
              <w:r w:rsidR="007F2B56" w:rsidRPr="007F2B56">
                <w:rPr>
                  <w:rStyle w:val="Hyperlink"/>
                  <w:bCs/>
                  <w:i/>
                  <w:iCs/>
                  <w:sz w:val="22"/>
                  <w:szCs w:val="22"/>
                </w:rPr>
                <w:t>Rev. Bucharest, 2022</w:t>
              </w:r>
              <w:r w:rsidR="007F2B56" w:rsidRPr="007F2B56">
                <w:rPr>
                  <w:rStyle w:val="Hyperlink"/>
                  <w:bCs/>
                  <w:i/>
                  <w:iCs/>
                  <w:sz w:val="22"/>
                  <w:szCs w:val="22"/>
                  <w:lang w:val="en-US"/>
                </w:rPr>
                <w:t>)</w:t>
              </w:r>
              <w:r w:rsidR="007F2B56" w:rsidRPr="007F2B56">
                <w:rPr>
                  <w:rStyle w:val="Hyperlink"/>
                  <w:bCs/>
                  <w:i/>
                  <w:iCs/>
                  <w:color w:val="auto"/>
                  <w:sz w:val="22"/>
                  <w:szCs w:val="22"/>
                  <w:u w:val="none"/>
                  <w:lang w:val="en-US"/>
                </w:rPr>
                <w:t>,</w:t>
              </w:r>
            </w:hyperlink>
            <w:r w:rsidR="007F2B56" w:rsidRPr="007F2B56">
              <w:rPr>
                <w:bCs/>
                <w:i/>
                <w:iCs/>
                <w:sz w:val="22"/>
                <w:szCs w:val="22"/>
                <w:lang w:val="en-US"/>
              </w:rPr>
              <w:t xml:space="preserve"> </w:t>
            </w:r>
            <w:hyperlink r:id="rId12" w:history="1">
              <w:r w:rsidR="007F2B56" w:rsidRPr="007F2B56">
                <w:rPr>
                  <w:rStyle w:val="Hyperlink"/>
                  <w:bCs/>
                  <w:i/>
                  <w:iCs/>
                  <w:sz w:val="22"/>
                  <w:szCs w:val="22"/>
                  <w:lang w:val="en-US"/>
                </w:rPr>
                <w:t>Resolution 140 (</w:t>
              </w:r>
              <w:r w:rsidR="007F2B56" w:rsidRPr="007F2B56">
                <w:rPr>
                  <w:rStyle w:val="Hyperlink"/>
                  <w:bCs/>
                  <w:i/>
                  <w:iCs/>
                  <w:sz w:val="22"/>
                  <w:szCs w:val="22"/>
                </w:rPr>
                <w:t>Rev. Bucharest, 2022</w:t>
              </w:r>
              <w:r w:rsidR="007F2B56" w:rsidRPr="007F2B56">
                <w:rPr>
                  <w:rStyle w:val="Hyperlink"/>
                  <w:bCs/>
                  <w:i/>
                  <w:iCs/>
                  <w:sz w:val="22"/>
                  <w:szCs w:val="22"/>
                  <w:lang w:val="en-US"/>
                </w:rPr>
                <w:t>)</w:t>
              </w:r>
            </w:hyperlink>
          </w:p>
          <w:p w14:paraId="0175CD6C" w14:textId="2B855BC7" w:rsidR="00AD3606" w:rsidRDefault="007F2B56" w:rsidP="007F2B56">
            <w:pPr>
              <w:spacing w:before="0" w:after="160"/>
            </w:pPr>
            <w:r w:rsidRPr="007F2B56">
              <w:rPr>
                <w:i/>
                <w:iCs/>
                <w:sz w:val="22"/>
                <w:szCs w:val="22"/>
                <w:lang w:val="en-US"/>
              </w:rPr>
              <w:t xml:space="preserve">Council Resolutions </w:t>
            </w:r>
            <w:hyperlink r:id="rId13" w:history="1">
              <w:r w:rsidRPr="007F2B56">
                <w:rPr>
                  <w:rStyle w:val="Hyperlink"/>
                  <w:i/>
                  <w:iCs/>
                  <w:sz w:val="22"/>
                  <w:szCs w:val="22"/>
                  <w:lang w:val="en-US"/>
                </w:rPr>
                <w:t>1305 (</w:t>
              </w:r>
              <w:r w:rsidRPr="007F2B56">
                <w:rPr>
                  <w:rStyle w:val="Hyperlink"/>
                  <w:i/>
                  <w:iCs/>
                  <w:sz w:val="22"/>
                  <w:szCs w:val="22"/>
                </w:rPr>
                <w:t>Mod. 2019</w:t>
              </w:r>
              <w:r w:rsidRPr="007F2B56">
                <w:rPr>
                  <w:rStyle w:val="Hyperlink"/>
                  <w:i/>
                  <w:iCs/>
                  <w:sz w:val="22"/>
                  <w:szCs w:val="22"/>
                  <w:lang w:val="en-US"/>
                </w:rPr>
                <w:t>)</w:t>
              </w:r>
            </w:hyperlink>
            <w:r w:rsidRPr="007F2B56">
              <w:rPr>
                <w:i/>
                <w:iCs/>
                <w:sz w:val="22"/>
                <w:szCs w:val="22"/>
                <w:lang w:val="en-US"/>
              </w:rPr>
              <w:t xml:space="preserve">, </w:t>
            </w:r>
            <w:hyperlink r:id="rId14" w:history="1">
              <w:r w:rsidRPr="007F2B56">
                <w:rPr>
                  <w:rStyle w:val="Hyperlink"/>
                  <w:i/>
                  <w:iCs/>
                  <w:sz w:val="22"/>
                  <w:szCs w:val="22"/>
                  <w:lang w:val="en-US"/>
                </w:rPr>
                <w:t>1336 (</w:t>
              </w:r>
              <w:r w:rsidRPr="007F2B56">
                <w:rPr>
                  <w:rStyle w:val="Hyperlink"/>
                  <w:i/>
                  <w:iCs/>
                  <w:sz w:val="22"/>
                  <w:szCs w:val="22"/>
                </w:rPr>
                <w:t>Mod. 2019</w:t>
              </w:r>
              <w:r w:rsidRPr="007F2B56">
                <w:rPr>
                  <w:rStyle w:val="Hyperlink"/>
                  <w:i/>
                  <w:iCs/>
                  <w:sz w:val="22"/>
                  <w:szCs w:val="22"/>
                  <w:lang w:val="en-US"/>
                </w:rPr>
                <w:t>)</w:t>
              </w:r>
            </w:hyperlink>
          </w:p>
        </w:tc>
      </w:tr>
    </w:tbl>
    <w:p w14:paraId="4CDB8B60" w14:textId="2A4D9B15" w:rsidR="00E227F3"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Pr>
          <w:lang w:val="es-ES"/>
        </w:rPr>
        <w:br w:type="page"/>
      </w:r>
    </w:p>
    <w:bookmarkEnd w:id="5"/>
    <w:bookmarkEnd w:id="10"/>
    <w:p w14:paraId="66028F89" w14:textId="77777777" w:rsidR="007F2B56" w:rsidRDefault="007F2B56" w:rsidP="007F2B56">
      <w:pPr>
        <w:pStyle w:val="Normalaftertitle"/>
        <w:tabs>
          <w:tab w:val="clear" w:pos="567"/>
          <w:tab w:val="clear" w:pos="1134"/>
          <w:tab w:val="clear" w:pos="1701"/>
          <w:tab w:val="clear" w:pos="2268"/>
          <w:tab w:val="clear" w:pos="2835"/>
        </w:tabs>
        <w:spacing w:before="480" w:after="120"/>
        <w:jc w:val="both"/>
        <w:rPr>
          <w:rStyle w:val="None"/>
          <w:b/>
          <w:bCs/>
        </w:rPr>
      </w:pPr>
      <w:r w:rsidRPr="0091049F">
        <w:rPr>
          <w:b/>
          <w:bCs/>
          <w:szCs w:val="24"/>
          <w:lang w:val="en-US"/>
        </w:rPr>
        <w:lastRenderedPageBreak/>
        <w:t>1.</w:t>
      </w:r>
      <w:r w:rsidRPr="00593E5B">
        <w:rPr>
          <w:szCs w:val="24"/>
          <w:lang w:val="en-US"/>
        </w:rPr>
        <w:tab/>
      </w:r>
      <w:r>
        <w:rPr>
          <w:rStyle w:val="None"/>
          <w:rFonts w:eastAsia="Calibri" w:cs="Calibri"/>
          <w:b/>
          <w:bCs/>
          <w:lang w:val="en-US"/>
        </w:rPr>
        <w:t>Introduction</w:t>
      </w:r>
    </w:p>
    <w:p w14:paraId="0B497941" w14:textId="4499032C" w:rsidR="007F2B56" w:rsidRDefault="007F2B56" w:rsidP="007F2B56">
      <w:pPr>
        <w:pStyle w:val="Normalaftertitle"/>
        <w:tabs>
          <w:tab w:val="clear" w:pos="567"/>
          <w:tab w:val="clear" w:pos="1134"/>
          <w:tab w:val="clear" w:pos="1701"/>
          <w:tab w:val="clear" w:pos="2268"/>
          <w:tab w:val="clear" w:pos="2835"/>
        </w:tabs>
        <w:spacing w:before="120" w:after="120"/>
        <w:jc w:val="both"/>
      </w:pPr>
      <w:r w:rsidRPr="00A37152">
        <w:rPr>
          <w:rStyle w:val="None"/>
          <w:rFonts w:eastAsia="Calibri" w:cs="Calibri"/>
          <w:bCs/>
          <w:lang w:val="en-US"/>
        </w:rPr>
        <w:t>1.1</w:t>
      </w:r>
      <w:r w:rsidRPr="00A37152">
        <w:tab/>
      </w:r>
      <w:r w:rsidRPr="00A37152">
        <w:rPr>
          <w:rStyle w:val="None"/>
          <w:lang w:val="en-US"/>
        </w:rPr>
        <w:t>The</w:t>
      </w:r>
      <w:r>
        <w:rPr>
          <w:rStyle w:val="None"/>
          <w:lang w:val="en-US"/>
        </w:rPr>
        <w:t xml:space="preserve"> </w:t>
      </w:r>
      <w:hyperlink r:id="rId15" w:history="1">
        <w:r w:rsidRPr="00B075BE">
          <w:rPr>
            <w:rStyle w:val="Hyperlink"/>
            <w:lang w:val="en-US"/>
          </w:rPr>
          <w:t>ITU Council Working Group on International Internet-related Public Policy Issues (CWG-Internet)</w:t>
        </w:r>
      </w:hyperlink>
      <w:r>
        <w:rPr>
          <w:lang w:val="en-US"/>
        </w:rPr>
        <w:t xml:space="preserve"> was established as a separate group by Council Resolution 1336 (</w:t>
      </w:r>
      <w:r w:rsidR="00691B64">
        <w:rPr>
          <w:lang w:val="en-US"/>
        </w:rPr>
        <w:t>Mod. 2019</w:t>
      </w:r>
      <w:r>
        <w:rPr>
          <w:lang w:val="en-US"/>
        </w:rPr>
        <w:t>), in accordance with Resolutions 102 and 140 of the ITU Plenipotentiary Conference (Rev. Bucharest, 2022). CWG-Internet is limited to Member States, with open consultation to all stakeholders.</w:t>
      </w:r>
    </w:p>
    <w:p w14:paraId="1CBD571B" w14:textId="77777777" w:rsidR="007F2B56" w:rsidRDefault="007F2B56" w:rsidP="007F2B56">
      <w:pPr>
        <w:pStyle w:val="Normalaftertitle"/>
        <w:tabs>
          <w:tab w:val="clear" w:pos="567"/>
          <w:tab w:val="clear" w:pos="1134"/>
          <w:tab w:val="clear" w:pos="1701"/>
          <w:tab w:val="clear" w:pos="2268"/>
          <w:tab w:val="clear" w:pos="2835"/>
        </w:tabs>
        <w:spacing w:before="120" w:after="120"/>
        <w:jc w:val="both"/>
      </w:pPr>
      <w:r w:rsidRPr="00A37152">
        <w:rPr>
          <w:rStyle w:val="None"/>
          <w:rFonts w:eastAsia="Calibri" w:cs="Calibri"/>
          <w:bCs/>
          <w:lang w:val="en-US"/>
        </w:rPr>
        <w:t>1.2</w:t>
      </w:r>
      <w:r w:rsidRPr="00A37152">
        <w:tab/>
        <w:t>The</w:t>
      </w:r>
      <w:r>
        <w:t xml:space="preserve"> terms of reference for CWG-Internet are specified in Council Resolution 1336 (Mod. 2019).</w:t>
      </w:r>
    </w:p>
    <w:p w14:paraId="26C36BE5" w14:textId="77777777" w:rsidR="007F2B56" w:rsidRDefault="007F2B56" w:rsidP="007F2B56">
      <w:pPr>
        <w:pStyle w:val="Normalaftertitle"/>
        <w:tabs>
          <w:tab w:val="clear" w:pos="567"/>
          <w:tab w:val="clear" w:pos="1134"/>
          <w:tab w:val="clear" w:pos="1701"/>
          <w:tab w:val="clear" w:pos="2268"/>
          <w:tab w:val="clear" w:pos="2835"/>
        </w:tabs>
        <w:spacing w:before="120" w:after="120"/>
        <w:jc w:val="both"/>
      </w:pPr>
      <w:r w:rsidRPr="00A37152">
        <w:rPr>
          <w:rStyle w:val="None"/>
          <w:rFonts w:eastAsia="Calibri" w:cs="Calibri"/>
          <w:bCs/>
          <w:lang w:val="en-US"/>
        </w:rPr>
        <w:t>1.3</w:t>
      </w:r>
      <w:r w:rsidRPr="00A37152">
        <w:tab/>
        <w:t xml:space="preserve">Plenipotentiary Conference Resolution 102 (Rev. </w:t>
      </w:r>
      <w:r>
        <w:t>Bucharest, 2022</w:t>
      </w:r>
      <w:r w:rsidRPr="00A37152">
        <w:t xml:space="preserve">) instructed the Council </w:t>
      </w:r>
    </w:p>
    <w:p w14:paraId="320EF5CD" w14:textId="77777777" w:rsidR="007F2B56" w:rsidRDefault="007F2B56" w:rsidP="007F2B56">
      <w:pPr>
        <w:pStyle w:val="Normalaftertitle"/>
        <w:numPr>
          <w:ilvl w:val="0"/>
          <w:numId w:val="2"/>
        </w:numPr>
        <w:tabs>
          <w:tab w:val="clear" w:pos="567"/>
          <w:tab w:val="clear" w:pos="1134"/>
          <w:tab w:val="clear" w:pos="1701"/>
          <w:tab w:val="clear" w:pos="2268"/>
          <w:tab w:val="clear" w:pos="2835"/>
        </w:tabs>
        <w:spacing w:before="120" w:after="120"/>
        <w:jc w:val="both"/>
      </w:pPr>
      <w:r w:rsidRPr="00A37152">
        <w:t xml:space="preserve">to direct the CWG-Internet, limited to Member States with open consultation to all stakeholders, and to conduct such open consultation according to the guidelines mentioned in the </w:t>
      </w:r>
      <w:r>
        <w:t>r</w:t>
      </w:r>
      <w:r w:rsidRPr="00A37152">
        <w:t>esolution</w:t>
      </w:r>
      <w:r>
        <w:t>;</w:t>
      </w:r>
    </w:p>
    <w:p w14:paraId="02F88980" w14:textId="77777777" w:rsidR="007F2B56" w:rsidRDefault="007F2B56" w:rsidP="007F2B56">
      <w:pPr>
        <w:pStyle w:val="Normalaftertitle"/>
        <w:numPr>
          <w:ilvl w:val="0"/>
          <w:numId w:val="2"/>
        </w:numPr>
        <w:tabs>
          <w:tab w:val="clear" w:pos="567"/>
          <w:tab w:val="clear" w:pos="1134"/>
          <w:tab w:val="clear" w:pos="1701"/>
          <w:tab w:val="clear" w:pos="2268"/>
          <w:tab w:val="clear" w:pos="2835"/>
        </w:tabs>
        <w:spacing w:before="120" w:after="120"/>
        <w:jc w:val="both"/>
      </w:pPr>
      <w:r w:rsidRPr="0028456C">
        <w:t xml:space="preserve">taking into account the annual reports presented by the Secretary-General and the Directors of the Bureaux, to take appropriate measures in order to contribute actively to the implementation of this resolution and international initiatives related to this resolution, within the mandate of ITU; </w:t>
      </w:r>
    </w:p>
    <w:p w14:paraId="13BFA6AE" w14:textId="77777777" w:rsidR="007F2B56" w:rsidRDefault="007F2B56" w:rsidP="007F2B56">
      <w:pPr>
        <w:pStyle w:val="Normalaftertitle"/>
        <w:numPr>
          <w:ilvl w:val="0"/>
          <w:numId w:val="2"/>
        </w:numPr>
        <w:tabs>
          <w:tab w:val="clear" w:pos="567"/>
          <w:tab w:val="clear" w:pos="1134"/>
          <w:tab w:val="clear" w:pos="1701"/>
          <w:tab w:val="clear" w:pos="2268"/>
          <w:tab w:val="clear" w:pos="2835"/>
        </w:tabs>
        <w:spacing w:before="120" w:after="120"/>
        <w:jc w:val="both"/>
      </w:pPr>
      <w:r w:rsidRPr="0028456C">
        <w:t xml:space="preserve">to consider the reports of CWG-Internet and take the necessary actions; </w:t>
      </w:r>
    </w:p>
    <w:p w14:paraId="3A6A1703" w14:textId="77777777" w:rsidR="007F2B56" w:rsidRPr="0028456C" w:rsidRDefault="007F2B56" w:rsidP="007F2B56">
      <w:pPr>
        <w:pStyle w:val="Normalaftertitle"/>
        <w:numPr>
          <w:ilvl w:val="0"/>
          <w:numId w:val="2"/>
        </w:numPr>
        <w:tabs>
          <w:tab w:val="clear" w:pos="567"/>
          <w:tab w:val="clear" w:pos="1134"/>
          <w:tab w:val="clear" w:pos="1701"/>
          <w:tab w:val="clear" w:pos="2268"/>
          <w:tab w:val="clear" w:pos="2835"/>
        </w:tabs>
        <w:spacing w:before="120" w:after="120"/>
        <w:jc w:val="both"/>
      </w:pPr>
      <w:r w:rsidRPr="0028456C">
        <w:t>to report to the 2026 plenipotentiary conference on the activities undertaken and achievements in respect of the implementation of this resolution, including proposals for further consideration as appropriate</w:t>
      </w:r>
      <w:r>
        <w:t>.</w:t>
      </w:r>
    </w:p>
    <w:p w14:paraId="1301A89B" w14:textId="034C6A7E" w:rsidR="007F2B56" w:rsidRDefault="007F2B56" w:rsidP="007F2B56">
      <w:pPr>
        <w:pStyle w:val="Normalaftertitle"/>
        <w:spacing w:before="360" w:after="120"/>
        <w:rPr>
          <w:rStyle w:val="None"/>
          <w:b/>
          <w:bCs/>
        </w:rPr>
      </w:pPr>
      <w:r>
        <w:rPr>
          <w:rStyle w:val="None"/>
          <w:rFonts w:eastAsia="Calibri" w:cs="Calibri"/>
          <w:b/>
          <w:bCs/>
          <w:lang w:val="en-US"/>
        </w:rPr>
        <w:t>2</w:t>
      </w:r>
      <w:r>
        <w:rPr>
          <w:rStyle w:val="None"/>
          <w:rFonts w:eastAsia="Calibri" w:cs="Calibri"/>
          <w:b/>
          <w:bCs/>
          <w:lang w:val="en-US"/>
        </w:rPr>
        <w:tab/>
        <w:t>CWG-Internet activities</w:t>
      </w:r>
    </w:p>
    <w:p w14:paraId="41AE05F8" w14:textId="6E4ED4A3" w:rsidR="007F2B56" w:rsidRPr="00902694" w:rsidRDefault="007F2B56" w:rsidP="007F2B56">
      <w:pPr>
        <w:pStyle w:val="BodyAA"/>
        <w:tabs>
          <w:tab w:val="clear" w:pos="567"/>
          <w:tab w:val="clear" w:pos="1134"/>
          <w:tab w:val="clear" w:pos="1701"/>
          <w:tab w:val="clear" w:pos="2268"/>
          <w:tab w:val="clear" w:pos="2835"/>
        </w:tabs>
        <w:spacing w:after="120"/>
        <w:jc w:val="both"/>
        <w:rPr>
          <w:rStyle w:val="None"/>
          <w:bCs/>
        </w:rPr>
      </w:pPr>
      <w:r>
        <w:rPr>
          <w:rStyle w:val="None"/>
          <w:bCs/>
        </w:rPr>
        <w:t>2.1</w:t>
      </w:r>
      <w:r>
        <w:rPr>
          <w:rStyle w:val="None"/>
          <w:bCs/>
        </w:rPr>
        <w:tab/>
      </w:r>
      <w:r w:rsidRPr="00902694">
        <w:rPr>
          <w:rStyle w:val="None"/>
          <w:bCs/>
        </w:rPr>
        <w:t xml:space="preserve">CWG-Internet held </w:t>
      </w:r>
      <w:r>
        <w:rPr>
          <w:rStyle w:val="None"/>
          <w:bCs/>
        </w:rPr>
        <w:t xml:space="preserve">its </w:t>
      </w:r>
      <w:r>
        <w:t>eighteenth and nineteenth meeting</w:t>
      </w:r>
      <w:r w:rsidRPr="002A03AA">
        <w:t xml:space="preserve"> of CWG-Internet on </w:t>
      </w:r>
      <w:r>
        <w:t>18 October 2023 and 31 January-1 February 2024, respectively,</w:t>
      </w:r>
      <w:r w:rsidRPr="00902694">
        <w:rPr>
          <w:rStyle w:val="None"/>
          <w:bCs/>
        </w:rPr>
        <w:t xml:space="preserve"> at the ITU Headquarters in Geneva, Switzerland</w:t>
      </w:r>
      <w:r>
        <w:rPr>
          <w:rStyle w:val="None"/>
          <w:bCs/>
        </w:rPr>
        <w:t>.</w:t>
      </w:r>
      <w:r w:rsidRPr="00902694">
        <w:rPr>
          <w:rStyle w:val="None"/>
          <w:bCs/>
        </w:rPr>
        <w:t xml:space="preserve"> </w:t>
      </w:r>
    </w:p>
    <w:p w14:paraId="4C27D5C2" w14:textId="630602A8" w:rsidR="007F2B56" w:rsidRDefault="007F2B56" w:rsidP="007F2B56">
      <w:pPr>
        <w:pStyle w:val="BodyAA"/>
        <w:tabs>
          <w:tab w:val="clear" w:pos="567"/>
          <w:tab w:val="clear" w:pos="1134"/>
          <w:tab w:val="clear" w:pos="1701"/>
          <w:tab w:val="clear" w:pos="2268"/>
          <w:tab w:val="clear" w:pos="2835"/>
        </w:tabs>
        <w:spacing w:after="120"/>
        <w:jc w:val="both"/>
      </w:pPr>
      <w:r w:rsidRPr="00902694">
        <w:rPr>
          <w:rStyle w:val="None"/>
          <w:bCs/>
        </w:rPr>
        <w:t>2.2</w:t>
      </w:r>
      <w:r w:rsidRPr="00902694">
        <w:rPr>
          <w:rStyle w:val="None"/>
          <w:bCs/>
        </w:rPr>
        <w:tab/>
        <w:t xml:space="preserve">The </w:t>
      </w:r>
      <w:r>
        <w:rPr>
          <w:rStyle w:val="None"/>
          <w:bCs/>
        </w:rPr>
        <w:t xml:space="preserve">reports of the </w:t>
      </w:r>
      <w:hyperlink r:id="rId16" w:history="1">
        <w:r w:rsidRPr="0063524E">
          <w:rPr>
            <w:rStyle w:val="Hyperlink"/>
            <w:bCs/>
          </w:rPr>
          <w:t>eighteenth</w:t>
        </w:r>
      </w:hyperlink>
      <w:r w:rsidRPr="0063524E">
        <w:rPr>
          <w:rStyle w:val="None"/>
          <w:bCs/>
        </w:rPr>
        <w:t xml:space="preserve"> and </w:t>
      </w:r>
      <w:hyperlink r:id="rId17" w:history="1">
        <w:r w:rsidRPr="0063524E">
          <w:rPr>
            <w:rStyle w:val="Hyperlink"/>
            <w:bCs/>
          </w:rPr>
          <w:t>nineteenth</w:t>
        </w:r>
      </w:hyperlink>
      <w:r w:rsidRPr="0063524E">
        <w:rPr>
          <w:rStyle w:val="None"/>
          <w:bCs/>
        </w:rPr>
        <w:t xml:space="preserve"> meetings were</w:t>
      </w:r>
      <w:r>
        <w:rPr>
          <w:rStyle w:val="None"/>
          <w:bCs/>
        </w:rPr>
        <w:t xml:space="preserve"> approved by the Group.</w:t>
      </w:r>
    </w:p>
    <w:p w14:paraId="2F404513" w14:textId="77777777" w:rsidR="007F2B56" w:rsidRDefault="007F2B56" w:rsidP="007F2B56">
      <w:pPr>
        <w:pStyle w:val="BodyAA"/>
        <w:tabs>
          <w:tab w:val="clear" w:pos="567"/>
          <w:tab w:val="clear" w:pos="1134"/>
          <w:tab w:val="clear" w:pos="1701"/>
          <w:tab w:val="clear" w:pos="2268"/>
          <w:tab w:val="clear" w:pos="2835"/>
        </w:tabs>
        <w:spacing w:after="120"/>
        <w:jc w:val="both"/>
      </w:pPr>
      <w:r>
        <w:t>2.3</w:t>
      </w:r>
      <w:r>
        <w:tab/>
      </w:r>
      <w:r>
        <w:rPr>
          <w:rStyle w:val="None"/>
          <w:bCs/>
        </w:rPr>
        <w:t>In the eighteenth meeting</w:t>
      </w:r>
      <w:r>
        <w:t>, the Group discussed the contributions received, with a focus on topics proposals for the next open consultation. No consensus was reached on the topic.</w:t>
      </w:r>
    </w:p>
    <w:p w14:paraId="4FA6BC53" w14:textId="00E440B1" w:rsidR="007F2B56" w:rsidRDefault="007F2B56" w:rsidP="007F2B56">
      <w:pPr>
        <w:tabs>
          <w:tab w:val="clear" w:pos="567"/>
          <w:tab w:val="clear" w:pos="1134"/>
          <w:tab w:val="clear" w:pos="1701"/>
          <w:tab w:val="clear" w:pos="2268"/>
          <w:tab w:val="clear" w:pos="2835"/>
        </w:tabs>
        <w:spacing w:after="120"/>
        <w:jc w:val="both"/>
        <w:rPr>
          <w:lang w:val="en-US"/>
        </w:rPr>
      </w:pPr>
      <w:r>
        <w:rPr>
          <w:lang w:val="en-US"/>
        </w:rPr>
        <w:t>2.4</w:t>
      </w:r>
      <w:r>
        <w:rPr>
          <w:lang w:val="en-US"/>
        </w:rPr>
        <w:tab/>
        <w:t>At the nineteenth meeting, the Group approved the eighteenth and nineteenth meetings reports as well as the following actions:</w:t>
      </w:r>
    </w:p>
    <w:p w14:paraId="4A938E80" w14:textId="77777777" w:rsidR="007F2B56" w:rsidRPr="001D21C1" w:rsidRDefault="007F2B56" w:rsidP="007F2B56">
      <w:pPr>
        <w:snapToGrid w:val="0"/>
        <w:spacing w:after="120"/>
        <w:jc w:val="both"/>
        <w:rPr>
          <w:rFonts w:asciiTheme="minorHAnsi" w:hAnsiTheme="minorHAnsi" w:cstheme="minorHAnsi"/>
          <w:szCs w:val="24"/>
        </w:rPr>
      </w:pPr>
      <w:r>
        <w:rPr>
          <w:rFonts w:asciiTheme="minorHAnsi" w:hAnsiTheme="minorHAnsi" w:cstheme="minorHAnsi"/>
          <w:szCs w:val="24"/>
        </w:rPr>
        <w:t xml:space="preserve">It was agreed that two topics would be selected by the Group for the next two consultation cycles. </w:t>
      </w:r>
      <w:r w:rsidRPr="001D21C1">
        <w:rPr>
          <w:rFonts w:asciiTheme="minorHAnsi" w:hAnsiTheme="minorHAnsi" w:cstheme="minorHAnsi"/>
          <w:szCs w:val="24"/>
        </w:rPr>
        <w:t>The following topics and questions were agreed by the Group:</w:t>
      </w:r>
    </w:p>
    <w:p w14:paraId="19CE8FE1" w14:textId="4308A570" w:rsidR="007F2B56" w:rsidRPr="001D21C1" w:rsidRDefault="007F2B56" w:rsidP="007F2B56">
      <w:pPr>
        <w:pStyle w:val="ListParagraph"/>
        <w:numPr>
          <w:ilvl w:val="0"/>
          <w:numId w:val="5"/>
        </w:numPr>
        <w:snapToGrid w:val="0"/>
        <w:spacing w:after="120"/>
        <w:contextualSpacing w:val="0"/>
        <w:jc w:val="both"/>
        <w:rPr>
          <w:rFonts w:asciiTheme="minorHAnsi" w:hAnsiTheme="minorHAnsi" w:cstheme="minorHAnsi"/>
          <w:szCs w:val="24"/>
        </w:rPr>
      </w:pPr>
      <w:r w:rsidRPr="001D21C1">
        <w:rPr>
          <w:rFonts w:asciiTheme="minorHAnsi" w:hAnsiTheme="minorHAnsi" w:cstheme="minorHAnsi"/>
          <w:szCs w:val="24"/>
        </w:rPr>
        <w:t xml:space="preserve">ITU </w:t>
      </w:r>
      <w:r>
        <w:rPr>
          <w:rFonts w:asciiTheme="minorHAnsi" w:hAnsiTheme="minorHAnsi" w:cstheme="minorHAnsi"/>
          <w:szCs w:val="24"/>
        </w:rPr>
        <w:t>s</w:t>
      </w:r>
      <w:r w:rsidRPr="001D21C1">
        <w:rPr>
          <w:rFonts w:asciiTheme="minorHAnsi" w:hAnsiTheme="minorHAnsi" w:cstheme="minorHAnsi"/>
          <w:szCs w:val="24"/>
        </w:rPr>
        <w:t>ecretariat will launch the next round of Open Consultations (February 2024 – September 2024) on the topic:</w:t>
      </w:r>
    </w:p>
    <w:p w14:paraId="24727A3D" w14:textId="77777777" w:rsidR="007F2B56" w:rsidRPr="00C158BA" w:rsidRDefault="007F2B56" w:rsidP="007F2B56">
      <w:pPr>
        <w:snapToGrid w:val="0"/>
        <w:spacing w:after="120"/>
        <w:ind w:left="558"/>
        <w:jc w:val="both"/>
        <w:rPr>
          <w:rFonts w:asciiTheme="minorHAnsi" w:hAnsiTheme="minorHAnsi" w:cstheme="minorHAnsi"/>
          <w:i/>
          <w:szCs w:val="24"/>
          <w:u w:val="single"/>
        </w:rPr>
      </w:pPr>
      <w:bookmarkStart w:id="11" w:name="_Hlk155089575"/>
      <w:r w:rsidRPr="00C158BA">
        <w:rPr>
          <w:rFonts w:asciiTheme="minorHAnsi" w:hAnsiTheme="minorHAnsi" w:cstheme="minorHAnsi"/>
          <w:i/>
          <w:szCs w:val="24"/>
          <w:u w:val="single"/>
        </w:rPr>
        <w:t>The developmental aspects to strengthen the Internet</w:t>
      </w:r>
      <w:bookmarkEnd w:id="11"/>
    </w:p>
    <w:p w14:paraId="56C84549" w14:textId="77777777" w:rsidR="007F2B56" w:rsidRPr="00C158BA" w:rsidRDefault="007F2B56" w:rsidP="007F2B56">
      <w:pPr>
        <w:numPr>
          <w:ilvl w:val="0"/>
          <w:numId w:val="3"/>
        </w:numPr>
        <w:snapToGrid w:val="0"/>
        <w:spacing w:after="120"/>
        <w:ind w:left="984"/>
        <w:jc w:val="both"/>
        <w:rPr>
          <w:rFonts w:asciiTheme="minorHAnsi" w:hAnsiTheme="minorHAnsi" w:cstheme="minorHAnsi"/>
          <w:i/>
          <w:szCs w:val="24"/>
        </w:rPr>
      </w:pPr>
      <w:r w:rsidRPr="00C158BA">
        <w:rPr>
          <w:rFonts w:asciiTheme="minorHAnsi" w:hAnsiTheme="minorHAnsi" w:cstheme="minorHAnsi"/>
          <w:i/>
          <w:szCs w:val="24"/>
        </w:rPr>
        <w:t>How relevant multilateral and multi-stakeholder processes, including but not limited to UN-based processes such as Summit of the Future, WSIS+20 and the IGF, could address aspects related to Internet development?</w:t>
      </w:r>
    </w:p>
    <w:p w14:paraId="5C16D42A" w14:textId="77777777" w:rsidR="007F2B56" w:rsidRPr="00C158BA" w:rsidRDefault="007F2B56" w:rsidP="007F2B56">
      <w:pPr>
        <w:numPr>
          <w:ilvl w:val="0"/>
          <w:numId w:val="3"/>
        </w:numPr>
        <w:snapToGrid w:val="0"/>
        <w:spacing w:after="120"/>
        <w:ind w:left="984"/>
        <w:jc w:val="both"/>
        <w:rPr>
          <w:rFonts w:asciiTheme="minorHAnsi" w:hAnsiTheme="minorHAnsi" w:cstheme="minorHAnsi"/>
          <w:i/>
          <w:szCs w:val="24"/>
        </w:rPr>
      </w:pPr>
      <w:r w:rsidRPr="00C158BA">
        <w:rPr>
          <w:rFonts w:asciiTheme="minorHAnsi" w:hAnsiTheme="minorHAnsi" w:cstheme="minorHAnsi"/>
          <w:i/>
          <w:szCs w:val="24"/>
        </w:rPr>
        <w:lastRenderedPageBreak/>
        <w:t>What are the challenges and opportunities, good practices and favourable policy environments to strengthen the Internet, including in areas such as:</w:t>
      </w:r>
    </w:p>
    <w:p w14:paraId="72D63682" w14:textId="77777777" w:rsidR="007F2B56" w:rsidRPr="00C158BA" w:rsidRDefault="007F2B56" w:rsidP="007F2B56">
      <w:pPr>
        <w:numPr>
          <w:ilvl w:val="0"/>
          <w:numId w:val="4"/>
        </w:numPr>
        <w:snapToGrid w:val="0"/>
        <w:spacing w:after="60"/>
        <w:ind w:left="1278"/>
        <w:jc w:val="both"/>
        <w:rPr>
          <w:rFonts w:asciiTheme="minorHAnsi" w:hAnsiTheme="minorHAnsi" w:cstheme="minorHAnsi"/>
          <w:i/>
          <w:szCs w:val="24"/>
        </w:rPr>
      </w:pPr>
      <w:r w:rsidRPr="00C158BA">
        <w:rPr>
          <w:rFonts w:asciiTheme="minorHAnsi" w:hAnsiTheme="minorHAnsi" w:cstheme="minorHAnsi"/>
          <w:i/>
          <w:szCs w:val="24"/>
        </w:rPr>
        <w:t>fostering meaningful connectivity</w:t>
      </w:r>
    </w:p>
    <w:p w14:paraId="1EF5FE9B" w14:textId="77777777" w:rsidR="007F2B56" w:rsidRPr="00C158BA" w:rsidRDefault="007F2B56" w:rsidP="007F2B56">
      <w:pPr>
        <w:numPr>
          <w:ilvl w:val="0"/>
          <w:numId w:val="4"/>
        </w:numPr>
        <w:snapToGrid w:val="0"/>
        <w:spacing w:before="60" w:after="60"/>
        <w:ind w:left="1278"/>
        <w:jc w:val="both"/>
        <w:rPr>
          <w:rFonts w:asciiTheme="minorHAnsi" w:hAnsiTheme="minorHAnsi" w:cstheme="minorHAnsi"/>
          <w:i/>
          <w:szCs w:val="24"/>
        </w:rPr>
      </w:pPr>
      <w:r w:rsidRPr="00C158BA">
        <w:rPr>
          <w:rFonts w:asciiTheme="minorHAnsi" w:hAnsiTheme="minorHAnsi" w:cstheme="minorHAnsi"/>
          <w:i/>
          <w:szCs w:val="24"/>
        </w:rPr>
        <w:t>equitable access for all</w:t>
      </w:r>
    </w:p>
    <w:p w14:paraId="5E355101" w14:textId="77777777" w:rsidR="007F2B56" w:rsidRPr="00C158BA" w:rsidRDefault="007F2B56" w:rsidP="007F2B56">
      <w:pPr>
        <w:numPr>
          <w:ilvl w:val="0"/>
          <w:numId w:val="4"/>
        </w:numPr>
        <w:snapToGrid w:val="0"/>
        <w:spacing w:before="60" w:after="60"/>
        <w:ind w:left="1278"/>
        <w:jc w:val="both"/>
        <w:rPr>
          <w:rFonts w:asciiTheme="minorHAnsi" w:hAnsiTheme="minorHAnsi" w:cstheme="minorHAnsi"/>
          <w:i/>
          <w:szCs w:val="24"/>
        </w:rPr>
      </w:pPr>
      <w:r w:rsidRPr="00C158BA">
        <w:rPr>
          <w:rFonts w:asciiTheme="minorHAnsi" w:hAnsiTheme="minorHAnsi" w:cstheme="minorHAnsi"/>
          <w:i/>
          <w:szCs w:val="24"/>
        </w:rPr>
        <w:t>promoting a secure and resilient Internet</w:t>
      </w:r>
    </w:p>
    <w:p w14:paraId="3E718541" w14:textId="77777777" w:rsidR="007F2B56" w:rsidRPr="00C158BA" w:rsidRDefault="007F2B56" w:rsidP="007F2B56">
      <w:pPr>
        <w:numPr>
          <w:ilvl w:val="0"/>
          <w:numId w:val="4"/>
        </w:numPr>
        <w:snapToGrid w:val="0"/>
        <w:spacing w:before="60" w:after="60"/>
        <w:ind w:left="1278"/>
        <w:jc w:val="both"/>
        <w:rPr>
          <w:rFonts w:asciiTheme="minorHAnsi" w:hAnsiTheme="minorHAnsi" w:cstheme="minorHAnsi"/>
          <w:i/>
          <w:szCs w:val="24"/>
        </w:rPr>
      </w:pPr>
      <w:r w:rsidRPr="00C158BA">
        <w:rPr>
          <w:rFonts w:asciiTheme="minorHAnsi" w:hAnsiTheme="minorHAnsi" w:cstheme="minorHAnsi"/>
          <w:i/>
          <w:szCs w:val="24"/>
        </w:rPr>
        <w:t>achieving universal access</w:t>
      </w:r>
    </w:p>
    <w:p w14:paraId="2411EC0D" w14:textId="77777777" w:rsidR="007F2B56" w:rsidRPr="00C158BA" w:rsidRDefault="007F2B56" w:rsidP="007F2B56">
      <w:pPr>
        <w:numPr>
          <w:ilvl w:val="0"/>
          <w:numId w:val="4"/>
        </w:numPr>
        <w:snapToGrid w:val="0"/>
        <w:spacing w:before="60" w:after="60"/>
        <w:ind w:left="1278"/>
        <w:jc w:val="both"/>
        <w:rPr>
          <w:rFonts w:asciiTheme="minorHAnsi" w:hAnsiTheme="minorHAnsi" w:cstheme="minorHAnsi"/>
          <w:i/>
          <w:szCs w:val="24"/>
        </w:rPr>
      </w:pPr>
      <w:r w:rsidRPr="00C158BA">
        <w:rPr>
          <w:rFonts w:asciiTheme="minorHAnsi" w:hAnsiTheme="minorHAnsi" w:cstheme="minorHAnsi"/>
          <w:i/>
          <w:szCs w:val="24"/>
        </w:rPr>
        <w:t>the deployment of IPv6</w:t>
      </w:r>
    </w:p>
    <w:p w14:paraId="5E99759A" w14:textId="77777777" w:rsidR="007F2B56" w:rsidRPr="00C158BA" w:rsidRDefault="007F2B56" w:rsidP="007F2B56">
      <w:pPr>
        <w:numPr>
          <w:ilvl w:val="0"/>
          <w:numId w:val="4"/>
        </w:numPr>
        <w:snapToGrid w:val="0"/>
        <w:spacing w:before="60" w:after="60"/>
        <w:ind w:left="1278"/>
        <w:jc w:val="both"/>
        <w:rPr>
          <w:rFonts w:asciiTheme="minorHAnsi" w:hAnsiTheme="minorHAnsi" w:cstheme="minorHAnsi"/>
          <w:i/>
          <w:szCs w:val="24"/>
        </w:rPr>
      </w:pPr>
      <w:r w:rsidRPr="00C158BA">
        <w:rPr>
          <w:rFonts w:asciiTheme="minorHAnsi" w:hAnsiTheme="minorHAnsi" w:cstheme="minorHAnsi"/>
          <w:i/>
          <w:szCs w:val="24"/>
        </w:rPr>
        <w:t>using satellite communication to reach remote and underserved remote areas</w:t>
      </w:r>
    </w:p>
    <w:p w14:paraId="40418EB4" w14:textId="77777777" w:rsidR="007F2B56" w:rsidRPr="00C158BA" w:rsidRDefault="007F2B56" w:rsidP="007F2B56">
      <w:pPr>
        <w:numPr>
          <w:ilvl w:val="0"/>
          <w:numId w:val="4"/>
        </w:numPr>
        <w:snapToGrid w:val="0"/>
        <w:spacing w:before="60" w:after="60"/>
        <w:ind w:left="1278"/>
        <w:jc w:val="both"/>
        <w:rPr>
          <w:rFonts w:asciiTheme="minorHAnsi" w:hAnsiTheme="minorHAnsi" w:cstheme="minorHAnsi"/>
          <w:i/>
          <w:szCs w:val="24"/>
        </w:rPr>
      </w:pPr>
      <w:r w:rsidRPr="00C158BA">
        <w:rPr>
          <w:rFonts w:asciiTheme="minorHAnsi" w:hAnsiTheme="minorHAnsi" w:cstheme="minorHAnsi"/>
          <w:i/>
          <w:szCs w:val="24"/>
        </w:rPr>
        <w:t xml:space="preserve">ensuring services are affordable for people </w:t>
      </w:r>
    </w:p>
    <w:p w14:paraId="2E0C6F9A" w14:textId="77777777" w:rsidR="007F2B56" w:rsidRPr="00C158BA" w:rsidRDefault="007F2B56" w:rsidP="007F2B56">
      <w:pPr>
        <w:numPr>
          <w:ilvl w:val="0"/>
          <w:numId w:val="4"/>
        </w:numPr>
        <w:snapToGrid w:val="0"/>
        <w:spacing w:before="60" w:after="60"/>
        <w:ind w:left="1278"/>
        <w:jc w:val="both"/>
        <w:rPr>
          <w:rFonts w:asciiTheme="minorHAnsi" w:hAnsiTheme="minorHAnsi" w:cstheme="minorHAnsi"/>
          <w:i/>
          <w:szCs w:val="24"/>
        </w:rPr>
      </w:pPr>
      <w:r w:rsidRPr="00C158BA">
        <w:rPr>
          <w:rFonts w:asciiTheme="minorHAnsi" w:hAnsiTheme="minorHAnsi" w:cstheme="minorHAnsi"/>
          <w:i/>
          <w:szCs w:val="24"/>
        </w:rPr>
        <w:t>promoting digital inclusion and skills</w:t>
      </w:r>
    </w:p>
    <w:p w14:paraId="2E22231D" w14:textId="77777777" w:rsidR="007F2B56" w:rsidRPr="00C158BA" w:rsidRDefault="007F2B56" w:rsidP="007F2B56">
      <w:pPr>
        <w:numPr>
          <w:ilvl w:val="0"/>
          <w:numId w:val="4"/>
        </w:numPr>
        <w:snapToGrid w:val="0"/>
        <w:spacing w:before="60" w:after="60"/>
        <w:ind w:left="1278"/>
        <w:jc w:val="both"/>
        <w:rPr>
          <w:rFonts w:asciiTheme="minorHAnsi" w:hAnsiTheme="minorHAnsi" w:cstheme="minorHAnsi"/>
          <w:i/>
          <w:szCs w:val="24"/>
        </w:rPr>
      </w:pPr>
      <w:r w:rsidRPr="00C158BA">
        <w:rPr>
          <w:rFonts w:asciiTheme="minorHAnsi" w:hAnsiTheme="minorHAnsi" w:cstheme="minorHAnsi"/>
          <w:i/>
          <w:szCs w:val="24"/>
        </w:rPr>
        <w:t>fostering multi-stakeholder participation and</w:t>
      </w:r>
    </w:p>
    <w:p w14:paraId="6EA9E3E7" w14:textId="77777777" w:rsidR="007F2B56" w:rsidRPr="00C158BA" w:rsidRDefault="007F2B56" w:rsidP="007F2B56">
      <w:pPr>
        <w:numPr>
          <w:ilvl w:val="0"/>
          <w:numId w:val="4"/>
        </w:numPr>
        <w:snapToGrid w:val="0"/>
        <w:spacing w:before="60" w:after="120"/>
        <w:ind w:left="1278"/>
        <w:jc w:val="both"/>
        <w:rPr>
          <w:rFonts w:asciiTheme="minorHAnsi" w:hAnsiTheme="minorHAnsi" w:cstheme="minorHAnsi"/>
          <w:i/>
          <w:szCs w:val="24"/>
        </w:rPr>
      </w:pPr>
      <w:r w:rsidRPr="00C158BA">
        <w:rPr>
          <w:rFonts w:asciiTheme="minorHAnsi" w:hAnsiTheme="minorHAnsi" w:cstheme="minorHAnsi"/>
          <w:i/>
          <w:szCs w:val="24"/>
        </w:rPr>
        <w:t>encouraging public and private sector investment in Internet infrastructure.</w:t>
      </w:r>
    </w:p>
    <w:p w14:paraId="069902FE" w14:textId="77777777" w:rsidR="007F2B56" w:rsidRPr="00C158BA" w:rsidRDefault="007F2B56" w:rsidP="007F2B56">
      <w:pPr>
        <w:numPr>
          <w:ilvl w:val="0"/>
          <w:numId w:val="3"/>
        </w:numPr>
        <w:snapToGrid w:val="0"/>
        <w:spacing w:after="120"/>
        <w:ind w:left="984"/>
        <w:jc w:val="both"/>
        <w:rPr>
          <w:rFonts w:asciiTheme="minorHAnsi" w:hAnsiTheme="minorHAnsi" w:cstheme="minorHAnsi"/>
          <w:i/>
          <w:szCs w:val="24"/>
        </w:rPr>
      </w:pPr>
      <w:r w:rsidRPr="00C158BA">
        <w:rPr>
          <w:rFonts w:asciiTheme="minorHAnsi" w:hAnsiTheme="minorHAnsi" w:cstheme="minorHAnsi"/>
          <w:i/>
          <w:szCs w:val="24"/>
        </w:rPr>
        <w:t>How can we promote international multistakeholder cooperation on public policy issues that are focused on promoting the development aspects of the Internet?</w:t>
      </w:r>
    </w:p>
    <w:p w14:paraId="3714774E" w14:textId="79ED2F51" w:rsidR="007F2B56" w:rsidRDefault="007F2B56" w:rsidP="007F2B56">
      <w:pPr>
        <w:pStyle w:val="ListParagraph"/>
        <w:numPr>
          <w:ilvl w:val="0"/>
          <w:numId w:val="6"/>
        </w:numPr>
        <w:snapToGrid w:val="0"/>
        <w:spacing w:before="240" w:after="120"/>
        <w:contextualSpacing w:val="0"/>
        <w:jc w:val="both"/>
        <w:rPr>
          <w:rFonts w:asciiTheme="minorHAnsi" w:hAnsiTheme="minorHAnsi" w:cstheme="minorHAnsi"/>
          <w:szCs w:val="24"/>
        </w:rPr>
      </w:pPr>
      <w:r w:rsidRPr="001D21C1">
        <w:rPr>
          <w:rFonts w:asciiTheme="minorHAnsi" w:hAnsiTheme="minorHAnsi" w:cstheme="minorHAnsi"/>
          <w:szCs w:val="24"/>
        </w:rPr>
        <w:t xml:space="preserve">ITU </w:t>
      </w:r>
      <w:r>
        <w:rPr>
          <w:rFonts w:asciiTheme="minorHAnsi" w:hAnsiTheme="minorHAnsi" w:cstheme="minorHAnsi"/>
          <w:szCs w:val="24"/>
        </w:rPr>
        <w:t>s</w:t>
      </w:r>
      <w:r w:rsidRPr="001D21C1">
        <w:rPr>
          <w:rFonts w:asciiTheme="minorHAnsi" w:hAnsiTheme="minorHAnsi" w:cstheme="minorHAnsi"/>
          <w:szCs w:val="24"/>
        </w:rPr>
        <w:t>ecretariat will launch a subsequent round of Open Consultations (October 2024 – January 2025), on the topic:</w:t>
      </w:r>
    </w:p>
    <w:p w14:paraId="3C5A7607" w14:textId="77777777" w:rsidR="007F2B56" w:rsidRPr="001D21C1" w:rsidRDefault="007F2B56" w:rsidP="007F2B56">
      <w:pPr>
        <w:pStyle w:val="ListParagraph"/>
        <w:tabs>
          <w:tab w:val="clear" w:pos="567"/>
          <w:tab w:val="clear" w:pos="1134"/>
          <w:tab w:val="clear" w:pos="1701"/>
          <w:tab w:val="clear" w:pos="2268"/>
          <w:tab w:val="clear" w:pos="2835"/>
        </w:tabs>
        <w:snapToGrid w:val="0"/>
        <w:spacing w:after="120"/>
        <w:contextualSpacing w:val="0"/>
        <w:jc w:val="both"/>
        <w:rPr>
          <w:rFonts w:asciiTheme="minorHAnsi" w:hAnsiTheme="minorHAnsi" w:cstheme="minorHAnsi"/>
          <w:bCs/>
          <w:i/>
          <w:szCs w:val="24"/>
        </w:rPr>
      </w:pPr>
      <w:r w:rsidRPr="001D21C1">
        <w:rPr>
          <w:rFonts w:asciiTheme="minorHAnsi" w:hAnsiTheme="minorHAnsi" w:cstheme="minorHAnsi"/>
          <w:bCs/>
          <w:i/>
          <w:szCs w:val="24"/>
          <w:u w:val="single"/>
        </w:rPr>
        <w:t>The role of public policy in promoting multilingualization of the Internet (after next cluster of CWGs</w:t>
      </w:r>
      <w:r w:rsidRPr="001D21C1">
        <w:rPr>
          <w:rFonts w:asciiTheme="minorHAnsi" w:hAnsiTheme="minorHAnsi" w:cstheme="minorHAnsi"/>
          <w:bCs/>
          <w:i/>
          <w:szCs w:val="24"/>
        </w:rPr>
        <w:t xml:space="preserve">: </w:t>
      </w:r>
    </w:p>
    <w:p w14:paraId="756EBEE9" w14:textId="77777777" w:rsidR="007F2B56" w:rsidRPr="00B637FE" w:rsidRDefault="007F2B56" w:rsidP="007F2B56">
      <w:pPr>
        <w:numPr>
          <w:ilvl w:val="0"/>
          <w:numId w:val="7"/>
        </w:numPr>
        <w:tabs>
          <w:tab w:val="clear" w:pos="567"/>
          <w:tab w:val="clear" w:pos="1134"/>
          <w:tab w:val="clear" w:pos="1701"/>
          <w:tab w:val="clear" w:pos="2268"/>
          <w:tab w:val="clear" w:pos="2835"/>
        </w:tabs>
        <w:snapToGrid w:val="0"/>
        <w:spacing w:after="120"/>
        <w:jc w:val="both"/>
        <w:rPr>
          <w:rFonts w:asciiTheme="minorHAnsi" w:hAnsiTheme="minorHAnsi" w:cstheme="minorHAnsi"/>
          <w:bCs/>
          <w:i/>
          <w:szCs w:val="24"/>
        </w:rPr>
      </w:pPr>
      <w:r w:rsidRPr="00B637FE">
        <w:rPr>
          <w:rFonts w:asciiTheme="minorHAnsi" w:hAnsiTheme="minorHAnsi" w:cstheme="minorHAnsi"/>
          <w:bCs/>
          <w:i/>
          <w:szCs w:val="24"/>
        </w:rPr>
        <w:t>What could ITU and its members and other stakeholders do to ensure that the Internet becomes more multilingual in nature and thus accessible for more of the global population?</w:t>
      </w:r>
    </w:p>
    <w:p w14:paraId="349EDEB7" w14:textId="77777777" w:rsidR="007F2B56" w:rsidRPr="001D21C1" w:rsidRDefault="007F2B56" w:rsidP="007F2B56">
      <w:pPr>
        <w:numPr>
          <w:ilvl w:val="0"/>
          <w:numId w:val="7"/>
        </w:numPr>
        <w:tabs>
          <w:tab w:val="clear" w:pos="567"/>
          <w:tab w:val="clear" w:pos="1134"/>
          <w:tab w:val="clear" w:pos="1701"/>
          <w:tab w:val="clear" w:pos="2268"/>
          <w:tab w:val="clear" w:pos="2835"/>
        </w:tabs>
        <w:snapToGrid w:val="0"/>
        <w:spacing w:after="120"/>
        <w:jc w:val="both"/>
        <w:rPr>
          <w:rFonts w:asciiTheme="minorHAnsi" w:hAnsiTheme="minorHAnsi" w:cstheme="minorHAnsi"/>
          <w:bCs/>
          <w:i/>
          <w:szCs w:val="24"/>
        </w:rPr>
      </w:pPr>
      <w:r w:rsidRPr="00B637FE">
        <w:rPr>
          <w:rFonts w:asciiTheme="minorHAnsi" w:hAnsiTheme="minorHAnsi" w:cstheme="minorHAnsi"/>
          <w:bCs/>
          <w:i/>
          <w:szCs w:val="24"/>
        </w:rPr>
        <w:t>What are the benefits and challenges of multilingualization of the Internet, including through universal acceptance of Internationalized Domain Names (IDNs), or the lack thereof, in terms of technical, economic, security, cultural and capacity-building?</w:t>
      </w:r>
    </w:p>
    <w:p w14:paraId="4DD2E5E0" w14:textId="77777777" w:rsidR="007F2B56" w:rsidRDefault="007F2B56" w:rsidP="007F2B56">
      <w:pPr>
        <w:pStyle w:val="BodyA"/>
        <w:tabs>
          <w:tab w:val="clear" w:pos="567"/>
          <w:tab w:val="clear" w:pos="1134"/>
          <w:tab w:val="clear" w:pos="1701"/>
          <w:tab w:val="clear" w:pos="2268"/>
          <w:tab w:val="clear" w:pos="2835"/>
        </w:tabs>
        <w:spacing w:before="480" w:after="120"/>
        <w:jc w:val="both"/>
        <w:rPr>
          <w:rStyle w:val="None"/>
          <w:b/>
          <w:bCs/>
        </w:rPr>
      </w:pPr>
      <w:bookmarkStart w:id="12" w:name="dbreak3"/>
      <w:r>
        <w:rPr>
          <w:rStyle w:val="None"/>
          <w:b/>
          <w:bCs/>
        </w:rPr>
        <w:t>3.</w:t>
      </w:r>
      <w:r>
        <w:rPr>
          <w:rStyle w:val="None"/>
          <w:b/>
          <w:bCs/>
        </w:rPr>
        <w:tab/>
        <w:t>Conclusion</w:t>
      </w:r>
    </w:p>
    <w:p w14:paraId="2EC9A296" w14:textId="77777777" w:rsidR="007F2B56" w:rsidRDefault="007F2B56" w:rsidP="007F2B56">
      <w:pPr>
        <w:pStyle w:val="BodyA"/>
        <w:keepNext/>
        <w:spacing w:after="120"/>
        <w:jc w:val="both"/>
      </w:pPr>
      <w:r>
        <w:t>3.1</w:t>
      </w:r>
      <w:r>
        <w:tab/>
      </w:r>
      <w:r w:rsidRPr="00E41EC2">
        <w:t xml:space="preserve">The Council is invited to note </w:t>
      </w:r>
      <w:r>
        <w:t>this report</w:t>
      </w:r>
      <w:r w:rsidRPr="00E41EC2">
        <w:t>.</w:t>
      </w:r>
    </w:p>
    <w:p w14:paraId="086F10AA" w14:textId="77777777" w:rsidR="007F2B56" w:rsidRDefault="007F2B56" w:rsidP="007F2B56">
      <w:pPr>
        <w:pStyle w:val="BodyA"/>
        <w:spacing w:after="120"/>
        <w:jc w:val="both"/>
      </w:pPr>
      <w:r>
        <w:rPr>
          <w:rStyle w:val="None"/>
          <w:bCs/>
        </w:rPr>
        <w:t>3.3</w:t>
      </w:r>
      <w:r>
        <w:rPr>
          <w:rStyle w:val="None"/>
          <w:bCs/>
        </w:rPr>
        <w:tab/>
      </w:r>
      <w:r w:rsidRPr="00A37152">
        <w:rPr>
          <w:rStyle w:val="None"/>
        </w:rPr>
        <w:t>On</w:t>
      </w:r>
      <w:r>
        <w:rPr>
          <w:rStyle w:val="None"/>
        </w:rPr>
        <w:t xml:space="preserve"> behalf of CWG-Internet, the Chair extends his personal thanks to all the ITU Member States who made contributions and participated in the work of the Group, the Vice-Chairs, the Secretary-General, Deputy Secretary-General, Directors of TSB, BR, and BDT, and the General Secretariat for their efficient assistance during the eighteenth and nineteenth meetings of the CWG-Internet.</w:t>
      </w:r>
    </w:p>
    <w:p w14:paraId="257674B4" w14:textId="7211D421" w:rsidR="00A514A4" w:rsidRPr="0090147A" w:rsidRDefault="007F2B56" w:rsidP="007F2B56">
      <w:pPr>
        <w:pStyle w:val="Normalaftertitle"/>
        <w:tabs>
          <w:tab w:val="clear" w:pos="567"/>
          <w:tab w:val="clear" w:pos="1134"/>
          <w:tab w:val="clear" w:pos="1701"/>
          <w:tab w:val="clear" w:pos="2268"/>
          <w:tab w:val="clear" w:pos="2835"/>
        </w:tabs>
        <w:spacing w:before="600"/>
        <w:ind w:left="5760"/>
        <w:rPr>
          <w:lang w:val="es-ES"/>
        </w:rPr>
      </w:pPr>
      <w:r>
        <w:rPr>
          <w:rStyle w:val="None"/>
          <w:rFonts w:eastAsia="Calibri" w:cs="Calibri"/>
          <w:b/>
          <w:bCs/>
          <w:lang w:val="en-US"/>
        </w:rPr>
        <w:t xml:space="preserve">Chair: </w:t>
      </w:r>
      <w:r w:rsidRPr="0028456C">
        <w:rPr>
          <w:rFonts w:eastAsia="Calibri" w:cs="Calibri"/>
          <w:b/>
          <w:bCs/>
        </w:rPr>
        <w:t>Wojciech Berezowski (Poland)</w:t>
      </w:r>
      <w:bookmarkEnd w:id="12"/>
    </w:p>
    <w:sectPr w:rsidR="00A514A4" w:rsidRPr="0090147A" w:rsidSect="00A74381">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7BC3" w14:textId="77777777" w:rsidR="00A74381" w:rsidRDefault="00A74381">
      <w:r>
        <w:separator/>
      </w:r>
    </w:p>
  </w:endnote>
  <w:endnote w:type="continuationSeparator" w:id="0">
    <w:p w14:paraId="5BC0158A" w14:textId="77777777" w:rsidR="00A74381" w:rsidRDefault="00A7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31B0C0C1" w:rsidR="00EE49E8" w:rsidRDefault="00EE49E8" w:rsidP="00EE49E8">
          <w:pPr>
            <w:pStyle w:val="Header"/>
            <w:jc w:val="left"/>
            <w:rPr>
              <w:noProof/>
            </w:rPr>
          </w:pPr>
        </w:p>
      </w:tc>
      <w:tc>
        <w:tcPr>
          <w:tcW w:w="8261" w:type="dxa"/>
        </w:tcPr>
        <w:p w14:paraId="2D49E76E" w14:textId="4E2E5CB0"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7F2B56">
            <w:rPr>
              <w:bCs/>
            </w:rPr>
            <w:t>51</w:t>
          </w:r>
          <w:r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F588A4C" w14:textId="77777777" w:rsidTr="00EE49E8">
      <w:trPr>
        <w:jc w:val="center"/>
      </w:trPr>
      <w:tc>
        <w:tcPr>
          <w:tcW w:w="1803" w:type="dxa"/>
          <w:vAlign w:val="center"/>
        </w:tcPr>
        <w:p w14:paraId="4E7A2825" w14:textId="77777777" w:rsidR="00EE49E8" w:rsidRDefault="009B310A"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3F62E0D8" w14:textId="240BCA63"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7F2B56">
            <w:rPr>
              <w:bCs/>
            </w:rPr>
            <w:t>51</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E866" w14:textId="77777777" w:rsidR="00A74381" w:rsidRDefault="00A74381">
      <w:r>
        <w:t>____________________</w:t>
      </w:r>
    </w:p>
  </w:footnote>
  <w:footnote w:type="continuationSeparator" w:id="0">
    <w:p w14:paraId="373FD5AE" w14:textId="77777777" w:rsidR="00A74381" w:rsidRDefault="00A7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6D4BB9D4" w14:textId="77777777" w:rsidTr="00C91CFC">
      <w:trPr>
        <w:trHeight w:val="1104"/>
        <w:jc w:val="center"/>
      </w:trPr>
      <w:tc>
        <w:tcPr>
          <w:tcW w:w="4390" w:type="dxa"/>
          <w:vAlign w:val="center"/>
        </w:tcPr>
        <w:p w14:paraId="3E21B143" w14:textId="41A3D2F7" w:rsidR="00AD3606" w:rsidRPr="009621F8" w:rsidRDefault="006850BE" w:rsidP="00AD3606">
          <w:pPr>
            <w:pStyle w:val="Header"/>
            <w:jc w:val="left"/>
            <w:rPr>
              <w:rFonts w:ascii="Arial" w:hAnsi="Arial" w:cs="Arial"/>
              <w:b/>
              <w:bCs/>
              <w:color w:val="009CD6"/>
              <w:sz w:val="36"/>
              <w:szCs w:val="36"/>
            </w:rPr>
          </w:pPr>
          <w:bookmarkStart w:id="13" w:name="_Hlk133422111"/>
          <w:r>
            <w:rPr>
              <w:noProof/>
            </w:rPr>
            <w:drawing>
              <wp:inline distT="0" distB="0" distL="0" distR="0" wp14:anchorId="44E11463" wp14:editId="40423983">
                <wp:extent cx="2369820" cy="558297"/>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2D9A3A2C" w14:textId="782E9795" w:rsidR="00AD3606" w:rsidRDefault="00AD3606" w:rsidP="00AD3606">
          <w:pPr>
            <w:pStyle w:val="Header"/>
            <w:jc w:val="right"/>
            <w:rPr>
              <w:rFonts w:ascii="Arial" w:hAnsi="Arial" w:cs="Arial"/>
              <w:b/>
              <w:bCs/>
              <w:color w:val="009CD6"/>
              <w:szCs w:val="18"/>
            </w:rPr>
          </w:pPr>
        </w:p>
        <w:p w14:paraId="10B673DE" w14:textId="25E43F9A" w:rsidR="00AD3606" w:rsidRDefault="00AD3606" w:rsidP="00AD3606">
          <w:pPr>
            <w:pStyle w:val="Header"/>
            <w:jc w:val="right"/>
            <w:rPr>
              <w:rFonts w:ascii="Arial" w:hAnsi="Arial" w:cs="Arial"/>
              <w:b/>
              <w:bCs/>
              <w:color w:val="009CD6"/>
              <w:szCs w:val="18"/>
            </w:rPr>
          </w:pPr>
        </w:p>
        <w:p w14:paraId="4287C2DF" w14:textId="0EBBF8F9"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24EB89" w14:textId="4136AD56"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2D41BC44">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2E8B"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BE3E83"/>
    <w:multiLevelType w:val="hybridMultilevel"/>
    <w:tmpl w:val="E10E72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38412A"/>
    <w:multiLevelType w:val="hybridMultilevel"/>
    <w:tmpl w:val="3012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B5970"/>
    <w:multiLevelType w:val="hybridMultilevel"/>
    <w:tmpl w:val="8B500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82F1C"/>
    <w:multiLevelType w:val="hybridMultilevel"/>
    <w:tmpl w:val="0AACE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AB666C"/>
    <w:multiLevelType w:val="hybridMultilevel"/>
    <w:tmpl w:val="20CA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86128"/>
    <w:multiLevelType w:val="hybridMultilevel"/>
    <w:tmpl w:val="6784C0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326857164">
    <w:abstractNumId w:val="3"/>
  </w:num>
  <w:num w:numId="3" w16cid:durableId="6955741">
    <w:abstractNumId w:val="4"/>
  </w:num>
  <w:num w:numId="4" w16cid:durableId="1553493115">
    <w:abstractNumId w:val="1"/>
  </w:num>
  <w:num w:numId="5" w16cid:durableId="1627395192">
    <w:abstractNumId w:val="5"/>
  </w:num>
  <w:num w:numId="6" w16cid:durableId="1667130025">
    <w:abstractNumId w:val="2"/>
  </w:num>
  <w:num w:numId="7" w16cid:durableId="2055805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4698E"/>
    <w:rsid w:val="00063016"/>
    <w:rsid w:val="00066795"/>
    <w:rsid w:val="00076AF6"/>
    <w:rsid w:val="00085CF2"/>
    <w:rsid w:val="000B1705"/>
    <w:rsid w:val="000D75B2"/>
    <w:rsid w:val="001121F5"/>
    <w:rsid w:val="001400DC"/>
    <w:rsid w:val="00140CE1"/>
    <w:rsid w:val="0017539C"/>
    <w:rsid w:val="00175AC2"/>
    <w:rsid w:val="0017609F"/>
    <w:rsid w:val="001A7D1D"/>
    <w:rsid w:val="001B51DD"/>
    <w:rsid w:val="001C628E"/>
    <w:rsid w:val="001D497B"/>
    <w:rsid w:val="001E0F7B"/>
    <w:rsid w:val="002119FD"/>
    <w:rsid w:val="002130E0"/>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4F0D87"/>
    <w:rsid w:val="0050223C"/>
    <w:rsid w:val="005243FF"/>
    <w:rsid w:val="00564FBC"/>
    <w:rsid w:val="005759E1"/>
    <w:rsid w:val="005800BC"/>
    <w:rsid w:val="00582442"/>
    <w:rsid w:val="005F3269"/>
    <w:rsid w:val="00623AE3"/>
    <w:rsid w:val="0063524E"/>
    <w:rsid w:val="0064737F"/>
    <w:rsid w:val="006535F1"/>
    <w:rsid w:val="0065557D"/>
    <w:rsid w:val="00660D50"/>
    <w:rsid w:val="00662984"/>
    <w:rsid w:val="006716BB"/>
    <w:rsid w:val="006850BE"/>
    <w:rsid w:val="00691B64"/>
    <w:rsid w:val="006B1859"/>
    <w:rsid w:val="006B6680"/>
    <w:rsid w:val="006B6DCC"/>
    <w:rsid w:val="00702DEF"/>
    <w:rsid w:val="00706861"/>
    <w:rsid w:val="0075051B"/>
    <w:rsid w:val="00793188"/>
    <w:rsid w:val="00794D34"/>
    <w:rsid w:val="007F2B56"/>
    <w:rsid w:val="00813E5E"/>
    <w:rsid w:val="0083581B"/>
    <w:rsid w:val="00863874"/>
    <w:rsid w:val="00864AFF"/>
    <w:rsid w:val="00865925"/>
    <w:rsid w:val="008B4A6A"/>
    <w:rsid w:val="008C2D09"/>
    <w:rsid w:val="008C7E27"/>
    <w:rsid w:val="008F7448"/>
    <w:rsid w:val="0090147A"/>
    <w:rsid w:val="009173EF"/>
    <w:rsid w:val="00932906"/>
    <w:rsid w:val="00961B0B"/>
    <w:rsid w:val="00962D33"/>
    <w:rsid w:val="009B310A"/>
    <w:rsid w:val="009B38C3"/>
    <w:rsid w:val="009D09C8"/>
    <w:rsid w:val="009E17BD"/>
    <w:rsid w:val="009E485A"/>
    <w:rsid w:val="00A04CEC"/>
    <w:rsid w:val="00A27F92"/>
    <w:rsid w:val="00A32257"/>
    <w:rsid w:val="00A36D20"/>
    <w:rsid w:val="00A514A4"/>
    <w:rsid w:val="00A55622"/>
    <w:rsid w:val="00A74381"/>
    <w:rsid w:val="00A83502"/>
    <w:rsid w:val="00AB7A39"/>
    <w:rsid w:val="00AD15B3"/>
    <w:rsid w:val="00AD3606"/>
    <w:rsid w:val="00AD4A3D"/>
    <w:rsid w:val="00AE343C"/>
    <w:rsid w:val="00AF6E49"/>
    <w:rsid w:val="00B04A67"/>
    <w:rsid w:val="00B0583C"/>
    <w:rsid w:val="00B067BE"/>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0161"/>
    <w:rsid w:val="00CF33F3"/>
    <w:rsid w:val="00D06183"/>
    <w:rsid w:val="00D22C42"/>
    <w:rsid w:val="00D65041"/>
    <w:rsid w:val="00DB1936"/>
    <w:rsid w:val="00DB384B"/>
    <w:rsid w:val="00DF0189"/>
    <w:rsid w:val="00E06FD5"/>
    <w:rsid w:val="00E10E80"/>
    <w:rsid w:val="00E124F0"/>
    <w:rsid w:val="00E227F3"/>
    <w:rsid w:val="00E23618"/>
    <w:rsid w:val="00E545C6"/>
    <w:rsid w:val="00E60F04"/>
    <w:rsid w:val="00E65B24"/>
    <w:rsid w:val="00E854E4"/>
    <w:rsid w:val="00E86DBF"/>
    <w:rsid w:val="00EB0D6F"/>
    <w:rsid w:val="00EB2232"/>
    <w:rsid w:val="00EC5337"/>
    <w:rsid w:val="00EE49E8"/>
    <w:rsid w:val="00F11B57"/>
    <w:rsid w:val="00F16BAB"/>
    <w:rsid w:val="00F2150A"/>
    <w:rsid w:val="00F231D8"/>
    <w:rsid w:val="00F44C00"/>
    <w:rsid w:val="00F45D2C"/>
    <w:rsid w:val="00F46C5F"/>
    <w:rsid w:val="00F632C0"/>
    <w:rsid w:val="00F74710"/>
    <w:rsid w:val="00F94A63"/>
    <w:rsid w:val="00FA1C28"/>
    <w:rsid w:val="00FB1279"/>
    <w:rsid w:val="00FB6B76"/>
    <w:rsid w:val="00FB7596"/>
    <w:rsid w:val="00FE4077"/>
    <w:rsid w:val="00FE500D"/>
    <w:rsid w:val="00FE77D2"/>
    <w:rsid w:val="5A1C5CD6"/>
    <w:rsid w:val="5C3381CC"/>
    <w:rsid w:val="71BAD9BC"/>
    <w:rsid w:val="71C1CE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53026A4B-DED1-47B2-8E3C-B50C231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F2B56"/>
    <w:pPr>
      <w:framePr w:hSpace="180" w:wrap="around" w:vAnchor="page" w:hAnchor="page" w:x="1821" w:y="2317"/>
      <w:spacing w:before="60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7F2B56"/>
    <w:rPr>
      <w:color w:val="605E5C"/>
      <w:shd w:val="clear" w:color="auto" w:fill="E1DFDD"/>
    </w:rPr>
  </w:style>
  <w:style w:type="character" w:customStyle="1" w:styleId="None">
    <w:name w:val="None"/>
    <w:rsid w:val="007F2B56"/>
  </w:style>
  <w:style w:type="paragraph" w:customStyle="1" w:styleId="BodyA">
    <w:name w:val="Body A"/>
    <w:rsid w:val="007F2B56"/>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paragraph" w:customStyle="1" w:styleId="BodyAA">
    <w:name w:val="Body A A"/>
    <w:rsid w:val="007F2B56"/>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paragraph" w:styleId="ListParagraph">
    <w:name w:val="List Paragraph"/>
    <w:basedOn w:val="Normal"/>
    <w:uiPriority w:val="34"/>
    <w:qFormat/>
    <w:rsid w:val="007F2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9-CL-C-0136/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en/council/Documents/basic-texts-2023/RES-140-E.pdf" TargetMode="External"/><Relationship Id="rId17" Type="http://schemas.openxmlformats.org/officeDocument/2006/relationships/hyperlink" Target="https://www.itu.int/md/S24-RCLINTPOL19-C-0007/en" TargetMode="External"/><Relationship Id="rId2" Type="http://schemas.openxmlformats.org/officeDocument/2006/relationships/customXml" Target="../customXml/item2.xml"/><Relationship Id="rId16" Type="http://schemas.openxmlformats.org/officeDocument/2006/relationships/hyperlink" Target="https://www.itu.int/md/S24-RCLINTPOL19-C-0003/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02-E.pdf" TargetMode="External"/><Relationship Id="rId5" Type="http://schemas.openxmlformats.org/officeDocument/2006/relationships/numbering" Target="numbering.xml"/><Relationship Id="rId15" Type="http://schemas.openxmlformats.org/officeDocument/2006/relationships/hyperlink" Target="https://www.itu.int/en/council/cwg-internet/Pages/default.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9-CL-C-0140/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6" ma:contentTypeDescription="Create a new document." ma:contentTypeScope="" ma:versionID="5c30e77df36f4996b63fd4603273e0c6">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e4f51fc0db1f41dee884358016014d31"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61E36B31-8A09-4373-9289-92B09D1F9A4C}">
  <ds:schemaRef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98b04e1e-0540-4930-9623-702d547a0a33"/>
    <ds:schemaRef ds:uri="085b46e1-7f22-4e81-9ba5-912dc5a5fd9a"/>
    <ds:schemaRef ds:uri="http://purl.org/dc/terms/"/>
  </ds:schemaRefs>
</ds:datastoreItem>
</file>

<file path=customXml/itemProps3.xml><?xml version="1.0" encoding="utf-8"?>
<ds:datastoreItem xmlns:ds="http://schemas.openxmlformats.org/officeDocument/2006/customXml" ds:itemID="{3B79AE98-11DD-4829-9C7A-ED50F7DF4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4CCF3-1F30-4F4A-88D4-E6FBDF911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PE_Council23.dotx</Template>
  <TotalTime>0</TotalTime>
  <Pages>3</Pages>
  <Words>765</Words>
  <Characters>5043</Characters>
  <Application>Microsoft Office Word</Application>
  <DocSecurity>0</DocSecurity>
  <Lines>42</Lines>
  <Paragraphs>11</Paragraphs>
  <ScaleCrop>false</ScaleCrop>
  <Manager>General Secretariat - Pool</Manager>
  <Company>International Telecommunication Union (ITU)</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Chair of CWG-Internet</dc:title>
  <dc:subject>Council 2024</dc:subject>
  <dc:creator>Brouard, Ricarda</dc:creator>
  <cp:keywords>C2024, C24, Council-24</cp:keywords>
  <dc:description/>
  <cp:lastModifiedBy>Brouard, Ricarda</cp:lastModifiedBy>
  <cp:revision>2</cp:revision>
  <cp:lastPrinted>2000-07-18T13:30:00Z</cp:lastPrinted>
  <dcterms:created xsi:type="dcterms:W3CDTF">2024-04-15T09:16:00Z</dcterms:created>
  <dcterms:modified xsi:type="dcterms:W3CDTF">2024-04-15T09:16:00Z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0x010100927A014BF6FE3A4AB656F5985E3C82C4</vt:lpwstr>
  </property>
</Properties>
</file>