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rsidRPr="00DE4060" w14:paraId="5A1FDFC6" w14:textId="77777777" w:rsidTr="00F363FE">
        <w:tc>
          <w:tcPr>
            <w:tcW w:w="6512" w:type="dxa"/>
          </w:tcPr>
          <w:p w14:paraId="596FEA89" w14:textId="5C50E269" w:rsidR="007B0AA0" w:rsidRPr="00DE4060" w:rsidRDefault="007B0AA0" w:rsidP="00F363FE">
            <w:pPr>
              <w:spacing w:before="60" w:after="60" w:line="260" w:lineRule="exact"/>
              <w:rPr>
                <w:b/>
                <w:bCs/>
                <w:rtl/>
                <w:lang w:bidi="ar-EG"/>
              </w:rPr>
            </w:pPr>
            <w:r w:rsidRPr="00DE4060">
              <w:rPr>
                <w:b/>
                <w:bCs/>
                <w:rtl/>
                <w:lang w:bidi="ar-EG"/>
              </w:rPr>
              <w:t>بند جدول الأعمال:</w:t>
            </w:r>
            <w:r w:rsidR="00907B08" w:rsidRPr="00DE4060">
              <w:rPr>
                <w:b/>
                <w:bCs/>
                <w:rtl/>
                <w:lang w:bidi="ar-EG"/>
              </w:rPr>
              <w:t xml:space="preserve"> </w:t>
            </w:r>
            <w:r w:rsidR="00C22F6C" w:rsidRPr="00DE4060">
              <w:rPr>
                <w:b/>
                <w:bCs/>
                <w:lang w:bidi="ar-EG"/>
              </w:rPr>
              <w:t>ADM 1</w:t>
            </w:r>
          </w:p>
        </w:tc>
        <w:tc>
          <w:tcPr>
            <w:tcW w:w="3117" w:type="dxa"/>
          </w:tcPr>
          <w:p w14:paraId="35856927" w14:textId="6CBCF89F" w:rsidR="007B0AA0" w:rsidRPr="00DE4060" w:rsidRDefault="006A2F98" w:rsidP="006A2F98">
            <w:pPr>
              <w:spacing w:before="60" w:after="60" w:line="260" w:lineRule="exact"/>
              <w:jc w:val="left"/>
              <w:rPr>
                <w:b/>
                <w:bCs/>
                <w:lang w:bidi="ar-EG"/>
              </w:rPr>
            </w:pPr>
            <w:r w:rsidRPr="00DE4060">
              <w:rPr>
                <w:b/>
                <w:bCs/>
                <w:rtl/>
                <w:lang w:bidi="ar-EG"/>
              </w:rPr>
              <w:t>الإضافة 1</w:t>
            </w:r>
            <w:r w:rsidRPr="00DE4060">
              <w:rPr>
                <w:b/>
                <w:bCs/>
                <w:lang w:bidi="ar-EG"/>
              </w:rPr>
              <w:br/>
            </w:r>
            <w:r w:rsidRPr="00DE4060">
              <w:rPr>
                <w:b/>
                <w:bCs/>
                <w:rtl/>
                <w:lang w:bidi="ar-EG"/>
              </w:rPr>
              <w:t xml:space="preserve">للوثيقة </w:t>
            </w:r>
            <w:r w:rsidRPr="00DE4060">
              <w:rPr>
                <w:b/>
                <w:bCs/>
                <w:lang w:bidi="ar-EG"/>
              </w:rPr>
              <w:t>C24/50-A</w:t>
            </w:r>
          </w:p>
        </w:tc>
      </w:tr>
      <w:tr w:rsidR="007B0AA0" w:rsidRPr="00DE4060" w14:paraId="494CA65D" w14:textId="77777777" w:rsidTr="00F363FE">
        <w:tc>
          <w:tcPr>
            <w:tcW w:w="6512" w:type="dxa"/>
          </w:tcPr>
          <w:p w14:paraId="13D88A45" w14:textId="77777777" w:rsidR="007B0AA0" w:rsidRPr="00DE4060" w:rsidRDefault="007B0AA0" w:rsidP="00F363FE">
            <w:pPr>
              <w:spacing w:before="60" w:after="60" w:line="260" w:lineRule="exact"/>
              <w:rPr>
                <w:b/>
                <w:bCs/>
                <w:rtl/>
                <w:lang w:bidi="ar-EG"/>
              </w:rPr>
            </w:pPr>
          </w:p>
        </w:tc>
        <w:tc>
          <w:tcPr>
            <w:tcW w:w="3117" w:type="dxa"/>
          </w:tcPr>
          <w:p w14:paraId="753D3CA6" w14:textId="4FA36BFD" w:rsidR="007B0AA0" w:rsidRPr="00DE4060" w:rsidRDefault="006A2F98" w:rsidP="00F363FE">
            <w:pPr>
              <w:spacing w:before="60" w:after="60" w:line="260" w:lineRule="exact"/>
              <w:rPr>
                <w:b/>
                <w:bCs/>
                <w:rtl/>
                <w:lang w:bidi="ar-EG"/>
              </w:rPr>
            </w:pPr>
            <w:r w:rsidRPr="00DE4060">
              <w:rPr>
                <w:b/>
                <w:bCs/>
                <w:lang w:bidi="ar-EG"/>
              </w:rPr>
              <w:t>4</w:t>
            </w:r>
            <w:r w:rsidRPr="00DE4060">
              <w:rPr>
                <w:b/>
                <w:bCs/>
                <w:rtl/>
                <w:lang w:bidi="ar-EG"/>
              </w:rPr>
              <w:t xml:space="preserve"> يونيو 2024</w:t>
            </w:r>
          </w:p>
        </w:tc>
      </w:tr>
      <w:tr w:rsidR="007B0AA0" w:rsidRPr="00DE4060" w14:paraId="526CE367" w14:textId="77777777" w:rsidTr="00F363FE">
        <w:tc>
          <w:tcPr>
            <w:tcW w:w="6512" w:type="dxa"/>
          </w:tcPr>
          <w:p w14:paraId="1C971395" w14:textId="77777777" w:rsidR="007B0AA0" w:rsidRPr="00DE4060" w:rsidRDefault="007B0AA0" w:rsidP="00F363FE">
            <w:pPr>
              <w:spacing w:before="60" w:after="60" w:line="260" w:lineRule="exact"/>
              <w:rPr>
                <w:b/>
                <w:bCs/>
                <w:rtl/>
                <w:lang w:bidi="ar-EG"/>
              </w:rPr>
            </w:pPr>
          </w:p>
        </w:tc>
        <w:tc>
          <w:tcPr>
            <w:tcW w:w="3117" w:type="dxa"/>
          </w:tcPr>
          <w:p w14:paraId="6AD6EDC7" w14:textId="6A8DCDDA" w:rsidR="007B0AA0" w:rsidRPr="00DE4060" w:rsidRDefault="007B0AA0" w:rsidP="00F363FE">
            <w:pPr>
              <w:spacing w:before="60" w:after="60" w:line="260" w:lineRule="exact"/>
              <w:rPr>
                <w:b/>
                <w:bCs/>
                <w:rtl/>
                <w:lang w:bidi="ar-EG"/>
              </w:rPr>
            </w:pPr>
            <w:r w:rsidRPr="00DE4060">
              <w:rPr>
                <w:b/>
                <w:bCs/>
                <w:rtl/>
                <w:lang w:bidi="ar-EG"/>
              </w:rPr>
              <w:t xml:space="preserve">الأصل: </w:t>
            </w:r>
            <w:r w:rsidR="006A2F98" w:rsidRPr="00DE4060">
              <w:rPr>
                <w:b/>
                <w:bCs/>
                <w:rtl/>
                <w:lang w:bidi="ar-EG"/>
              </w:rPr>
              <w:t>بالإنكليزية</w:t>
            </w:r>
          </w:p>
        </w:tc>
      </w:tr>
      <w:tr w:rsidR="007B0AA0" w:rsidRPr="00DE4060" w14:paraId="220AA113" w14:textId="77777777" w:rsidTr="00F363FE">
        <w:tc>
          <w:tcPr>
            <w:tcW w:w="6512" w:type="dxa"/>
          </w:tcPr>
          <w:p w14:paraId="365CC6DA" w14:textId="77777777" w:rsidR="007B0AA0" w:rsidRPr="00DE4060" w:rsidRDefault="007B0AA0" w:rsidP="00F363FE">
            <w:pPr>
              <w:spacing w:before="60" w:after="60" w:line="260" w:lineRule="exact"/>
              <w:rPr>
                <w:lang w:bidi="ar-EG"/>
              </w:rPr>
            </w:pPr>
          </w:p>
        </w:tc>
        <w:tc>
          <w:tcPr>
            <w:tcW w:w="3117" w:type="dxa"/>
          </w:tcPr>
          <w:p w14:paraId="20456A45" w14:textId="77777777" w:rsidR="007B0AA0" w:rsidRPr="00DE4060" w:rsidRDefault="007B0AA0" w:rsidP="00F363FE">
            <w:pPr>
              <w:spacing w:before="60" w:after="60" w:line="260" w:lineRule="exact"/>
              <w:rPr>
                <w:rtl/>
                <w:lang w:bidi="ar-EG"/>
              </w:rPr>
            </w:pPr>
          </w:p>
        </w:tc>
      </w:tr>
      <w:tr w:rsidR="00852CBF" w:rsidRPr="00DE4060" w14:paraId="0232B2BE" w14:textId="77777777" w:rsidTr="00EE7446">
        <w:tc>
          <w:tcPr>
            <w:tcW w:w="9629" w:type="dxa"/>
            <w:gridSpan w:val="2"/>
          </w:tcPr>
          <w:p w14:paraId="75FCE6E4" w14:textId="77777777" w:rsidR="00852CBF" w:rsidRPr="00DE4060" w:rsidRDefault="00852CBF" w:rsidP="00852CBF">
            <w:pPr>
              <w:pStyle w:val="Source"/>
              <w:jc w:val="left"/>
              <w:rPr>
                <w:b w:val="0"/>
                <w:bCs w:val="0"/>
                <w:rtl/>
              </w:rPr>
            </w:pPr>
          </w:p>
        </w:tc>
      </w:tr>
      <w:tr w:rsidR="007B0AA0" w:rsidRPr="00DE4060" w14:paraId="73F1DB0D" w14:textId="77777777" w:rsidTr="00EE7446">
        <w:tc>
          <w:tcPr>
            <w:tcW w:w="9629" w:type="dxa"/>
            <w:gridSpan w:val="2"/>
          </w:tcPr>
          <w:p w14:paraId="0CD21EBC" w14:textId="15167269" w:rsidR="007B0AA0" w:rsidRPr="00DE4060" w:rsidRDefault="006A2F98" w:rsidP="00852CBF">
            <w:pPr>
              <w:pStyle w:val="Subtitle0"/>
              <w:rPr>
                <w:rtl/>
              </w:rPr>
            </w:pPr>
            <w:r w:rsidRPr="00DE4060">
              <w:rPr>
                <w:rtl/>
              </w:rPr>
              <w:t>تقرير رئيسة فريق العمل التابع للمجلس والمعني بالموارد المالية والبشرية (</w:t>
            </w:r>
            <w:r w:rsidRPr="00DE4060">
              <w:t>CWG-FHR</w:t>
            </w:r>
            <w:r w:rsidRPr="00DE4060">
              <w:rPr>
                <w:rtl/>
              </w:rPr>
              <w:t>)</w:t>
            </w:r>
          </w:p>
        </w:tc>
      </w:tr>
      <w:tr w:rsidR="007B0AA0" w:rsidRPr="00DE4060" w14:paraId="36139FFA" w14:textId="77777777" w:rsidTr="007B0AA0">
        <w:tc>
          <w:tcPr>
            <w:tcW w:w="9629" w:type="dxa"/>
            <w:gridSpan w:val="2"/>
            <w:tcBorders>
              <w:top w:val="single" w:sz="4" w:space="0" w:color="auto"/>
              <w:bottom w:val="single" w:sz="4" w:space="0" w:color="auto"/>
            </w:tcBorders>
          </w:tcPr>
          <w:p w14:paraId="6F4981CB" w14:textId="77777777" w:rsidR="007B0AA0" w:rsidRPr="00DE4060" w:rsidRDefault="007B0AA0" w:rsidP="007B0AA0">
            <w:pPr>
              <w:rPr>
                <w:b/>
                <w:bCs/>
                <w:rtl/>
              </w:rPr>
            </w:pPr>
            <w:r w:rsidRPr="00DE4060">
              <w:rPr>
                <w:b/>
                <w:bCs/>
                <w:rtl/>
              </w:rPr>
              <w:t>الغرض</w:t>
            </w:r>
          </w:p>
          <w:p w14:paraId="72052FEB" w14:textId="35A5D6CC" w:rsidR="007B0AA0" w:rsidRPr="00DE4060" w:rsidRDefault="006A2F98" w:rsidP="007B0AA0">
            <w:pPr>
              <w:rPr>
                <w:rtl/>
              </w:rPr>
            </w:pPr>
            <w:r w:rsidRPr="00DE4060">
              <w:rPr>
                <w:rtl/>
              </w:rPr>
              <w:t>تعرض هذه الوثيقة توصيات بشأن مداولات اجتماع فريق العمل التابع للمجلس والمعني بالموارد المالية والبشرية (</w:t>
            </w:r>
            <w:r w:rsidRPr="00DE4060">
              <w:t>CWG</w:t>
            </w:r>
            <w:r w:rsidR="00100F21" w:rsidRPr="00DE4060">
              <w:noBreakHyphen/>
            </w:r>
            <w:r w:rsidRPr="00DE4060">
              <w:t>FHR</w:t>
            </w:r>
            <w:r w:rsidRPr="00DE4060">
              <w:rPr>
                <w:rtl/>
              </w:rPr>
              <w:t>)، الذي عُقد في 3 يونيو 2024.</w:t>
            </w:r>
          </w:p>
          <w:p w14:paraId="4C0C4F38" w14:textId="77777777" w:rsidR="007B0AA0" w:rsidRPr="00DE4060" w:rsidRDefault="007B0AA0" w:rsidP="007B0AA0">
            <w:pPr>
              <w:rPr>
                <w:b/>
                <w:bCs/>
                <w:rtl/>
              </w:rPr>
            </w:pPr>
            <w:r w:rsidRPr="00DE4060">
              <w:rPr>
                <w:b/>
                <w:bCs/>
                <w:rtl/>
              </w:rPr>
              <w:t>الإجراء المطلوب من المجلس</w:t>
            </w:r>
          </w:p>
          <w:p w14:paraId="0F47F322" w14:textId="47F94A52" w:rsidR="007B0AA0" w:rsidRPr="00DE4060" w:rsidRDefault="006A2F98" w:rsidP="007B0AA0">
            <w:pPr>
              <w:rPr>
                <w:rtl/>
              </w:rPr>
            </w:pPr>
            <w:r w:rsidRPr="00DE4060">
              <w:rPr>
                <w:rtl/>
              </w:rPr>
              <w:t xml:space="preserve">يُدعى المجلس إلى </w:t>
            </w:r>
            <w:r w:rsidRPr="00787A02">
              <w:rPr>
                <w:b/>
                <w:bCs/>
                <w:rtl/>
              </w:rPr>
              <w:t>الإحاطة علماً</w:t>
            </w:r>
            <w:r w:rsidRPr="00DE4060">
              <w:rPr>
                <w:rtl/>
              </w:rPr>
              <w:t xml:space="preserve"> بأعمال فريق العمل التابع للمجلس والمعني بالموارد المالية والبشرية، </w:t>
            </w:r>
            <w:r w:rsidRPr="00DE4060">
              <w:rPr>
                <w:b/>
                <w:bCs/>
                <w:rtl/>
              </w:rPr>
              <w:t>والنظر</w:t>
            </w:r>
            <w:r w:rsidRPr="00DE4060">
              <w:rPr>
                <w:rtl/>
              </w:rPr>
              <w:t xml:space="preserve"> أيضاً في</w:t>
            </w:r>
            <w:r w:rsidR="00DE4060" w:rsidRPr="00DE4060">
              <w:rPr>
                <w:rtl/>
                <w:lang w:bidi="ar-EG"/>
              </w:rPr>
              <w:t> </w:t>
            </w:r>
            <w:r w:rsidRPr="00DE4060">
              <w:rPr>
                <w:rtl/>
              </w:rPr>
              <w:t>الإجراءات المحدَّدة في هذا التقرير و</w:t>
            </w:r>
            <w:r w:rsidRPr="00DE4060">
              <w:rPr>
                <w:b/>
                <w:bCs/>
                <w:rtl/>
              </w:rPr>
              <w:t>تقديم الآراء</w:t>
            </w:r>
            <w:r w:rsidRPr="00DE4060">
              <w:rPr>
                <w:rtl/>
              </w:rPr>
              <w:t xml:space="preserve"> بشأنها، حسب الاقتضاء.</w:t>
            </w:r>
          </w:p>
          <w:p w14:paraId="56472662" w14:textId="77777777" w:rsidR="00907B08" w:rsidRPr="00DE4060" w:rsidRDefault="00907B08" w:rsidP="00907B08">
            <w:pPr>
              <w:rPr>
                <w:b/>
                <w:bCs/>
                <w:rtl/>
                <w:lang w:bidi="ar-EG"/>
              </w:rPr>
            </w:pPr>
            <w:r w:rsidRPr="00DE4060">
              <w:rPr>
                <w:b/>
                <w:bCs/>
                <w:rtl/>
              </w:rPr>
              <w:t>الروابط ذات الصلة بالخطة الإستراتيجية</w:t>
            </w:r>
          </w:p>
          <w:p w14:paraId="02985EF0" w14:textId="235BD581" w:rsidR="00907B08" w:rsidRPr="00DE4060" w:rsidRDefault="006A2F98" w:rsidP="00907B08">
            <w:pPr>
              <w:rPr>
                <w:rtl/>
              </w:rPr>
            </w:pPr>
            <w:r w:rsidRPr="00DE4060">
              <w:rPr>
                <w:rtl/>
              </w:rPr>
              <w:t>لا توجد</w:t>
            </w:r>
          </w:p>
          <w:p w14:paraId="2A7ECECB" w14:textId="77777777" w:rsidR="00907B08" w:rsidRPr="00DE4060" w:rsidRDefault="00907B08" w:rsidP="00907B08">
            <w:pPr>
              <w:rPr>
                <w:b/>
                <w:bCs/>
                <w:rtl/>
              </w:rPr>
            </w:pPr>
            <w:r w:rsidRPr="00DE4060">
              <w:rPr>
                <w:b/>
                <w:bCs/>
                <w:rtl/>
              </w:rPr>
              <w:t>الآثار المالية</w:t>
            </w:r>
          </w:p>
          <w:p w14:paraId="5DCFFEAA" w14:textId="2F3783C9" w:rsidR="00907B08" w:rsidRPr="00DE4060" w:rsidRDefault="006A2F98" w:rsidP="007B0AA0">
            <w:pPr>
              <w:rPr>
                <w:rtl/>
              </w:rPr>
            </w:pPr>
            <w:r w:rsidRPr="00DE4060">
              <w:rPr>
                <w:rtl/>
              </w:rPr>
              <w:t>لا توجد</w:t>
            </w:r>
          </w:p>
          <w:p w14:paraId="0F69A417" w14:textId="77777777" w:rsidR="007B0AA0" w:rsidRPr="00DE4060" w:rsidRDefault="007B0AA0" w:rsidP="007B0AA0">
            <w:pPr>
              <w:rPr>
                <w:rFonts w:ascii="Traditional Arabic" w:hAnsi="Traditional Arabic" w:cs="Traditional Arabic"/>
                <w:sz w:val="30"/>
                <w:szCs w:val="30"/>
                <w:rtl/>
              </w:rPr>
            </w:pPr>
            <w:r w:rsidRPr="00DE4060">
              <w:rPr>
                <w:rFonts w:ascii="Traditional Arabic" w:hAnsi="Traditional Arabic" w:cs="Traditional Arabic" w:hint="cs"/>
                <w:sz w:val="30"/>
                <w:szCs w:val="30"/>
                <w:rtl/>
              </w:rPr>
              <w:t>___________</w:t>
            </w:r>
          </w:p>
          <w:p w14:paraId="62C8C225" w14:textId="77777777" w:rsidR="007B0AA0" w:rsidRPr="00DE4060" w:rsidRDefault="007B0AA0" w:rsidP="007B0AA0">
            <w:pPr>
              <w:rPr>
                <w:b/>
                <w:bCs/>
                <w:rtl/>
              </w:rPr>
            </w:pPr>
            <w:r w:rsidRPr="00DE4060">
              <w:rPr>
                <w:b/>
                <w:bCs/>
                <w:rtl/>
              </w:rPr>
              <w:t>المراجع</w:t>
            </w:r>
          </w:p>
          <w:p w14:paraId="4ACD03B2" w14:textId="227FC3C8" w:rsidR="007B0AA0" w:rsidRPr="00DE4060" w:rsidRDefault="006A2F98" w:rsidP="00787A02">
            <w:pPr>
              <w:spacing w:after="120"/>
              <w:rPr>
                <w:i/>
                <w:iCs/>
                <w:rtl/>
              </w:rPr>
            </w:pPr>
            <w:r w:rsidRPr="00DE4060">
              <w:rPr>
                <w:i/>
                <w:iCs/>
                <w:rtl/>
                <w:lang w:bidi="ar-EG"/>
              </w:rPr>
              <w:t xml:space="preserve">الوثيقة </w:t>
            </w:r>
            <w:hyperlink r:id="rId8" w:history="1">
              <w:r w:rsidRPr="00DE4060">
                <w:rPr>
                  <w:rStyle w:val="Hyperlink"/>
                  <w:i/>
                  <w:iCs/>
                </w:rPr>
                <w:t>C50/22</w:t>
              </w:r>
            </w:hyperlink>
            <w:r w:rsidRPr="00DE4060">
              <w:rPr>
                <w:i/>
                <w:iCs/>
                <w:rtl/>
                <w:lang w:bidi="ar-EG"/>
              </w:rPr>
              <w:t xml:space="preserve"> و</w:t>
            </w:r>
            <w:hyperlink r:id="rId9" w:history="1">
              <w:r w:rsidRPr="00DE4060">
                <w:rPr>
                  <w:rStyle w:val="Hyperlink"/>
                  <w:i/>
                  <w:iCs/>
                  <w:rtl/>
                  <w:lang w:bidi="ar-EG"/>
                </w:rPr>
                <w:t>المقرر 563 (المعدَل في 2023) الصادر عن المجلس</w:t>
              </w:r>
            </w:hyperlink>
          </w:p>
        </w:tc>
      </w:tr>
    </w:tbl>
    <w:p w14:paraId="05D61A8E" w14:textId="77777777" w:rsidR="00F50E3F" w:rsidRPr="00DE4060" w:rsidRDefault="00F50E3F" w:rsidP="00907B08">
      <w:pPr>
        <w:rPr>
          <w:rtl/>
          <w:lang w:bidi="ar-EG"/>
        </w:rPr>
      </w:pPr>
      <w:r w:rsidRPr="00DE4060">
        <w:rPr>
          <w:rtl/>
          <w:lang w:bidi="ar-EG"/>
        </w:rPr>
        <w:br w:type="page"/>
      </w:r>
    </w:p>
    <w:p w14:paraId="62A778F3" w14:textId="77777777" w:rsidR="00C1235B" w:rsidRPr="00DE4060" w:rsidRDefault="00C1235B" w:rsidP="00C1235B">
      <w:pPr>
        <w:pStyle w:val="Heading1"/>
        <w:rPr>
          <w:rtl/>
          <w:lang w:bidi="ar-EG"/>
        </w:rPr>
      </w:pPr>
      <w:r w:rsidRPr="00DE4060">
        <w:rPr>
          <w:rtl/>
          <w:lang w:bidi="ar-EG"/>
        </w:rPr>
        <w:lastRenderedPageBreak/>
        <w:t>1</w:t>
      </w:r>
      <w:r w:rsidRPr="00DE4060">
        <w:rPr>
          <w:rtl/>
          <w:lang w:bidi="ar-EG"/>
        </w:rPr>
        <w:tab/>
        <w:t>اللوائح المـاليـة والقواعـد الماليـة</w:t>
      </w:r>
    </w:p>
    <w:p w14:paraId="4DD7F61E" w14:textId="5279087F" w:rsidR="00C1235B" w:rsidRPr="00DE4060" w:rsidRDefault="00C1235B" w:rsidP="00C1235B">
      <w:pPr>
        <w:rPr>
          <w:rtl/>
          <w:lang w:bidi="ar-EG"/>
        </w:rPr>
      </w:pPr>
      <w:r w:rsidRPr="00DE4060">
        <w:rPr>
          <w:rtl/>
          <w:lang w:bidi="ar-EG"/>
        </w:rPr>
        <w:t>1.1</w:t>
      </w:r>
      <w:r w:rsidRPr="00DE4060">
        <w:rPr>
          <w:rtl/>
          <w:lang w:bidi="ar-EG"/>
        </w:rPr>
        <w:tab/>
        <w:t>أنشأ فريق العمل التابع للمجلس والمعني بالموارد المالية والبشرية (</w:t>
      </w:r>
      <w:r w:rsidRPr="00DE4060">
        <w:rPr>
          <w:lang w:bidi="ar-EG"/>
        </w:rPr>
        <w:t>CWG-FHR</w:t>
      </w:r>
      <w:r w:rsidRPr="00DE4060">
        <w:rPr>
          <w:rtl/>
          <w:lang w:bidi="ar-EG"/>
        </w:rPr>
        <w:t>) في دورته التي عقدت في</w:t>
      </w:r>
      <w:r w:rsidR="0022712E">
        <w:rPr>
          <w:rFonts w:hint="cs"/>
          <w:rtl/>
          <w:lang w:bidi="ar-EG"/>
        </w:rPr>
        <w:t> </w:t>
      </w:r>
      <w:r w:rsidRPr="00DE4060">
        <w:rPr>
          <w:rtl/>
          <w:lang w:bidi="ar-EG"/>
        </w:rPr>
        <w:t>يناير</w:t>
      </w:r>
      <w:r w:rsidR="0022712E">
        <w:rPr>
          <w:rFonts w:hint="cs"/>
          <w:rtl/>
          <w:lang w:bidi="ar-EG"/>
        </w:rPr>
        <w:t> </w:t>
      </w:r>
      <w:r w:rsidRPr="00DE4060">
        <w:rPr>
          <w:rtl/>
          <w:lang w:bidi="ar-EG"/>
        </w:rPr>
        <w:t xml:space="preserve">2024 فريق عمل بالمراسلة عبر الإنترنت لاستعراض التغييرات المقترحة على اللوائح المالية والواردة في الوثيقة </w:t>
      </w:r>
      <w:hyperlink r:id="rId10" w:history="1">
        <w:r w:rsidRPr="00DE4060">
          <w:rPr>
            <w:rStyle w:val="Hyperlink"/>
            <w:lang w:bidi="ar-EG"/>
          </w:rPr>
          <w:t>CWG</w:t>
        </w:r>
        <w:r w:rsidRPr="00DE4060">
          <w:rPr>
            <w:rStyle w:val="Hyperlink"/>
            <w:lang w:bidi="ar-EG"/>
          </w:rPr>
          <w:noBreakHyphen/>
          <w:t>FHR</w:t>
        </w:r>
        <w:r w:rsidRPr="00DE4060">
          <w:rPr>
            <w:rStyle w:val="Hyperlink"/>
            <w:lang w:bidi="ar-EG"/>
          </w:rPr>
          <w:noBreakHyphen/>
          <w:t>17/10</w:t>
        </w:r>
      </w:hyperlink>
      <w:r w:rsidRPr="00DE4060">
        <w:rPr>
          <w:rtl/>
          <w:lang w:bidi="ar-EG"/>
        </w:rPr>
        <w:t xml:space="preserve"> ومواصلة مناقشتها بهدف إقرار التوصيات المقدمة إلى المجلس في دورته لعام 2024. وأجرى فريق العمل بالمراسلة، والذي ضم 66 مشاركاً، عمله في الفترة من فبراير حتى أبريل 2024 من خلال صفحة مراسلة لتسهيل نشر التغييرات المقترحة وأسسها المنطقية وأسئلتها وتعليقاتها وغيرها من المناقشات. ونُشرت التوصيات النهائية على صفحة المراسلة في</w:t>
      </w:r>
      <w:r w:rsidR="0022712E">
        <w:rPr>
          <w:rFonts w:hint="cs"/>
          <w:rtl/>
          <w:lang w:bidi="ar-EG"/>
        </w:rPr>
        <w:t> </w:t>
      </w:r>
      <w:r w:rsidRPr="00DE4060">
        <w:rPr>
          <w:rtl/>
          <w:lang w:bidi="ar-EG"/>
        </w:rPr>
        <w:t>24</w:t>
      </w:r>
      <w:r w:rsidR="0022712E">
        <w:rPr>
          <w:rFonts w:hint="cs"/>
          <w:rtl/>
          <w:lang w:bidi="ar-EG"/>
        </w:rPr>
        <w:t> </w:t>
      </w:r>
      <w:r w:rsidRPr="00DE4060">
        <w:rPr>
          <w:rtl/>
          <w:lang w:bidi="ar-EG"/>
        </w:rPr>
        <w:t>أبريل 2024، ودُعي جميع الأعضاء لتقديم أي تعليقات نهائية. ولم يعرب أي من الأعضاء عن معارضته. وأُدرجت وثيقة إضافية (</w:t>
      </w:r>
      <w:hyperlink r:id="rId11" w:history="1">
        <w:r w:rsidRPr="00DE4060">
          <w:rPr>
            <w:rStyle w:val="Hyperlink"/>
            <w:rtl/>
            <w:lang w:bidi="ar-EG"/>
          </w:rPr>
          <w:t>ملخص وورقة موقف - التغييرات المقترحة على اللوائح المـاليـة والقواعـد الماليـة</w:t>
        </w:r>
      </w:hyperlink>
      <w:r w:rsidRPr="00DE4060">
        <w:rPr>
          <w:rtl/>
          <w:lang w:bidi="ar-EG"/>
        </w:rPr>
        <w:t xml:space="preserve">) في التقرير بوصفها </w:t>
      </w:r>
      <w:hyperlink r:id="rId12" w:history="1">
        <w:r w:rsidR="0022712E">
          <w:rPr>
            <w:rStyle w:val="Hyperlink"/>
            <w:rFonts w:hint="cs"/>
            <w:rtl/>
            <w:lang w:bidi="ar-EG"/>
          </w:rPr>
          <w:t>الملحق</w:t>
        </w:r>
        <w:r w:rsidRPr="00DE4060">
          <w:rPr>
            <w:rStyle w:val="Hyperlink"/>
            <w:rtl/>
            <w:lang w:bidi="ar-EG"/>
          </w:rPr>
          <w:t xml:space="preserve"> </w:t>
        </w:r>
        <w:r w:rsidRPr="00DE4060">
          <w:rPr>
            <w:rStyle w:val="Hyperlink"/>
            <w:lang w:bidi="ar-EG"/>
          </w:rPr>
          <w:t>B</w:t>
        </w:r>
      </w:hyperlink>
      <w:r w:rsidRPr="00DE4060">
        <w:rPr>
          <w:rtl/>
          <w:lang w:bidi="ar-EG"/>
        </w:rPr>
        <w:t xml:space="preserve"> بناء</w:t>
      </w:r>
      <w:r w:rsidR="0022712E">
        <w:rPr>
          <w:rFonts w:hint="cs"/>
          <w:rtl/>
          <w:lang w:bidi="ar-EG"/>
        </w:rPr>
        <w:t>ً</w:t>
      </w:r>
      <w:r w:rsidRPr="00DE4060">
        <w:rPr>
          <w:rtl/>
          <w:lang w:bidi="ar-EG"/>
        </w:rPr>
        <w:t xml:space="preserve"> على طلب العديد من الدول الأعضاء. وتوفر هذه الوثيقة محضراً للمناقشات التي جرت بالإضافة إلى مزيد من التفاصيل وسياق التوصيات النهائية. </w:t>
      </w:r>
      <w:r w:rsidRPr="00DE4060">
        <w:rPr>
          <w:b/>
          <w:bCs/>
          <w:rtl/>
          <w:lang w:bidi="ar-EG"/>
        </w:rPr>
        <w:t xml:space="preserve">ويوصي الفريق </w:t>
      </w:r>
      <w:r w:rsidRPr="00DE4060">
        <w:rPr>
          <w:b/>
          <w:bCs/>
          <w:lang w:bidi="ar-EG"/>
        </w:rPr>
        <w:t>CWG-FHR</w:t>
      </w:r>
      <w:r w:rsidRPr="00DE4060">
        <w:rPr>
          <w:b/>
          <w:bCs/>
          <w:rtl/>
          <w:lang w:bidi="ar-EG"/>
        </w:rPr>
        <w:t xml:space="preserve"> بأن يوافق المجلس في دورته لعام 2024</w:t>
      </w:r>
      <w:r w:rsidRPr="00DE4060">
        <w:rPr>
          <w:rtl/>
          <w:lang w:bidi="ar-EG"/>
        </w:rPr>
        <w:t xml:space="preserve"> على التحديثات المقترحة للوائح المالية والقواعد المالية - طبعة </w:t>
      </w:r>
      <w:r w:rsidR="00787A02">
        <w:rPr>
          <w:lang w:bidi="ar-EG"/>
        </w:rPr>
        <w:t>201</w:t>
      </w:r>
      <w:r w:rsidR="00EC48FD">
        <w:rPr>
          <w:lang w:bidi="ar-EG"/>
        </w:rPr>
        <w:t>2</w:t>
      </w:r>
      <w:r w:rsidRPr="00DE4060">
        <w:rPr>
          <w:rtl/>
          <w:lang w:bidi="ar-EG"/>
        </w:rPr>
        <w:t xml:space="preserve"> (</w:t>
      </w:r>
      <w:hyperlink r:id="rId13" w:history="1">
        <w:r w:rsidRPr="00EC48FD">
          <w:rPr>
            <w:rStyle w:val="Hyperlink"/>
            <w:lang w:bidi="ar-EG"/>
          </w:rPr>
          <w:t>FRFR</w:t>
        </w:r>
      </w:hyperlink>
      <w:r w:rsidRPr="00DE4060">
        <w:rPr>
          <w:rtl/>
          <w:lang w:bidi="ar-EG"/>
        </w:rPr>
        <w:t>).</w:t>
      </w:r>
    </w:p>
    <w:p w14:paraId="7109AFB1" w14:textId="77777777" w:rsidR="00C1235B" w:rsidRPr="00DE4060" w:rsidRDefault="00C1235B" w:rsidP="00C1235B">
      <w:pPr>
        <w:pStyle w:val="Headingb"/>
        <w:rPr>
          <w:rtl/>
          <w:lang w:bidi="ar-EG"/>
        </w:rPr>
      </w:pPr>
      <w:r w:rsidRPr="00DE4060">
        <w:rPr>
          <w:rtl/>
          <w:lang w:bidi="ar-EG"/>
        </w:rPr>
        <w:t>التوصيات:</w:t>
      </w:r>
    </w:p>
    <w:p w14:paraId="1BA60E7E" w14:textId="77777777" w:rsidR="00C1235B" w:rsidRPr="00DE4060" w:rsidRDefault="00C1235B" w:rsidP="00C1235B">
      <w:pPr>
        <w:pStyle w:val="Headingb"/>
        <w:rPr>
          <w:rtl/>
          <w:lang w:bidi="ar-EG"/>
        </w:rPr>
      </w:pPr>
      <w:r w:rsidRPr="00DE4060">
        <w:rPr>
          <w:rtl/>
          <w:lang w:bidi="ar-EG"/>
        </w:rPr>
        <w:t>ديباجة (لا يوجد معيار من المعايير المحاسبية الدولية للقطاع العام ذو صلة مباشرة)</w:t>
      </w:r>
    </w:p>
    <w:p w14:paraId="4C86AE8C" w14:textId="55A09631" w:rsidR="00C1235B" w:rsidRPr="00DE4060" w:rsidRDefault="00C1235B" w:rsidP="00C1235B">
      <w:pPr>
        <w:pStyle w:val="enumlev1"/>
        <w:rPr>
          <w:rtl/>
        </w:rPr>
      </w:pPr>
      <w:r w:rsidRPr="00DE4060">
        <w:sym w:font="Wingdings 2" w:char="F097"/>
      </w:r>
      <w:r w:rsidRPr="00DE4060">
        <w:tab/>
      </w:r>
      <w:r w:rsidRPr="00DE4060">
        <w:rPr>
          <w:rtl/>
        </w:rPr>
        <w:t>تم حذف الجملة الثانية من الفقرة 3 لأن جميع الأموال التي يديرها الاتحاد، بما في ذلك أموال المشاريع، ينبغي إدارتها بموجب اللوائح المالية للاتحاد.</w:t>
      </w:r>
    </w:p>
    <w:p w14:paraId="65E3023B" w14:textId="23C8E16F" w:rsidR="00C1235B" w:rsidRPr="00DE4060" w:rsidRDefault="00C1235B" w:rsidP="00C1235B">
      <w:pPr>
        <w:pStyle w:val="enumlev1"/>
        <w:rPr>
          <w:rtl/>
        </w:rPr>
      </w:pPr>
      <w:r w:rsidRPr="00DE4060">
        <w:sym w:font="Wingdings 2" w:char="F097"/>
      </w:r>
      <w:r w:rsidRPr="00DE4060">
        <w:tab/>
      </w:r>
      <w:r w:rsidRPr="00DE4060">
        <w:rPr>
          <w:b/>
          <w:bCs/>
          <w:rtl/>
        </w:rPr>
        <w:t>التوصية</w:t>
      </w:r>
      <w:r w:rsidRPr="00DE4060">
        <w:rPr>
          <w:rtl/>
        </w:rPr>
        <w:t xml:space="preserve">: كانت نتيجة الجلسة الافتراضية للفريق </w:t>
      </w:r>
      <w:r w:rsidRPr="00DE4060">
        <w:t>CWG-FHR</w:t>
      </w:r>
      <w:r w:rsidRPr="00DE4060">
        <w:rPr>
          <w:rtl/>
        </w:rPr>
        <w:t xml:space="preserve"> التي عقدت في 2 أبريل 2024 هي قبول هذا الحذف من الفقرة حيث ينبغي إدارة جميع الأموال المستلمة بموجب اللوائح والقواعد المالية للاتحاد فقط.</w:t>
      </w:r>
    </w:p>
    <w:p w14:paraId="50D97550" w14:textId="77777777" w:rsidR="00C1235B" w:rsidRPr="00DE4060" w:rsidRDefault="00C1235B" w:rsidP="00C1235B">
      <w:pPr>
        <w:pStyle w:val="Headingb"/>
        <w:rPr>
          <w:spacing w:val="-2"/>
          <w:rtl/>
          <w:lang w:bidi="ar-EG"/>
        </w:rPr>
      </w:pPr>
      <w:r w:rsidRPr="00DE4060">
        <w:rPr>
          <w:spacing w:val="-2"/>
          <w:rtl/>
          <w:lang w:bidi="ar-EG"/>
        </w:rPr>
        <w:t>المادة 1 - إدارة مالية الاتحاد ومراقبتها (لا يوجد معيار من المعايير المحاسبية الدولية للقطاع العام ذو صلة مباشرة)</w:t>
      </w:r>
    </w:p>
    <w:p w14:paraId="41765CC6" w14:textId="30A23740" w:rsidR="00C1235B" w:rsidRPr="00DE4060" w:rsidRDefault="00844CCA" w:rsidP="00844CCA">
      <w:pPr>
        <w:pStyle w:val="enumlev1"/>
        <w:rPr>
          <w:rtl/>
        </w:rPr>
      </w:pPr>
      <w:r w:rsidRPr="00DE4060">
        <w:sym w:font="Wingdings 2" w:char="F097"/>
      </w:r>
      <w:r w:rsidRPr="00DE4060">
        <w:tab/>
      </w:r>
      <w:r w:rsidR="00C1235B" w:rsidRPr="00DE4060">
        <w:rPr>
          <w:rtl/>
        </w:rPr>
        <w:t>لا توجد تغييرات مقترحة.</w:t>
      </w:r>
    </w:p>
    <w:p w14:paraId="74D1E22E" w14:textId="1B2CEB8B" w:rsidR="00C1235B" w:rsidRPr="00DE4060" w:rsidRDefault="00844CCA" w:rsidP="00844CCA">
      <w:pPr>
        <w:pStyle w:val="enumlev1"/>
        <w:rPr>
          <w:rtl/>
        </w:rPr>
      </w:pPr>
      <w:r w:rsidRPr="00DE4060">
        <w:sym w:font="Wingdings 2" w:char="F097"/>
      </w:r>
      <w:r w:rsidRPr="00DE4060">
        <w:tab/>
      </w:r>
      <w:r w:rsidR="00C1235B" w:rsidRPr="00DE4060">
        <w:rPr>
          <w:b/>
          <w:bCs/>
          <w:rtl/>
        </w:rPr>
        <w:t>التوصية</w:t>
      </w:r>
      <w:r w:rsidR="00C1235B" w:rsidRPr="00DE4060">
        <w:rPr>
          <w:rtl/>
        </w:rPr>
        <w:t xml:space="preserve">: بعد المناقشة، خلص فريق العمل بالمراسلة التابع للفريق </w:t>
      </w:r>
      <w:r w:rsidR="00C1235B" w:rsidRPr="00DE4060">
        <w:t>CWG-FHR</w:t>
      </w:r>
      <w:r w:rsidR="00C1235B" w:rsidRPr="00DE4060">
        <w:rPr>
          <w:rtl/>
        </w:rPr>
        <w:t xml:space="preserve"> في جلسته الافتراضية الإبقاء على</w:t>
      </w:r>
      <w:r w:rsidR="00A30544">
        <w:rPr>
          <w:rFonts w:hint="cs"/>
          <w:rtl/>
        </w:rPr>
        <w:t> </w:t>
      </w:r>
      <w:r w:rsidR="00C1235B" w:rsidRPr="00DE4060">
        <w:rPr>
          <w:rtl/>
        </w:rPr>
        <w:t>هذه الفقرات بموجب اللوائح المالية. ولذلك، لا يُقترح أي تغيير. ومن الآن فصاعداً، هناك حاجة إلى مزيد من</w:t>
      </w:r>
      <w:r w:rsidR="00A30544">
        <w:rPr>
          <w:rFonts w:hint="cs"/>
          <w:rtl/>
        </w:rPr>
        <w:t> </w:t>
      </w:r>
      <w:r w:rsidR="00C1235B" w:rsidRPr="00DE4060">
        <w:rPr>
          <w:rtl/>
        </w:rPr>
        <w:t>العمل بشأن إدماج دور لجنة العقود في دليل المشتريات الحالي للاتحاد. وسيتم القيام بذلك وإبلاغ المجلس به.</w:t>
      </w:r>
    </w:p>
    <w:p w14:paraId="32DEFF24" w14:textId="77777777" w:rsidR="00C1235B" w:rsidRPr="00DE4060" w:rsidRDefault="00C1235B" w:rsidP="00C1235B">
      <w:pPr>
        <w:pStyle w:val="Headingb"/>
        <w:rPr>
          <w:spacing w:val="-2"/>
          <w:rtl/>
          <w:lang w:bidi="ar-EG"/>
        </w:rPr>
      </w:pPr>
      <w:r w:rsidRPr="00DE4060">
        <w:rPr>
          <w:rtl/>
        </w:rPr>
        <w:t>المادة</w:t>
      </w:r>
      <w:r w:rsidRPr="00DE4060">
        <w:rPr>
          <w:spacing w:val="-2"/>
          <w:rtl/>
          <w:lang w:bidi="ar-EG"/>
        </w:rPr>
        <w:t xml:space="preserve"> 3 - ميزانية أمانة تليكوم الاتحاد (لا يوجد معيار من المعايير المحاسبية الدولية للقطاع العام ذو صلة مباشرة)</w:t>
      </w:r>
    </w:p>
    <w:p w14:paraId="2FEEC871" w14:textId="0940E3B0" w:rsidR="00C1235B" w:rsidRPr="00DE4060" w:rsidRDefault="00844CCA" w:rsidP="00844CCA">
      <w:pPr>
        <w:pStyle w:val="enumlev1"/>
        <w:rPr>
          <w:rtl/>
        </w:rPr>
      </w:pPr>
      <w:r w:rsidRPr="00DE4060">
        <w:sym w:font="Wingdings 2" w:char="F097"/>
      </w:r>
      <w:r w:rsidRPr="00DE4060">
        <w:tab/>
      </w:r>
      <w:r w:rsidR="00C1235B" w:rsidRPr="00DE4060">
        <w:rPr>
          <w:rtl/>
        </w:rPr>
        <w:t>يُقترح حذف هذه المادة لأن تليكوم الاتحاد لم يعد حدثاً.</w:t>
      </w:r>
    </w:p>
    <w:p w14:paraId="768C7203" w14:textId="196B962E" w:rsidR="00C1235B" w:rsidRPr="00DE4060" w:rsidRDefault="00844CCA" w:rsidP="00844CCA">
      <w:pPr>
        <w:pStyle w:val="enumlev1"/>
        <w:rPr>
          <w:rtl/>
        </w:rPr>
      </w:pPr>
      <w:r w:rsidRPr="00DE4060">
        <w:sym w:font="Wingdings 2" w:char="F097"/>
      </w:r>
      <w:r w:rsidRPr="00DE4060">
        <w:tab/>
      </w:r>
      <w:r w:rsidR="00C1235B" w:rsidRPr="00DE4060">
        <w:rPr>
          <w:b/>
          <w:bCs/>
          <w:rtl/>
        </w:rPr>
        <w:t>التوصية</w:t>
      </w:r>
      <w:r w:rsidR="00C1235B" w:rsidRPr="00DE4060">
        <w:rPr>
          <w:rtl/>
        </w:rPr>
        <w:t xml:space="preserve">: أيد فريق العمل بالمراسلة التابع للفريق </w:t>
      </w:r>
      <w:r w:rsidR="00C1235B" w:rsidRPr="00DE4060">
        <w:t>CWG-FHR</w:t>
      </w:r>
      <w:r w:rsidR="00C1235B" w:rsidRPr="00DE4060">
        <w:rPr>
          <w:rtl/>
        </w:rPr>
        <w:t xml:space="preserve"> هذا التغيير المقترح في جلسته الافتراضية.</w:t>
      </w:r>
    </w:p>
    <w:p w14:paraId="04FECA90" w14:textId="77777777" w:rsidR="00C1235B" w:rsidRPr="00DE4060" w:rsidRDefault="00C1235B" w:rsidP="00234FE3">
      <w:pPr>
        <w:pStyle w:val="Headingb"/>
        <w:rPr>
          <w:rtl/>
          <w:lang w:bidi="ar-EG"/>
        </w:rPr>
      </w:pPr>
      <w:r w:rsidRPr="00DE4060">
        <w:rPr>
          <w:rtl/>
          <w:lang w:bidi="ar-EG"/>
        </w:rPr>
        <w:t xml:space="preserve">المادة 9- الموافقة على </w:t>
      </w:r>
      <w:r w:rsidRPr="00787A02">
        <w:rPr>
          <w:rtl/>
          <w:lang w:bidi="ar-EG"/>
        </w:rPr>
        <w:t>ميزانيات</w:t>
      </w:r>
      <w:r w:rsidRPr="00DE4060">
        <w:rPr>
          <w:rtl/>
          <w:lang w:bidi="ar-EG"/>
        </w:rPr>
        <w:t xml:space="preserve"> السنتين</w:t>
      </w:r>
    </w:p>
    <w:p w14:paraId="3DADB853" w14:textId="38DBF189" w:rsidR="00C1235B" w:rsidRPr="00DE4060" w:rsidRDefault="00844CCA" w:rsidP="00844CCA">
      <w:pPr>
        <w:pStyle w:val="enumlev1"/>
        <w:rPr>
          <w:rtl/>
        </w:rPr>
      </w:pPr>
      <w:r w:rsidRPr="00DE4060">
        <w:sym w:font="Wingdings 2" w:char="F097"/>
      </w:r>
      <w:r w:rsidRPr="00DE4060">
        <w:tab/>
      </w:r>
      <w:r w:rsidR="00C1235B" w:rsidRPr="00DE4060">
        <w:rPr>
          <w:rtl/>
        </w:rPr>
        <w:t>يُقترح حذف الفقرة 4 لأنها متقادمة.</w:t>
      </w:r>
    </w:p>
    <w:p w14:paraId="4C8522F7" w14:textId="68CDE790" w:rsidR="00C1235B" w:rsidRPr="00DE4060" w:rsidRDefault="00844CCA" w:rsidP="00844CCA">
      <w:pPr>
        <w:pStyle w:val="enumlev1"/>
        <w:rPr>
          <w:rtl/>
        </w:rPr>
      </w:pPr>
      <w:r w:rsidRPr="00DE4060">
        <w:sym w:font="Wingdings 2" w:char="F097"/>
      </w:r>
      <w:r w:rsidRPr="00DE4060">
        <w:tab/>
      </w:r>
      <w:r w:rsidR="00C1235B" w:rsidRPr="00DE4060">
        <w:rPr>
          <w:b/>
          <w:bCs/>
          <w:rtl/>
        </w:rPr>
        <w:t>التوصية</w:t>
      </w:r>
      <w:r w:rsidR="00C1235B" w:rsidRPr="00DE4060">
        <w:rPr>
          <w:rtl/>
        </w:rPr>
        <w:t xml:space="preserve">: أيد فريق العمل بالمراسلة التابع للفريق </w:t>
      </w:r>
      <w:r w:rsidR="00C1235B" w:rsidRPr="00DE4060">
        <w:t>CWG-FHR</w:t>
      </w:r>
      <w:r w:rsidR="00C1235B" w:rsidRPr="00DE4060">
        <w:rPr>
          <w:rtl/>
        </w:rPr>
        <w:t xml:space="preserve"> هذا التغيير المقترح في جلسته الافتراضية.</w:t>
      </w:r>
    </w:p>
    <w:p w14:paraId="2A9B3D44" w14:textId="77777777" w:rsidR="00C1235B" w:rsidRPr="00DE4060" w:rsidRDefault="00C1235B" w:rsidP="00787A02">
      <w:pPr>
        <w:pStyle w:val="Headingb"/>
        <w:ind w:left="0" w:firstLine="0"/>
        <w:rPr>
          <w:rtl/>
          <w:lang w:bidi="ar-EG"/>
        </w:rPr>
      </w:pPr>
      <w:r w:rsidRPr="00DE4060">
        <w:rPr>
          <w:rtl/>
          <w:lang w:bidi="ar-EG"/>
        </w:rPr>
        <w:t>المادة 10 - تنفيذ ميزانية الاتحاد: دور الأمين العام (لا يوجد معيار من المعايير المحاسبية الدولية للقطاع العام ذو صلة مباشرة)</w:t>
      </w:r>
    </w:p>
    <w:p w14:paraId="208A23E2" w14:textId="10A8A49D" w:rsidR="00C1235B" w:rsidRPr="00DE4060" w:rsidRDefault="00844CCA" w:rsidP="00844CCA">
      <w:pPr>
        <w:pStyle w:val="enumlev1"/>
        <w:rPr>
          <w:rtl/>
        </w:rPr>
      </w:pPr>
      <w:r w:rsidRPr="00DE4060">
        <w:sym w:font="Wingdings 2" w:char="F097"/>
      </w:r>
      <w:r w:rsidRPr="00DE4060">
        <w:tab/>
      </w:r>
      <w:r w:rsidR="00C1235B" w:rsidRPr="00DE4060">
        <w:rPr>
          <w:rtl/>
        </w:rPr>
        <w:t>الفقرة 6، تحذف الإشارة إلى أنشطة تليكوم الاتحاد.</w:t>
      </w:r>
    </w:p>
    <w:p w14:paraId="6E8F6832" w14:textId="30BFCEBD" w:rsidR="00C1235B" w:rsidRPr="00DE4060" w:rsidRDefault="00844CCA" w:rsidP="00844CCA">
      <w:pPr>
        <w:pStyle w:val="enumlev1"/>
        <w:rPr>
          <w:rtl/>
        </w:rPr>
      </w:pPr>
      <w:r w:rsidRPr="00DE4060">
        <w:sym w:font="Wingdings 2" w:char="F097"/>
      </w:r>
      <w:r w:rsidRPr="00DE4060">
        <w:tab/>
      </w:r>
      <w:r w:rsidR="00C1235B" w:rsidRPr="00DE4060">
        <w:rPr>
          <w:rtl/>
        </w:rPr>
        <w:t>الفقرة 6، نقل التقارير إلى منصة على شبكة الإنترنت.</w:t>
      </w:r>
    </w:p>
    <w:p w14:paraId="0E9D30DE" w14:textId="496AE8E0" w:rsidR="00C1235B" w:rsidRPr="00DE4060" w:rsidRDefault="00844CCA" w:rsidP="00844CCA">
      <w:pPr>
        <w:pStyle w:val="enumlev1"/>
        <w:rPr>
          <w:rtl/>
        </w:rPr>
      </w:pPr>
      <w:r w:rsidRPr="00DE4060">
        <w:sym w:font="Wingdings 2" w:char="F097"/>
      </w:r>
      <w:r w:rsidRPr="00DE4060">
        <w:tab/>
      </w:r>
      <w:r w:rsidR="00C1235B" w:rsidRPr="00DE4060">
        <w:rPr>
          <w:b/>
          <w:bCs/>
          <w:rtl/>
        </w:rPr>
        <w:t>التوصية</w:t>
      </w:r>
      <w:r w:rsidR="00C1235B" w:rsidRPr="00DE4060">
        <w:rPr>
          <w:rtl/>
        </w:rPr>
        <w:t xml:space="preserve">: أيد فريق العمل بالمراسلة التابع للفريق </w:t>
      </w:r>
      <w:r w:rsidR="00C1235B" w:rsidRPr="00DE4060">
        <w:t>CWG-FHR</w:t>
      </w:r>
      <w:r w:rsidR="00C1235B" w:rsidRPr="00DE4060">
        <w:rPr>
          <w:rtl/>
        </w:rPr>
        <w:t xml:space="preserve"> هذا التغيير المقترح في جلسته الافتراضية. وسيضمن الاتحاد إتاحة المعلومات ربع السنوية التاريخية.</w:t>
      </w:r>
    </w:p>
    <w:p w14:paraId="3F685AF0" w14:textId="77777777" w:rsidR="00C1235B" w:rsidRPr="00DE4060" w:rsidRDefault="00C1235B" w:rsidP="00787A02">
      <w:pPr>
        <w:pStyle w:val="Headingb"/>
        <w:ind w:left="0" w:firstLine="0"/>
        <w:rPr>
          <w:rtl/>
          <w:lang w:bidi="ar-EG"/>
        </w:rPr>
      </w:pPr>
      <w:r w:rsidRPr="00DE4060">
        <w:rPr>
          <w:rtl/>
          <w:lang w:bidi="ar-EG"/>
        </w:rPr>
        <w:lastRenderedPageBreak/>
        <w:t>المادة 15 – حفظ النقد ومكافئات النقد (المعيار 2 من المعايير المحاسبية الدولية للقطاع العام – بيانات التدفقات النقدية)</w:t>
      </w:r>
    </w:p>
    <w:p w14:paraId="21757C0F" w14:textId="2AAE25A5" w:rsidR="00C1235B" w:rsidRPr="00DE4060" w:rsidRDefault="00844CCA" w:rsidP="00787A02">
      <w:pPr>
        <w:pStyle w:val="enumlev1"/>
        <w:keepNext/>
        <w:rPr>
          <w:rtl/>
        </w:rPr>
      </w:pPr>
      <w:r w:rsidRPr="00DE4060">
        <w:sym w:font="Wingdings 2" w:char="F097"/>
      </w:r>
      <w:r w:rsidRPr="00DE4060">
        <w:tab/>
      </w:r>
      <w:r w:rsidR="00C1235B" w:rsidRPr="00DE4060">
        <w:rPr>
          <w:rtl/>
        </w:rPr>
        <w:t>إدخال نص جديد لتعزيز المساءلة المالية بشأن النقد ومكافئات النقد في الاتحاد.</w:t>
      </w:r>
    </w:p>
    <w:p w14:paraId="3325213E" w14:textId="75E6F51E" w:rsidR="00C1235B" w:rsidRPr="00DE4060" w:rsidRDefault="00844CCA" w:rsidP="00844CCA">
      <w:pPr>
        <w:pStyle w:val="enumlev1"/>
        <w:rPr>
          <w:rtl/>
        </w:rPr>
      </w:pPr>
      <w:r w:rsidRPr="00DE4060">
        <w:sym w:font="Wingdings 2" w:char="F097"/>
      </w:r>
      <w:r w:rsidRPr="00DE4060">
        <w:tab/>
      </w:r>
      <w:r w:rsidR="00C1235B" w:rsidRPr="00DE4060">
        <w:rPr>
          <w:b/>
          <w:bCs/>
          <w:rtl/>
        </w:rPr>
        <w:t>التوصية</w:t>
      </w:r>
      <w:r w:rsidR="00C1235B" w:rsidRPr="00DE4060">
        <w:rPr>
          <w:rtl/>
        </w:rPr>
        <w:t xml:space="preserve">: أيد فريق العمل بالمراسلة التابع للفريق </w:t>
      </w:r>
      <w:r w:rsidR="00C1235B" w:rsidRPr="00DE4060">
        <w:t>CWG-FHR</w:t>
      </w:r>
      <w:r w:rsidR="00C1235B" w:rsidRPr="00DE4060">
        <w:rPr>
          <w:rtl/>
        </w:rPr>
        <w:t xml:space="preserve"> هذا التغيير المقترح في جلسته الافتراضية.</w:t>
      </w:r>
    </w:p>
    <w:p w14:paraId="3279208A" w14:textId="77777777" w:rsidR="00C1235B" w:rsidRPr="00DE4060" w:rsidRDefault="00C1235B" w:rsidP="00787A02">
      <w:pPr>
        <w:pStyle w:val="Headingb"/>
        <w:ind w:left="0" w:firstLine="0"/>
        <w:rPr>
          <w:rtl/>
          <w:lang w:bidi="ar-EG"/>
        </w:rPr>
      </w:pPr>
      <w:r w:rsidRPr="00DE4060">
        <w:rPr>
          <w:rtl/>
          <w:lang w:bidi="ar-EG"/>
        </w:rPr>
        <w:t>المادة 16 - استثمار النقد ومكافئات النقد (المعيار 2 من المعايير المحاسبية الدولية للقطاع العام – بيانات التدفقات النقدية)</w:t>
      </w:r>
    </w:p>
    <w:p w14:paraId="6BE21FE1" w14:textId="18C67AE3" w:rsidR="00C1235B" w:rsidRPr="00DE4060" w:rsidRDefault="00844CCA" w:rsidP="00844CCA">
      <w:pPr>
        <w:pStyle w:val="enumlev1"/>
        <w:rPr>
          <w:rtl/>
        </w:rPr>
      </w:pPr>
      <w:r w:rsidRPr="00DE4060">
        <w:sym w:font="Wingdings 2" w:char="F097"/>
      </w:r>
      <w:r w:rsidRPr="00DE4060">
        <w:tab/>
      </w:r>
      <w:r w:rsidR="00C1235B" w:rsidRPr="00DE4060">
        <w:rPr>
          <w:rtl/>
        </w:rPr>
        <w:t>إدخال نص جديد لتعزيز المساءلة عن الاستثمار فيما يتعلق بالنقد ومكافئات النقد في الاتحاد.</w:t>
      </w:r>
    </w:p>
    <w:p w14:paraId="5CEDDB18" w14:textId="116522BF" w:rsidR="00C1235B" w:rsidRPr="00DE4060" w:rsidRDefault="00844CCA" w:rsidP="00844CCA">
      <w:pPr>
        <w:pStyle w:val="enumlev1"/>
        <w:rPr>
          <w:rtl/>
        </w:rPr>
      </w:pPr>
      <w:r w:rsidRPr="00DE4060">
        <w:sym w:font="Wingdings 2" w:char="F097"/>
      </w:r>
      <w:r w:rsidRPr="00DE4060">
        <w:tab/>
      </w:r>
      <w:r w:rsidR="00C1235B" w:rsidRPr="00DE4060">
        <w:rPr>
          <w:b/>
          <w:bCs/>
          <w:rtl/>
        </w:rPr>
        <w:t>التوصية</w:t>
      </w:r>
      <w:r w:rsidR="00C1235B" w:rsidRPr="00DE4060">
        <w:rPr>
          <w:rtl/>
        </w:rPr>
        <w:t xml:space="preserve">: أيد فريق العمل بالمراسلة التابع للفريق </w:t>
      </w:r>
      <w:r w:rsidR="00C1235B" w:rsidRPr="00DE4060">
        <w:t>CWG-FHR</w:t>
      </w:r>
      <w:r w:rsidR="00C1235B" w:rsidRPr="00DE4060">
        <w:rPr>
          <w:rtl/>
        </w:rPr>
        <w:t xml:space="preserve"> هذا التغيير المقترح في جلسته الافتراضية. ونتيجة لهذا التغيير، يلزم أن تقوم أمانة الاتحاد بمزيد من العمل لتحديث سياسة الاستثمار حتى يتمكن الاتحاد من تحسين إدارة النقد ومكافئات النقد.</w:t>
      </w:r>
    </w:p>
    <w:p w14:paraId="2BFB1856" w14:textId="77777777" w:rsidR="00C1235B" w:rsidRPr="00DE4060" w:rsidRDefault="00C1235B" w:rsidP="00787A02">
      <w:pPr>
        <w:pStyle w:val="Headingb"/>
        <w:ind w:left="0" w:firstLine="0"/>
        <w:rPr>
          <w:rtl/>
          <w:lang w:bidi="ar-EG"/>
        </w:rPr>
      </w:pPr>
      <w:r w:rsidRPr="00DE4060">
        <w:rPr>
          <w:rtl/>
          <w:lang w:bidi="ar-EG"/>
        </w:rPr>
        <w:t>المادة 18 – مسك الحسابات وعرض البيانات المالية (المعيار 1 من المعايير المحاسبية الدولية للقطاع العام - عرض البيانات المالية)</w:t>
      </w:r>
    </w:p>
    <w:p w14:paraId="5AE1754E" w14:textId="6910E240" w:rsidR="00C1235B" w:rsidRPr="00DE4060" w:rsidRDefault="00844CCA" w:rsidP="00844CCA">
      <w:pPr>
        <w:pStyle w:val="enumlev1"/>
        <w:rPr>
          <w:rtl/>
        </w:rPr>
      </w:pPr>
      <w:r w:rsidRPr="00DE4060">
        <w:sym w:font="Wingdings 2" w:char="F097"/>
      </w:r>
      <w:r w:rsidRPr="00DE4060">
        <w:tab/>
      </w:r>
      <w:r w:rsidR="00C1235B" w:rsidRPr="00DE4060">
        <w:rPr>
          <w:rtl/>
        </w:rPr>
        <w:t>إدخال نص جديد لتعزيز الحسابات والبيانات المالية.</w:t>
      </w:r>
    </w:p>
    <w:p w14:paraId="165E17EA" w14:textId="47C495CE" w:rsidR="00C1235B" w:rsidRPr="00DE4060" w:rsidRDefault="00844CCA" w:rsidP="00844CCA">
      <w:pPr>
        <w:pStyle w:val="enumlev1"/>
        <w:rPr>
          <w:rtl/>
        </w:rPr>
      </w:pPr>
      <w:r w:rsidRPr="00DE4060">
        <w:sym w:font="Wingdings 2" w:char="F097"/>
      </w:r>
      <w:r w:rsidRPr="00DE4060">
        <w:tab/>
      </w:r>
      <w:r w:rsidR="00C1235B" w:rsidRPr="00DE4060">
        <w:rPr>
          <w:b/>
          <w:bCs/>
          <w:rtl/>
        </w:rPr>
        <w:t>التوصية</w:t>
      </w:r>
      <w:r w:rsidR="00C1235B" w:rsidRPr="00DE4060">
        <w:rPr>
          <w:rtl/>
        </w:rPr>
        <w:t xml:space="preserve">: أيد فريق العمل بالمراسلة التابع للفريق </w:t>
      </w:r>
      <w:r w:rsidR="00C1235B" w:rsidRPr="00DE4060">
        <w:t>CWG-FHR</w:t>
      </w:r>
      <w:r w:rsidR="00C1235B" w:rsidRPr="00DE4060">
        <w:rPr>
          <w:rtl/>
        </w:rPr>
        <w:t xml:space="preserve"> هذا التغيير المقترح في جلسته الافتراضية.</w:t>
      </w:r>
    </w:p>
    <w:p w14:paraId="32C83909" w14:textId="77777777" w:rsidR="00C1235B" w:rsidRPr="00DE4060" w:rsidRDefault="00C1235B" w:rsidP="00787A02">
      <w:pPr>
        <w:pStyle w:val="Headingb"/>
        <w:ind w:left="0" w:firstLine="0"/>
        <w:rPr>
          <w:rtl/>
          <w:lang w:bidi="ar-EG"/>
        </w:rPr>
      </w:pPr>
      <w:r w:rsidRPr="00DE4060">
        <w:rPr>
          <w:rtl/>
          <w:lang w:bidi="ar-EG"/>
        </w:rPr>
        <w:t>المادة 19 - معارض ومنتديات تليكوم الاتحاد والأحداث المشابهة التي ينظمها الاتحاد (لا يوجد معيار من معايير المحاسبية الدولية للقطاع العام ذو صلة مباشرة)</w:t>
      </w:r>
    </w:p>
    <w:p w14:paraId="4640DD9E" w14:textId="05564758" w:rsidR="00C1235B" w:rsidRPr="00DE4060" w:rsidRDefault="00844CCA" w:rsidP="00844CCA">
      <w:pPr>
        <w:pStyle w:val="enumlev1"/>
        <w:rPr>
          <w:rtl/>
        </w:rPr>
      </w:pPr>
      <w:r w:rsidRPr="00DE4060">
        <w:sym w:font="Wingdings 2" w:char="F097"/>
      </w:r>
      <w:r w:rsidRPr="00DE4060">
        <w:tab/>
      </w:r>
      <w:r w:rsidR="00C1235B" w:rsidRPr="00DE4060">
        <w:rPr>
          <w:rtl/>
        </w:rPr>
        <w:t>يُقترح حذف هذه المادة لتعكس أساليب العمل الحالية.</w:t>
      </w:r>
    </w:p>
    <w:p w14:paraId="4182DDF3" w14:textId="59FBBEDA" w:rsidR="00C1235B" w:rsidRPr="00DE4060" w:rsidRDefault="00844CCA" w:rsidP="00844CCA">
      <w:pPr>
        <w:pStyle w:val="enumlev1"/>
        <w:rPr>
          <w:rtl/>
        </w:rPr>
      </w:pPr>
      <w:r w:rsidRPr="00DE4060">
        <w:sym w:font="Wingdings 2" w:char="F097"/>
      </w:r>
      <w:r w:rsidRPr="00DE4060">
        <w:tab/>
      </w:r>
      <w:r w:rsidR="00C1235B" w:rsidRPr="00DE4060">
        <w:rPr>
          <w:b/>
          <w:bCs/>
          <w:rtl/>
        </w:rPr>
        <w:t>التوصية</w:t>
      </w:r>
      <w:r w:rsidR="00C1235B" w:rsidRPr="00DE4060">
        <w:rPr>
          <w:rtl/>
        </w:rPr>
        <w:t xml:space="preserve">: أيد فريق العمل بالمراسلة التابع للفريق </w:t>
      </w:r>
      <w:r w:rsidR="00C1235B" w:rsidRPr="00DE4060">
        <w:t>CWG-FHR</w:t>
      </w:r>
      <w:r w:rsidR="00C1235B" w:rsidRPr="00DE4060">
        <w:rPr>
          <w:rtl/>
        </w:rPr>
        <w:t xml:space="preserve"> هذا التغيير المقترح في جلسته الافتراضية.</w:t>
      </w:r>
    </w:p>
    <w:p w14:paraId="54898E2A" w14:textId="77777777" w:rsidR="00C1235B" w:rsidRPr="00DE4060" w:rsidRDefault="00C1235B" w:rsidP="00234FE3">
      <w:pPr>
        <w:pStyle w:val="Headingb"/>
        <w:rPr>
          <w:rtl/>
          <w:lang w:bidi="ar-EG"/>
        </w:rPr>
      </w:pPr>
      <w:r w:rsidRPr="00DE4060">
        <w:rPr>
          <w:rtl/>
          <w:lang w:bidi="ar-EG"/>
        </w:rPr>
        <w:t>المادة 19 - الأموال (لا يوجد معيار من المعايير المحاسبية الدولية للقطاع العام ذو صلة مباشرة)</w:t>
      </w:r>
    </w:p>
    <w:p w14:paraId="3C1FC7C3" w14:textId="1E20234D" w:rsidR="00C1235B" w:rsidRPr="00DE4060" w:rsidRDefault="00844CCA" w:rsidP="00844CCA">
      <w:pPr>
        <w:pStyle w:val="enumlev1"/>
        <w:rPr>
          <w:rtl/>
        </w:rPr>
      </w:pPr>
      <w:r w:rsidRPr="00DE4060">
        <w:sym w:font="Wingdings 2" w:char="F097"/>
      </w:r>
      <w:r w:rsidRPr="00DE4060">
        <w:tab/>
      </w:r>
      <w:r w:rsidR="00C1235B" w:rsidRPr="00DE4060">
        <w:rPr>
          <w:rtl/>
        </w:rPr>
        <w:t>إدخال محاسبة الصناديق لتعكس المتطلبات المحاسبية بشكل</w:t>
      </w:r>
      <w:r w:rsidR="00787A02">
        <w:rPr>
          <w:rFonts w:hint="cs"/>
          <w:rtl/>
        </w:rPr>
        <w:t>ٍ</w:t>
      </w:r>
      <w:r w:rsidR="00C1235B" w:rsidRPr="00DE4060">
        <w:rPr>
          <w:rtl/>
        </w:rPr>
        <w:t xml:space="preserve"> أفضل.</w:t>
      </w:r>
    </w:p>
    <w:p w14:paraId="2A3F49E6" w14:textId="692F333F" w:rsidR="00C1235B" w:rsidRPr="00DE4060" w:rsidRDefault="00844CCA" w:rsidP="00844CCA">
      <w:pPr>
        <w:pStyle w:val="enumlev1"/>
        <w:rPr>
          <w:rtl/>
        </w:rPr>
      </w:pPr>
      <w:r w:rsidRPr="00DE4060">
        <w:sym w:font="Wingdings 2" w:char="F097"/>
      </w:r>
      <w:r w:rsidRPr="00DE4060">
        <w:tab/>
      </w:r>
      <w:r w:rsidR="00C1235B" w:rsidRPr="00DE4060">
        <w:rPr>
          <w:b/>
          <w:bCs/>
          <w:rtl/>
        </w:rPr>
        <w:t>التوصية</w:t>
      </w:r>
      <w:r w:rsidR="00C1235B" w:rsidRPr="00DE4060">
        <w:rPr>
          <w:rtl/>
        </w:rPr>
        <w:t xml:space="preserve">: أيد فريق العمل بالمراسلة التابع للفريق </w:t>
      </w:r>
      <w:r w:rsidR="00C1235B" w:rsidRPr="00DE4060">
        <w:t>CWG-FHR</w:t>
      </w:r>
      <w:r w:rsidR="00C1235B" w:rsidRPr="00DE4060">
        <w:rPr>
          <w:rtl/>
        </w:rPr>
        <w:t xml:space="preserve"> هذا التغيير المقترح في جلسته الافتراضية. ويتيح تطبيق المحاسبة المالية للاتحاد إدارة تقاريره المالية بدقة وشفافية. </w:t>
      </w:r>
      <w:r w:rsidR="00C1235B" w:rsidRPr="00DE4060">
        <w:rPr>
          <w:u w:val="single"/>
          <w:rtl/>
        </w:rPr>
        <w:t>ولا</w:t>
      </w:r>
      <w:r w:rsidR="00C1235B" w:rsidRPr="00DE4060">
        <w:rPr>
          <w:rtl/>
        </w:rPr>
        <w:t xml:space="preserve"> يتعلق الأمر بإنشاء حساب احتياطي إضافي، والغرض الرئيسي منه هو تحسين الهياكل المحاسبية لتحسين الإبلاغ المالي في نهاية المطاف.</w:t>
      </w:r>
    </w:p>
    <w:p w14:paraId="5902D006" w14:textId="77777777" w:rsidR="00C1235B" w:rsidRPr="00DE4060" w:rsidRDefault="00C1235B" w:rsidP="00787A02">
      <w:pPr>
        <w:pStyle w:val="Headingb"/>
        <w:ind w:left="0" w:firstLine="0"/>
        <w:rPr>
          <w:rtl/>
          <w:lang w:bidi="ar-EG"/>
        </w:rPr>
      </w:pPr>
      <w:r w:rsidRPr="00DE4060">
        <w:rPr>
          <w:rtl/>
          <w:lang w:bidi="ar-EG"/>
        </w:rPr>
        <w:t>المادة 26 – الالتزامات المستحقة عن مزايا الموظفين الأخرى – (المعيار 25 من المعايير المحاسبية الدولية للقطاع العام – استحقاقات الموظفين)</w:t>
      </w:r>
    </w:p>
    <w:p w14:paraId="5BF35D5B" w14:textId="4C4DC98C" w:rsidR="00C1235B" w:rsidRPr="00DE4060" w:rsidRDefault="00844CCA" w:rsidP="00844CCA">
      <w:pPr>
        <w:pStyle w:val="enumlev1"/>
        <w:rPr>
          <w:rtl/>
        </w:rPr>
      </w:pPr>
      <w:r w:rsidRPr="00DE4060">
        <w:sym w:font="Wingdings 2" w:char="F097"/>
      </w:r>
      <w:r w:rsidRPr="00DE4060">
        <w:tab/>
      </w:r>
      <w:r w:rsidR="00C1235B" w:rsidRPr="00DE4060">
        <w:rPr>
          <w:rtl/>
        </w:rPr>
        <w:t>تحديث النص ليعكس الامتثال الكامل للمعايير المحاسبية الدولية للقطاع العام.</w:t>
      </w:r>
    </w:p>
    <w:p w14:paraId="22514A78" w14:textId="5F39E563" w:rsidR="00C1235B" w:rsidRPr="00DE4060" w:rsidRDefault="00844CCA" w:rsidP="00844CCA">
      <w:pPr>
        <w:pStyle w:val="enumlev1"/>
        <w:rPr>
          <w:rtl/>
        </w:rPr>
      </w:pPr>
      <w:r w:rsidRPr="00DE4060">
        <w:sym w:font="Wingdings 2" w:char="F097"/>
      </w:r>
      <w:r w:rsidRPr="00DE4060">
        <w:tab/>
      </w:r>
      <w:r w:rsidR="00C1235B" w:rsidRPr="00DE4060">
        <w:rPr>
          <w:b/>
          <w:bCs/>
          <w:rtl/>
        </w:rPr>
        <w:t>التوصية</w:t>
      </w:r>
      <w:r w:rsidR="00C1235B" w:rsidRPr="00DE4060">
        <w:rPr>
          <w:rtl/>
        </w:rPr>
        <w:t xml:space="preserve">: أيد فريق العمل بالمراسلة التابع للفريق </w:t>
      </w:r>
      <w:r w:rsidR="00C1235B" w:rsidRPr="00DE4060">
        <w:t>CWG-FHR</w:t>
      </w:r>
      <w:r w:rsidR="00C1235B" w:rsidRPr="00DE4060">
        <w:rPr>
          <w:rtl/>
        </w:rPr>
        <w:t xml:space="preserve"> هذا التغيير المقترح في جلسته الافتراضية.</w:t>
      </w:r>
    </w:p>
    <w:p w14:paraId="23A2B257" w14:textId="77777777" w:rsidR="00C1235B" w:rsidRPr="00DE4060" w:rsidRDefault="00C1235B" w:rsidP="00787A02">
      <w:pPr>
        <w:pStyle w:val="Headingb"/>
        <w:ind w:left="0" w:firstLine="0"/>
        <w:rPr>
          <w:rtl/>
          <w:lang w:bidi="ar-EG"/>
        </w:rPr>
      </w:pPr>
      <w:r w:rsidRPr="00DE4060">
        <w:rPr>
          <w:rtl/>
          <w:lang w:bidi="ar-EG"/>
        </w:rPr>
        <w:t>المادة 27 – صافي الأصول بما في ذلك حساب الاحتياطي – (المعيار 1 من المعايير المحاسبية الدولية للقطاع العام – عرض البيانات المالية)</w:t>
      </w:r>
    </w:p>
    <w:p w14:paraId="33A077CB" w14:textId="233C57C5" w:rsidR="00C1235B" w:rsidRPr="00DE4060" w:rsidRDefault="00844CCA" w:rsidP="00844CCA">
      <w:pPr>
        <w:pStyle w:val="enumlev1"/>
        <w:rPr>
          <w:rtl/>
        </w:rPr>
      </w:pPr>
      <w:r w:rsidRPr="00DE4060">
        <w:sym w:font="Wingdings 2" w:char="F097"/>
      </w:r>
      <w:r w:rsidRPr="00DE4060">
        <w:tab/>
      </w:r>
      <w:r w:rsidR="00C1235B" w:rsidRPr="00DE4060">
        <w:rPr>
          <w:rtl/>
        </w:rPr>
        <w:t>تحديث النص ليعكس أساليب العمل الفعلية.</w:t>
      </w:r>
    </w:p>
    <w:p w14:paraId="2E206576" w14:textId="5CFFF875" w:rsidR="00C1235B" w:rsidRPr="00DE4060" w:rsidRDefault="00844CCA" w:rsidP="00844CCA">
      <w:pPr>
        <w:pStyle w:val="enumlev1"/>
        <w:rPr>
          <w:rtl/>
        </w:rPr>
      </w:pPr>
      <w:r w:rsidRPr="00DE4060">
        <w:sym w:font="Wingdings 2" w:char="F097"/>
      </w:r>
      <w:r w:rsidRPr="00DE4060">
        <w:tab/>
      </w:r>
      <w:r w:rsidR="00C1235B" w:rsidRPr="00DE4060">
        <w:rPr>
          <w:b/>
          <w:bCs/>
          <w:rtl/>
        </w:rPr>
        <w:t>التوصية</w:t>
      </w:r>
      <w:r w:rsidR="00C1235B" w:rsidRPr="00DE4060">
        <w:rPr>
          <w:rtl/>
        </w:rPr>
        <w:t xml:space="preserve">: أيد فريق العمل بالمراسلة التابع للفريق </w:t>
      </w:r>
      <w:r w:rsidR="00C1235B" w:rsidRPr="00DE4060">
        <w:t>CWG-FHR</w:t>
      </w:r>
      <w:r w:rsidR="00C1235B" w:rsidRPr="00DE4060">
        <w:rPr>
          <w:rtl/>
        </w:rPr>
        <w:t xml:space="preserve"> هذا التغيير المقترح في جلسته الافتراضية.</w:t>
      </w:r>
    </w:p>
    <w:p w14:paraId="2BE13AFB" w14:textId="2407635B" w:rsidR="00C1235B" w:rsidRPr="00DE4060" w:rsidRDefault="00C1235B" w:rsidP="00844CCA">
      <w:pPr>
        <w:rPr>
          <w:rtl/>
          <w:lang w:bidi="ar-EG"/>
        </w:rPr>
      </w:pPr>
      <w:r w:rsidRPr="00DE4060">
        <w:rPr>
          <w:rtl/>
          <w:lang w:bidi="ar-EG"/>
        </w:rPr>
        <w:t>2.1</w:t>
      </w:r>
      <w:r w:rsidRPr="00DE4060">
        <w:rPr>
          <w:rtl/>
          <w:lang w:bidi="ar-EG"/>
        </w:rPr>
        <w:tab/>
        <w:t xml:space="preserve">يرد مزيد من التفاصيل عن هذه الأنشطة والتوصيات والتي وافق عليها فريق العمل بالمراسلة في </w:t>
      </w:r>
      <w:hyperlink r:id="rId14" w:history="1">
        <w:r w:rsidRPr="00DE4060">
          <w:rPr>
            <w:rStyle w:val="Hyperlink"/>
            <w:rtl/>
            <w:lang w:bidi="ar-EG"/>
          </w:rPr>
          <w:t xml:space="preserve">الملحق </w:t>
        </w:r>
        <w:r w:rsidRPr="00DE4060">
          <w:rPr>
            <w:rStyle w:val="Hyperlink"/>
            <w:lang w:bidi="ar-EG"/>
          </w:rPr>
          <w:t>A</w:t>
        </w:r>
      </w:hyperlink>
      <w:r w:rsidRPr="00DE4060">
        <w:rPr>
          <w:rtl/>
          <w:lang w:bidi="ar-EG"/>
        </w:rPr>
        <w:t>، مع</w:t>
      </w:r>
      <w:r w:rsidR="00CB06C5">
        <w:rPr>
          <w:rFonts w:hint="cs"/>
          <w:rtl/>
          <w:lang w:bidi="ar-EG"/>
        </w:rPr>
        <w:t> </w:t>
      </w:r>
      <w:r w:rsidRPr="00DE4060">
        <w:rPr>
          <w:rtl/>
          <w:lang w:bidi="ar-EG"/>
        </w:rPr>
        <w:t xml:space="preserve">معلومات إضافية عن الأساس المنطقي والسياق الكامن وراء التغييرات المقترحة المدرجة في </w:t>
      </w:r>
      <w:hyperlink r:id="rId15" w:history="1">
        <w:r w:rsidRPr="00DE4060">
          <w:rPr>
            <w:rStyle w:val="Hyperlink"/>
            <w:rtl/>
            <w:lang w:bidi="ar-EG"/>
          </w:rPr>
          <w:t xml:space="preserve">الملحق </w:t>
        </w:r>
        <w:r w:rsidRPr="00DE4060">
          <w:rPr>
            <w:rStyle w:val="Hyperlink"/>
            <w:lang w:bidi="ar-EG"/>
          </w:rPr>
          <w:t>B</w:t>
        </w:r>
      </w:hyperlink>
      <w:r w:rsidRPr="00DE4060">
        <w:rPr>
          <w:rtl/>
          <w:lang w:bidi="ar-EG"/>
        </w:rPr>
        <w:t>.</w:t>
      </w:r>
    </w:p>
    <w:p w14:paraId="7AA08439" w14:textId="77777777" w:rsidR="00C1235B" w:rsidRPr="00DE4060" w:rsidRDefault="00C1235B" w:rsidP="00844CCA">
      <w:pPr>
        <w:pStyle w:val="Heading1"/>
        <w:rPr>
          <w:rtl/>
          <w:lang w:bidi="ar-EG"/>
        </w:rPr>
      </w:pPr>
      <w:r w:rsidRPr="00DE4060">
        <w:rPr>
          <w:rtl/>
          <w:lang w:bidi="ar-EG"/>
        </w:rPr>
        <w:lastRenderedPageBreak/>
        <w:t>2</w:t>
      </w:r>
      <w:r w:rsidRPr="00DE4060">
        <w:rPr>
          <w:rtl/>
          <w:lang w:bidi="ar-EG"/>
        </w:rPr>
        <w:tab/>
        <w:t>ميثاق الرقابة</w:t>
      </w:r>
    </w:p>
    <w:p w14:paraId="7AFD8520" w14:textId="77D02D23" w:rsidR="00C1235B" w:rsidRPr="00DE4060" w:rsidRDefault="00C1235B" w:rsidP="00787A02">
      <w:pPr>
        <w:keepLines/>
        <w:rPr>
          <w:rtl/>
          <w:lang w:bidi="ar-EG"/>
        </w:rPr>
      </w:pPr>
      <w:r w:rsidRPr="00DE4060">
        <w:rPr>
          <w:rtl/>
          <w:lang w:bidi="ar-EG"/>
        </w:rPr>
        <w:t>1.2</w:t>
      </w:r>
      <w:r w:rsidRPr="00DE4060">
        <w:rPr>
          <w:rtl/>
          <w:lang w:bidi="ar-EG"/>
        </w:rPr>
        <w:tab/>
        <w:t xml:space="preserve">ناقش الفريق </w:t>
      </w:r>
      <w:r w:rsidRPr="00DE4060">
        <w:rPr>
          <w:lang w:bidi="ar-EG"/>
        </w:rPr>
        <w:t>CWG-FHR</w:t>
      </w:r>
      <w:r w:rsidRPr="00DE4060">
        <w:rPr>
          <w:rtl/>
          <w:lang w:bidi="ar-EG"/>
        </w:rPr>
        <w:t xml:space="preserve"> في جلسته في يناير 2024 ميثاق الرقابة باستفاضة وأنشأ فريق عمل بالمراسلة عبر الإنترنت لمواصلة المناقشات المتعلقة بميثاق الرقابة. واجتمع فريق العمل بالمراسلة ثلاث مرات، وشارك 44 من أصل 91 مشاركاً مسجلاً بنشاط في اجتماع واحد على الأقل من هذه الاجتماعات. ونتيجة لهذه الاجتماعات، اقترح فريق العمل بالمراسلة نصاً لميثاق تم الاتفاق عليه بالكامل باستثناء </w:t>
      </w:r>
      <w:r w:rsidRPr="00DE4060">
        <w:rPr>
          <w:u w:val="single"/>
          <w:rtl/>
          <w:lang w:bidi="ar-EG"/>
        </w:rPr>
        <w:t>نص محدد بين قوسين مربعين في ثلاث فقرات</w:t>
      </w:r>
      <w:r w:rsidRPr="00DE4060">
        <w:rPr>
          <w:rtl/>
          <w:lang w:bidi="ar-EG"/>
        </w:rPr>
        <w:t>. وبالنظر إلى أن نص ميثاق الرقابة المقترح هو نتيجة لمناقشات عديدة في يناير 2024 أعقبها مزيد من المناقشات والاتفاق بين العديد من الدول الأعضاء في فريق العمل بالمراسلة، وبالنظر إلى أن المستشار القانوني للاتحاد استعرض النص الوارد في ميثاق الرقابة المقترح، اتُخذ قرار [في</w:t>
      </w:r>
      <w:r w:rsidR="00CB06C5">
        <w:rPr>
          <w:rFonts w:hint="cs"/>
          <w:rtl/>
          <w:lang w:bidi="ar-EG"/>
        </w:rPr>
        <w:t> </w:t>
      </w:r>
      <w:r w:rsidRPr="00DE4060">
        <w:rPr>
          <w:rtl/>
          <w:lang w:bidi="ar-EG"/>
        </w:rPr>
        <w:t xml:space="preserve">اجتماع الفريق </w:t>
      </w:r>
      <w:r w:rsidRPr="00DE4060">
        <w:rPr>
          <w:lang w:bidi="ar-EG"/>
        </w:rPr>
        <w:t>CWG-FHR</w:t>
      </w:r>
      <w:r w:rsidRPr="00DE4060">
        <w:rPr>
          <w:rtl/>
          <w:lang w:bidi="ar-EG"/>
        </w:rPr>
        <w:t xml:space="preserve"> في يونيو] لإزالة النص الموجود بين قوسين مربعين في الفقرات الثلاث ووضع اللمسات النهائية على ميثاق الرقابة. وتم النظر في المساهمات التالية المقدمة من الدول الأعضاء (</w:t>
      </w:r>
      <w:hyperlink r:id="rId16" w:history="1">
        <w:r w:rsidRPr="00DE4060">
          <w:rPr>
            <w:rStyle w:val="Hyperlink"/>
            <w:lang w:bidi="ar-EG"/>
          </w:rPr>
          <w:t>CWG-FHR-18/5</w:t>
        </w:r>
      </w:hyperlink>
      <w:r w:rsidRPr="00DE4060">
        <w:rPr>
          <w:rtl/>
          <w:lang w:bidi="ar-EG"/>
        </w:rPr>
        <w:t xml:space="preserve"> و</w:t>
      </w:r>
      <w:hyperlink r:id="rId17" w:history="1">
        <w:r w:rsidRPr="00DE4060">
          <w:rPr>
            <w:rStyle w:val="Hyperlink"/>
            <w:lang w:bidi="ar-EG"/>
          </w:rPr>
          <w:t>CWG-FHR 18/6</w:t>
        </w:r>
      </w:hyperlink>
      <w:r w:rsidRPr="00DE4060">
        <w:rPr>
          <w:rtl/>
          <w:lang w:bidi="ar-EG"/>
        </w:rPr>
        <w:t>) واللجنة الاستشارية المستقلة للإدارة (</w:t>
      </w:r>
      <w:hyperlink r:id="rId18" w:history="1">
        <w:r w:rsidRPr="00DE4060">
          <w:rPr>
            <w:rStyle w:val="Hyperlink"/>
            <w:lang w:bidi="ar-EG"/>
          </w:rPr>
          <w:t>CWG-FHR-18/8</w:t>
        </w:r>
      </w:hyperlink>
      <w:r w:rsidRPr="00DE4060">
        <w:rPr>
          <w:rtl/>
          <w:lang w:bidi="ar-EG"/>
        </w:rPr>
        <w:t xml:space="preserve">)؛ ومع ذلك، لم يتم قبولها من أجل التوصل إلى شبه توافق في الآراء والاعتراف بالجهود المكثفة التي بذلتها الدول الأعضاء في جلسات الفريق </w:t>
      </w:r>
      <w:r w:rsidRPr="00DE4060">
        <w:rPr>
          <w:lang w:bidi="ar-EG"/>
        </w:rPr>
        <w:t>CWG-FHR</w:t>
      </w:r>
      <w:r w:rsidRPr="00DE4060">
        <w:rPr>
          <w:rtl/>
          <w:lang w:bidi="ar-EG"/>
        </w:rPr>
        <w:t xml:space="preserve"> وفريق العمل بالمراسلة. ويوصي الفريق </w:t>
      </w:r>
      <w:r w:rsidRPr="00DE4060">
        <w:rPr>
          <w:lang w:bidi="ar-EG"/>
        </w:rPr>
        <w:t>CWG</w:t>
      </w:r>
      <w:r w:rsidRPr="00DE4060">
        <w:rPr>
          <w:lang w:bidi="ar-EG"/>
        </w:rPr>
        <w:noBreakHyphen/>
        <w:t>FHR</w:t>
      </w:r>
      <w:r w:rsidRPr="00DE4060">
        <w:rPr>
          <w:rtl/>
          <w:lang w:bidi="ar-EG"/>
        </w:rPr>
        <w:t xml:space="preserve"> أن يوافق المجلس في دورته لعام 2024 على ميثاق الرقابة بعد استعراض مدخلات اللجنة الاستشارية المستقلة للإدارة (</w:t>
      </w:r>
      <w:hyperlink r:id="rId19" w:history="1">
        <w:r w:rsidRPr="00DE4060">
          <w:rPr>
            <w:rStyle w:val="Hyperlink"/>
            <w:lang w:bidi="ar-EG"/>
          </w:rPr>
          <w:t>CWG-FHR-18/8</w:t>
        </w:r>
      </w:hyperlink>
      <w:r w:rsidRPr="00DE4060">
        <w:rPr>
          <w:rtl/>
          <w:lang w:bidi="ar-EG"/>
        </w:rPr>
        <w:t xml:space="preserve">). ويوصي الفريق </w:t>
      </w:r>
      <w:r w:rsidRPr="00DE4060">
        <w:rPr>
          <w:lang w:bidi="ar-EG"/>
        </w:rPr>
        <w:t>CWG-FHR</w:t>
      </w:r>
      <w:r w:rsidRPr="00DE4060">
        <w:rPr>
          <w:rtl/>
          <w:lang w:bidi="ar-EG"/>
        </w:rPr>
        <w:t xml:space="preserve"> أيضاً بأن يكلف المجلس في دورته لعام 2024 الفريق </w:t>
      </w:r>
      <w:r w:rsidRPr="00DE4060">
        <w:rPr>
          <w:lang w:bidi="ar-EG"/>
        </w:rPr>
        <w:t>CWG-FHR</w:t>
      </w:r>
      <w:r w:rsidRPr="00DE4060">
        <w:rPr>
          <w:rtl/>
          <w:lang w:bidi="ar-EG"/>
        </w:rPr>
        <w:t xml:space="preserve"> باستعراض تنفيذ ميثاق الرقابة في جلسته في يناير 2025.</w:t>
      </w:r>
    </w:p>
    <w:p w14:paraId="6AE917BB" w14:textId="77777777" w:rsidR="00C1235B" w:rsidRPr="00DE4060" w:rsidRDefault="00C1235B" w:rsidP="00844CCA">
      <w:pPr>
        <w:pStyle w:val="Heading1"/>
        <w:rPr>
          <w:rtl/>
          <w:lang w:bidi="ar-EG"/>
        </w:rPr>
      </w:pPr>
      <w:r w:rsidRPr="00DE4060">
        <w:rPr>
          <w:rtl/>
          <w:lang w:bidi="ar-EG"/>
        </w:rPr>
        <w:t>3</w:t>
      </w:r>
      <w:r w:rsidRPr="00DE4060">
        <w:rPr>
          <w:rtl/>
          <w:lang w:bidi="ar-EG"/>
        </w:rPr>
        <w:tab/>
        <w:t>استراتيجية تعبئة الموارد</w:t>
      </w:r>
    </w:p>
    <w:p w14:paraId="0B404B8F" w14:textId="77777777" w:rsidR="00C1235B" w:rsidRPr="00C1235B" w:rsidRDefault="00C1235B" w:rsidP="00C1235B">
      <w:pPr>
        <w:rPr>
          <w:rtl/>
          <w:lang w:bidi="ar-EG"/>
        </w:rPr>
      </w:pPr>
      <w:r w:rsidRPr="00C1235B">
        <w:rPr>
          <w:rtl/>
          <w:lang w:bidi="ar-EG"/>
        </w:rPr>
        <w:t>1.3</w:t>
      </w:r>
      <w:r w:rsidRPr="00C1235B">
        <w:rPr>
          <w:rtl/>
          <w:lang w:bidi="ar-EG"/>
        </w:rPr>
        <w:tab/>
        <w:t xml:space="preserve">أُنشئ فريق عمل بالمراسلة لمواصلة المناقشات المتعلقة بمشروع استراتيجية تعبئة الموارد عقب جلسة شحذ الأفكار التي جرت خلال اجتماع الفريق </w:t>
      </w:r>
      <w:r w:rsidRPr="00C1235B">
        <w:rPr>
          <w:lang w:bidi="ar-EG"/>
        </w:rPr>
        <w:t>CWG-FHR</w:t>
      </w:r>
      <w:r w:rsidRPr="00C1235B">
        <w:rPr>
          <w:rtl/>
          <w:lang w:bidi="ar-EG"/>
        </w:rPr>
        <w:t xml:space="preserve"> في يناير. وشكرت الأمانة أكثر من 50 مندوباً شاركوا في الجلسات الميدانية وعبر الإنترنت. ونُظمت جلسة واحدة عبر الإنترنت لكل مجال من مجالات العمل الرئيسية الثلاثة للاستراتيجية: تعزيز العضوية؛ والاستفادة من الأحداث والمنتجات والخدمات؛ وزيادة المساهمات الطوعية. وتم توفير معلومات أساسية هامة. وبعد هذه الجلسات الثلاث عبر الإنترنت، عُقدت جلسة أخيرة لاستعراض نسخة منقحة للاستراتيجية (كما تم تقديمها في الأصل إلى المجلس في دورته لعام 2023)، مع الأخذ في الاعتبار مدخلات المندوبين خلال عملية التشاور هذه. ووضعت الأمانة بعد ذلك الصيغة النهائية للوثيقة (</w:t>
      </w:r>
      <w:hyperlink r:id="rId20" w:history="1">
        <w:r w:rsidRPr="00C1235B">
          <w:rPr>
            <w:rStyle w:val="Hyperlink"/>
            <w:lang w:bidi="ar-EG"/>
          </w:rPr>
          <w:t>C24/70</w:t>
        </w:r>
      </w:hyperlink>
      <w:r w:rsidRPr="00C1235B">
        <w:rPr>
          <w:rtl/>
          <w:lang w:bidi="ar-EG"/>
        </w:rPr>
        <w:t>) وقدمتها إلى المجلس في دورته لعام 2024.</w:t>
      </w:r>
    </w:p>
    <w:p w14:paraId="3C9F72B5" w14:textId="77777777" w:rsidR="00C1235B" w:rsidRPr="00C1235B" w:rsidRDefault="00C1235B" w:rsidP="00C1235B">
      <w:pPr>
        <w:rPr>
          <w:rtl/>
          <w:lang w:bidi="ar-EG"/>
        </w:rPr>
      </w:pPr>
      <w:r w:rsidRPr="00C1235B">
        <w:rPr>
          <w:rtl/>
          <w:lang w:bidi="ar-EG"/>
        </w:rPr>
        <w:t>2.3</w:t>
      </w:r>
      <w:r w:rsidRPr="00C1235B">
        <w:rPr>
          <w:rtl/>
          <w:lang w:bidi="ar-EG"/>
        </w:rPr>
        <w:tab/>
        <w:t>وشكر المندوبون الأمانة على تنظيم الجلسات، مشيرين إلى أنها كانت عملية إيجابية وغنية بالمعلومات. وطلبوا إجراء مزيد من التحسين على الاستراتيجية لتشمل تفاصيل مثل الأموال المقدرة المطلوبة ضمن السياق المالي الأوسع للاتحاد، والإجراءات/الأدوار المعينة للمكاتب والأمانة العامة والمكاتب الإقليمية، ومؤشرات الأداء الرئيسية لرصد التقدم.</w:t>
      </w:r>
    </w:p>
    <w:p w14:paraId="4C0067B7" w14:textId="77777777" w:rsidR="00C1235B" w:rsidRPr="00DE4060" w:rsidRDefault="00C1235B" w:rsidP="00844CCA">
      <w:pPr>
        <w:pStyle w:val="Heading1"/>
        <w:rPr>
          <w:rtl/>
          <w:lang w:bidi="ar-EG"/>
        </w:rPr>
      </w:pPr>
      <w:r w:rsidRPr="00DE4060">
        <w:rPr>
          <w:rtl/>
          <w:lang w:bidi="ar-EG"/>
        </w:rPr>
        <w:t>4</w:t>
      </w:r>
      <w:r w:rsidRPr="00DE4060">
        <w:rPr>
          <w:rtl/>
          <w:lang w:bidi="ar-EG"/>
        </w:rPr>
        <w:tab/>
        <w:t>مشروع المقر الرئيسي للاتحاد</w:t>
      </w:r>
    </w:p>
    <w:p w14:paraId="4697A8C7" w14:textId="7A4C9FBC" w:rsidR="00C1235B" w:rsidRPr="00C1235B" w:rsidRDefault="00C1235B" w:rsidP="00C1235B">
      <w:pPr>
        <w:rPr>
          <w:rtl/>
          <w:lang w:bidi="ar-EG"/>
        </w:rPr>
      </w:pPr>
      <w:r w:rsidRPr="00C1235B">
        <w:rPr>
          <w:rtl/>
          <w:lang w:bidi="ar-EG"/>
        </w:rPr>
        <w:t>1.4</w:t>
      </w:r>
      <w:r w:rsidRPr="00C1235B">
        <w:rPr>
          <w:rtl/>
          <w:lang w:bidi="ar-EG"/>
        </w:rPr>
        <w:tab/>
        <w:t xml:space="preserve">بناءً على التوجيه الذي قدمه الفريق </w:t>
      </w:r>
      <w:r w:rsidRPr="00C1235B">
        <w:rPr>
          <w:lang w:bidi="ar-EG"/>
        </w:rPr>
        <w:t>CWG-FHR</w:t>
      </w:r>
      <w:r w:rsidRPr="00C1235B">
        <w:rPr>
          <w:rtl/>
          <w:lang w:bidi="ar-EG"/>
        </w:rPr>
        <w:t xml:space="preserve"> في يناير 2024 والأنشطة التي تمت منذ ذلك الحين، قدمت الأمانة تقريراً مرحلياً عن مشروع مباني مقر الاتحاد (</w:t>
      </w:r>
      <w:hyperlink r:id="rId21" w:history="1">
        <w:r w:rsidRPr="00C1235B">
          <w:rPr>
            <w:rStyle w:val="Hyperlink"/>
            <w:lang w:bidi="ar-EG"/>
          </w:rPr>
          <w:t>C24/7</w:t>
        </w:r>
      </w:hyperlink>
      <w:r w:rsidRPr="00C1235B">
        <w:rPr>
          <w:rtl/>
          <w:lang w:bidi="ar-EG"/>
        </w:rPr>
        <w:t>) وتم تقديم العديد من مساهمات الدول الأعضاء ومتعددة البلدان (</w:t>
      </w:r>
      <w:hyperlink r:id="rId22" w:history="1">
        <w:r w:rsidRPr="00C1235B">
          <w:rPr>
            <w:rStyle w:val="Hyperlink"/>
            <w:lang w:bidi="ar-EG"/>
          </w:rPr>
          <w:t>C24/83</w:t>
        </w:r>
      </w:hyperlink>
      <w:r w:rsidRPr="00C1235B">
        <w:rPr>
          <w:rtl/>
          <w:lang w:bidi="ar-EG"/>
        </w:rPr>
        <w:t xml:space="preserve">؛ </w:t>
      </w:r>
      <w:hyperlink r:id="rId23" w:history="1">
        <w:r w:rsidRPr="00C1235B">
          <w:rPr>
            <w:rStyle w:val="Hyperlink"/>
            <w:lang w:bidi="ar-EG"/>
          </w:rPr>
          <w:t>C24/94</w:t>
        </w:r>
      </w:hyperlink>
      <w:r w:rsidRPr="00C1235B">
        <w:rPr>
          <w:rtl/>
          <w:lang w:bidi="ar-EG"/>
        </w:rPr>
        <w:t xml:space="preserve">؛ </w:t>
      </w:r>
      <w:hyperlink r:id="rId24" w:history="1">
        <w:r w:rsidRPr="00C1235B">
          <w:rPr>
            <w:rStyle w:val="Hyperlink"/>
            <w:lang w:bidi="ar-EG"/>
          </w:rPr>
          <w:t>C24/104</w:t>
        </w:r>
      </w:hyperlink>
      <w:r w:rsidRPr="00C1235B">
        <w:rPr>
          <w:rtl/>
          <w:lang w:bidi="ar-EG"/>
        </w:rPr>
        <w:t xml:space="preserve">، </w:t>
      </w:r>
      <w:hyperlink r:id="rId25" w:history="1">
        <w:r w:rsidRPr="00C1235B">
          <w:rPr>
            <w:rStyle w:val="Hyperlink"/>
            <w:lang w:val="en-CA" w:bidi="ar-EG"/>
          </w:rPr>
          <w:t>CWG</w:t>
        </w:r>
        <w:r w:rsidRPr="00C1235B">
          <w:rPr>
            <w:rStyle w:val="Hyperlink"/>
            <w:lang w:val="en-CA" w:bidi="ar-EG"/>
          </w:rPr>
          <w:noBreakHyphen/>
          <w:t>FHR</w:t>
        </w:r>
        <w:r w:rsidRPr="00C1235B">
          <w:rPr>
            <w:rStyle w:val="Hyperlink"/>
            <w:lang w:val="en-CA" w:bidi="ar-EG"/>
          </w:rPr>
          <w:noBreakHyphen/>
          <w:t>18/7</w:t>
        </w:r>
      </w:hyperlink>
      <w:r w:rsidRPr="00C1235B">
        <w:rPr>
          <w:rtl/>
          <w:lang w:bidi="ar-EG"/>
        </w:rPr>
        <w:t>). وأخيراً، قدم الفريق الاستشاري للدول الأعضاء (</w:t>
      </w:r>
      <w:r w:rsidRPr="00C1235B">
        <w:rPr>
          <w:lang w:bidi="ar-EG"/>
        </w:rPr>
        <w:t>MSAG</w:t>
      </w:r>
      <w:r w:rsidRPr="00C1235B">
        <w:rPr>
          <w:rtl/>
          <w:lang w:bidi="ar-EG"/>
        </w:rPr>
        <w:t>) تقريراً عن</w:t>
      </w:r>
      <w:r w:rsidR="00CB06C5">
        <w:rPr>
          <w:rFonts w:hint="cs"/>
          <w:rtl/>
          <w:lang w:bidi="ar-EG"/>
        </w:rPr>
        <w:t> </w:t>
      </w:r>
      <w:r w:rsidRPr="00C1235B">
        <w:rPr>
          <w:rtl/>
          <w:lang w:bidi="ar-EG"/>
        </w:rPr>
        <w:t>الأنشطة والنتائج منذ الدورة الاستثنائية للمجلس لعام 2023 (</w:t>
      </w:r>
      <w:hyperlink r:id="rId26" w:history="1">
        <w:r w:rsidRPr="00C1235B">
          <w:rPr>
            <w:rStyle w:val="Hyperlink"/>
            <w:lang w:bidi="ar-EG"/>
          </w:rPr>
          <w:t>C24/48</w:t>
        </w:r>
      </w:hyperlink>
      <w:r w:rsidRPr="00C1235B">
        <w:rPr>
          <w:rtl/>
          <w:lang w:bidi="ar-EG"/>
        </w:rPr>
        <w:t>).</w:t>
      </w:r>
    </w:p>
    <w:p w14:paraId="4332B734" w14:textId="281262E3" w:rsidR="00C1235B" w:rsidRPr="00C1235B" w:rsidRDefault="00C1235B" w:rsidP="00C1235B">
      <w:pPr>
        <w:rPr>
          <w:rtl/>
          <w:lang w:bidi="ar-EG"/>
        </w:rPr>
      </w:pPr>
      <w:r w:rsidRPr="00C1235B">
        <w:rPr>
          <w:rtl/>
          <w:lang w:bidi="ar-EG"/>
        </w:rPr>
        <w:t>2.4</w:t>
      </w:r>
      <w:r w:rsidRPr="00C1235B">
        <w:rPr>
          <w:rtl/>
          <w:lang w:bidi="ar-EG"/>
        </w:rPr>
        <w:tab/>
        <w:t xml:space="preserve">وبعد مناقشة إضافية، واستناداً إلى الأنشطة التي أبلغ عنها الفريق </w:t>
      </w:r>
      <w:r w:rsidRPr="00C1235B">
        <w:rPr>
          <w:lang w:bidi="ar-EG"/>
        </w:rPr>
        <w:t>CWG-FHR</w:t>
      </w:r>
      <w:r w:rsidRPr="00C1235B">
        <w:rPr>
          <w:rtl/>
          <w:lang w:bidi="ar-EG"/>
        </w:rPr>
        <w:t xml:space="preserve"> في أكتوبر 2023 ويناير 2024، واجتماعات الفريق </w:t>
      </w:r>
      <w:r w:rsidRPr="00C1235B">
        <w:rPr>
          <w:lang w:bidi="ar-EG"/>
        </w:rPr>
        <w:t>MSAG</w:t>
      </w:r>
      <w:r w:rsidRPr="00C1235B">
        <w:rPr>
          <w:rtl/>
          <w:lang w:bidi="ar-EG"/>
        </w:rPr>
        <w:t xml:space="preserve"> التي عُقدت في 8 و28 مارس و22 أبريل و13 و23 مايو، ومع ملاحظة مساهمات الدول الأعضاء والفريق </w:t>
      </w:r>
      <w:r w:rsidRPr="00C1235B">
        <w:rPr>
          <w:lang w:bidi="ar-EG"/>
        </w:rPr>
        <w:t>MSAG</w:t>
      </w:r>
      <w:r w:rsidRPr="00C1235B">
        <w:rPr>
          <w:rtl/>
          <w:lang w:bidi="ar-EG"/>
        </w:rPr>
        <w:t xml:space="preserve">، تم التوصل إلى توافق في الآراء بين الأعضاء بشأن توصية المجلس باتخاذ قرار بالموافقة على المشروع البديل المعاد تقييمه والذي يجب ألا يتجاوز </w:t>
      </w:r>
      <w:r w:rsidR="00CB06C5">
        <w:rPr>
          <w:lang w:bidi="ar-EG"/>
        </w:rPr>
        <w:t>172,69</w:t>
      </w:r>
      <w:r w:rsidRPr="00C1235B">
        <w:rPr>
          <w:rtl/>
          <w:lang w:bidi="ar-EG"/>
        </w:rPr>
        <w:t xml:space="preserve"> مليون فرنك سويسري، رهناً بموافقة أغلبية الدول الأعضاء في الاتحاد وفقاً للرقم</w:t>
      </w:r>
      <w:r w:rsidR="00CB06C5">
        <w:rPr>
          <w:rFonts w:hint="eastAsia"/>
          <w:rtl/>
          <w:lang w:bidi="ar-EG"/>
        </w:rPr>
        <w:t> </w:t>
      </w:r>
      <w:r w:rsidRPr="00C1235B">
        <w:rPr>
          <w:lang w:bidi="ar-EG"/>
        </w:rPr>
        <w:t>79</w:t>
      </w:r>
      <w:r w:rsidRPr="00C1235B">
        <w:rPr>
          <w:rtl/>
          <w:lang w:bidi="ar-EG"/>
        </w:rPr>
        <w:t xml:space="preserve"> من الاتفاقية، وتكليف الأمينة العامة باتخاذ الخطوات اللاحقة اللازمة لتنفيذ المشروع البديل المعاد تقييمه، بما يعكس مساهمات وتدخلات الدول الأعضاء والفريق </w:t>
      </w:r>
      <w:r w:rsidRPr="00C1235B">
        <w:rPr>
          <w:lang w:val="en-CA" w:bidi="ar-EG"/>
        </w:rPr>
        <w:t>MSAG</w:t>
      </w:r>
      <w:r w:rsidRPr="00C1235B">
        <w:rPr>
          <w:rtl/>
          <w:lang w:bidi="ar-EG"/>
        </w:rPr>
        <w:t>.</w:t>
      </w:r>
    </w:p>
    <w:p w14:paraId="0BAB28B9" w14:textId="7F7752CC" w:rsidR="00C1235B" w:rsidRPr="00C1235B" w:rsidRDefault="00C1235B" w:rsidP="00C1235B">
      <w:pPr>
        <w:rPr>
          <w:rtl/>
          <w:lang w:bidi="ar-EG"/>
        </w:rPr>
      </w:pPr>
      <w:r w:rsidRPr="00C1235B">
        <w:rPr>
          <w:rtl/>
          <w:lang w:bidi="ar-EG"/>
        </w:rPr>
        <w:t>3.4</w:t>
      </w:r>
      <w:r w:rsidRPr="00C1235B">
        <w:rPr>
          <w:rtl/>
          <w:lang w:bidi="ar-EG"/>
        </w:rPr>
        <w:tab/>
        <w:t xml:space="preserve">وفي حالة موافقة المجلس على المشروع البديل المُعاد تقييمه، يوصي الفريق </w:t>
      </w:r>
      <w:r w:rsidRPr="00C1235B">
        <w:rPr>
          <w:lang w:bidi="ar-EG"/>
        </w:rPr>
        <w:t>CWG-FHR</w:t>
      </w:r>
      <w:r w:rsidRPr="00C1235B">
        <w:rPr>
          <w:rtl/>
          <w:lang w:bidi="ar-EG"/>
        </w:rPr>
        <w:t xml:space="preserve"> بأن يكلف المجلس الأمينة العامة بوضع تقييم وخطة استراتيجية فيما يتعلق بالرؤية طويلة المدى لمجمع الاتحاد بأكمله في جنيف وتقديم مشروع أولي إلى الفريق </w:t>
      </w:r>
      <w:r w:rsidRPr="00C1235B">
        <w:rPr>
          <w:lang w:bidi="ar-EG"/>
        </w:rPr>
        <w:t>CWG</w:t>
      </w:r>
      <w:r w:rsidRPr="00C1235B">
        <w:rPr>
          <w:lang w:val="en-CA" w:bidi="ar-EG"/>
        </w:rPr>
        <w:t>-FHR</w:t>
      </w:r>
      <w:r w:rsidRPr="00C1235B">
        <w:rPr>
          <w:rtl/>
          <w:lang w:bidi="ar-EG"/>
        </w:rPr>
        <w:t xml:space="preserve"> في اجتماعه في يناير 2025، مع الأخذ في الاعتبار، على الأقل، العديد من العوامل التي أثيرت أثناء التدخلات</w:t>
      </w:r>
      <w:r w:rsidR="00CB06C5">
        <w:rPr>
          <w:rFonts w:hint="cs"/>
          <w:rtl/>
          <w:lang w:bidi="ar-EG"/>
        </w:rPr>
        <w:t> </w:t>
      </w:r>
      <w:r w:rsidRPr="00C1235B">
        <w:rPr>
          <w:rtl/>
          <w:lang w:bidi="ar-EG"/>
        </w:rPr>
        <w:t>والمساهمات.</w:t>
      </w:r>
    </w:p>
    <w:p w14:paraId="40460B16" w14:textId="77777777" w:rsidR="00C1235B" w:rsidRPr="00C1235B" w:rsidRDefault="00C1235B" w:rsidP="00C1235B">
      <w:pPr>
        <w:rPr>
          <w:rtl/>
          <w:lang w:bidi="ar-EG"/>
        </w:rPr>
      </w:pPr>
      <w:r w:rsidRPr="00C1235B">
        <w:rPr>
          <w:rtl/>
          <w:lang w:bidi="ar-EG"/>
        </w:rPr>
        <w:lastRenderedPageBreak/>
        <w:t>4.4</w:t>
      </w:r>
      <w:r w:rsidRPr="00C1235B">
        <w:rPr>
          <w:rtl/>
          <w:lang w:bidi="ar-EG"/>
        </w:rPr>
        <w:tab/>
        <w:t xml:space="preserve">وينعكس ما ورد أعلاه في شكل إضافة تتضمن </w:t>
      </w:r>
      <w:r w:rsidRPr="00C1235B">
        <w:rPr>
          <w:u w:val="single"/>
          <w:rtl/>
          <w:lang w:bidi="ar-EG"/>
        </w:rPr>
        <w:t>فقرة واحدة بين قوسين مربعين</w:t>
      </w:r>
      <w:r w:rsidRPr="00C1235B">
        <w:rPr>
          <w:rtl/>
          <w:lang w:bidi="ar-EG"/>
        </w:rPr>
        <w:t xml:space="preserve"> تتعلق بالجدول الزمني الذي ستُقدم خلاله الأمينة العامة إلى الفريق </w:t>
      </w:r>
      <w:r w:rsidRPr="00C1235B">
        <w:rPr>
          <w:lang w:bidi="ar-EG"/>
        </w:rPr>
        <w:t>MSAG</w:t>
      </w:r>
      <w:r w:rsidRPr="00C1235B">
        <w:rPr>
          <w:rtl/>
          <w:lang w:bidi="ar-EG"/>
        </w:rPr>
        <w:t xml:space="preserve"> بيان عمل يتضمن متطلبات التصميم ومفهوم التصميم. وأشارت وحدة الشؤون القانونية إلى أن هذه العملية يجب أن تكون متسقة مع قواعد المشتريات، وهو ما ينعكس أيضاً في الإضافة.</w:t>
      </w:r>
    </w:p>
    <w:p w14:paraId="38358A96" w14:textId="77777777" w:rsidR="00C1235B" w:rsidRPr="00DE4060" w:rsidRDefault="00C1235B" w:rsidP="00844CCA">
      <w:pPr>
        <w:pStyle w:val="Headingb"/>
        <w:rPr>
          <w:rtl/>
          <w:lang w:bidi="ar-EG"/>
        </w:rPr>
      </w:pPr>
      <w:r w:rsidRPr="00DE4060">
        <w:rPr>
          <w:rtl/>
          <w:lang w:bidi="ar-EG"/>
        </w:rPr>
        <w:t>التوصية:</w:t>
      </w:r>
    </w:p>
    <w:p w14:paraId="791267A4" w14:textId="2873F11E" w:rsidR="00C1235B" w:rsidRPr="00C1235B" w:rsidRDefault="00C1235B" w:rsidP="00C1235B">
      <w:pPr>
        <w:rPr>
          <w:rtl/>
          <w:lang w:bidi="ar-EG"/>
        </w:rPr>
      </w:pPr>
      <w:r w:rsidRPr="00C1235B">
        <w:rPr>
          <w:rtl/>
          <w:lang w:bidi="ar-EG"/>
        </w:rPr>
        <w:t>يوصي فريق عمل المجلس المعني بالموارد المالية والبشرية (</w:t>
      </w:r>
      <w:r w:rsidRPr="00C1235B">
        <w:rPr>
          <w:lang w:bidi="ar-EG"/>
        </w:rPr>
        <w:t>CWG-FHR</w:t>
      </w:r>
      <w:r w:rsidRPr="00C1235B">
        <w:rPr>
          <w:rtl/>
          <w:lang w:bidi="ar-EG"/>
        </w:rPr>
        <w:t>)، مع الأخذ في الاعتبار القرار 212 (المراج</w:t>
      </w:r>
      <w:r w:rsidR="00CB06C5">
        <w:rPr>
          <w:rFonts w:hint="cs"/>
          <w:rtl/>
          <w:lang w:bidi="ar-EG"/>
        </w:rPr>
        <w:t>َ</w:t>
      </w:r>
      <w:r w:rsidRPr="00C1235B">
        <w:rPr>
          <w:rtl/>
          <w:lang w:bidi="ar-EG"/>
        </w:rPr>
        <w:t>ع</w:t>
      </w:r>
      <w:r w:rsidR="00CB06C5">
        <w:rPr>
          <w:rFonts w:hint="cs"/>
          <w:rtl/>
          <w:lang w:bidi="ar-EG"/>
        </w:rPr>
        <w:t> </w:t>
      </w:r>
      <w:r w:rsidRPr="00C1235B">
        <w:rPr>
          <w:rtl/>
          <w:lang w:bidi="ar-EG"/>
        </w:rPr>
        <w:t>في</w:t>
      </w:r>
      <w:r w:rsidR="00CB06C5">
        <w:rPr>
          <w:rFonts w:hint="cs"/>
          <w:rtl/>
          <w:lang w:bidi="ar-EG"/>
        </w:rPr>
        <w:t> </w:t>
      </w:r>
      <w:r w:rsidRPr="00C1235B">
        <w:rPr>
          <w:rtl/>
          <w:lang w:bidi="ar-EG"/>
        </w:rPr>
        <w:t xml:space="preserve">بوخارست، 2022) لمؤتمر المندوبين المفوضين بشأن </w:t>
      </w:r>
      <w:r w:rsidRPr="00787A02">
        <w:rPr>
          <w:i/>
          <w:iCs/>
          <w:rtl/>
          <w:lang w:bidi="ar-EG"/>
        </w:rPr>
        <w:t>مباني مقر الاتحاد في المستقبل</w:t>
      </w:r>
      <w:r w:rsidRPr="00C1235B">
        <w:rPr>
          <w:rtl/>
          <w:lang w:bidi="ar-EG"/>
        </w:rPr>
        <w:t>، بأن يتخذ المجلس في دورته لعام 2024 قراراً يتضمن العناصر التالية:</w:t>
      </w:r>
    </w:p>
    <w:p w14:paraId="521F05E6" w14:textId="054052D0" w:rsidR="00C1235B" w:rsidRPr="00DE4060" w:rsidRDefault="00C1235B" w:rsidP="00844CCA">
      <w:pPr>
        <w:pStyle w:val="enumlev1"/>
        <w:rPr>
          <w:rtl/>
        </w:rPr>
      </w:pPr>
      <w:r w:rsidRPr="00DE4060">
        <w:rPr>
          <w:rtl/>
        </w:rPr>
        <w:t>1</w:t>
      </w:r>
      <w:r w:rsidRPr="00DE4060">
        <w:rPr>
          <w:rtl/>
        </w:rPr>
        <w:tab/>
        <w:t xml:space="preserve">يوافق على المشروع البديل المعاد تقييمه والذي يجب ألا يتجاوز </w:t>
      </w:r>
      <w:r w:rsidR="003B7470">
        <w:t>179,69</w:t>
      </w:r>
      <w:r w:rsidRPr="00DE4060">
        <w:rPr>
          <w:rtl/>
        </w:rPr>
        <w:t xml:space="preserve"> مليون فرنك سويسري، رهناً بموافقة أغلبية الدول الأعضاء في الاتحاد وفقاً للرقم </w:t>
      </w:r>
      <w:r w:rsidRPr="00DE4060">
        <w:t>79</w:t>
      </w:r>
      <w:r w:rsidRPr="00DE4060">
        <w:rPr>
          <w:rtl/>
        </w:rPr>
        <w:t xml:space="preserve"> من الاتفاقية، ويكلف الأمينة العامة بما يلي:</w:t>
      </w:r>
    </w:p>
    <w:p w14:paraId="0B322432" w14:textId="0DF4D3D3" w:rsidR="00C1235B" w:rsidRPr="00DE4060" w:rsidRDefault="00234FE3" w:rsidP="00787A02">
      <w:pPr>
        <w:pStyle w:val="enumlev2"/>
        <w:spacing w:after="120"/>
        <w:rPr>
          <w:rtl/>
          <w:lang w:bidi="ar-EG"/>
        </w:rPr>
      </w:pPr>
      <w:r w:rsidRPr="00DE4060">
        <w:rPr>
          <w:rtl/>
          <w:lang w:bidi="ar-EG"/>
        </w:rPr>
        <w:t> </w:t>
      </w:r>
      <w:r w:rsidR="00C1235B" w:rsidRPr="00DE4060">
        <w:rPr>
          <w:rtl/>
          <w:lang w:bidi="ar-EG"/>
        </w:rPr>
        <w:t>أ</w:t>
      </w:r>
      <w:r w:rsidRPr="00DE4060">
        <w:rPr>
          <w:rtl/>
          <w:lang w:bidi="ar-EG"/>
        </w:rPr>
        <w:t> </w:t>
      </w:r>
      <w:r w:rsidR="00787A02">
        <w:rPr>
          <w:rFonts w:hint="cs"/>
          <w:rtl/>
          <w:lang w:bidi="ar-EG"/>
        </w:rPr>
        <w:t>)</w:t>
      </w:r>
      <w:r w:rsidR="00C1235B" w:rsidRPr="00DE4060">
        <w:rPr>
          <w:rtl/>
          <w:lang w:bidi="ar-EG"/>
        </w:rPr>
        <w:tab/>
        <w:t>اتخاذ جميع الخطوات اللازمة لتنفيذ المشروع البديل المعاد تقييمه لتلبية احتياجات أعضاء الاتحاد وموظفيه على النحو المبين في الجداول أدناه؛</w:t>
      </w:r>
    </w:p>
    <w:tbl>
      <w:tblPr>
        <w:tblStyle w:val="TableGrid"/>
        <w:bidiVisual/>
        <w:tblW w:w="8364" w:type="dxa"/>
        <w:tblInd w:w="1129" w:type="dxa"/>
        <w:tblLook w:val="04A0" w:firstRow="1" w:lastRow="0" w:firstColumn="1" w:lastColumn="0" w:noHBand="0" w:noVBand="1"/>
      </w:tblPr>
      <w:tblGrid>
        <w:gridCol w:w="2835"/>
        <w:gridCol w:w="5529"/>
      </w:tblGrid>
      <w:tr w:rsidR="00C1235B" w:rsidRPr="00C1235B" w14:paraId="1D6D5471" w14:textId="77777777" w:rsidTr="000F5B15">
        <w:trPr>
          <w:trHeight w:val="381"/>
        </w:trPr>
        <w:tc>
          <w:tcPr>
            <w:tcW w:w="8364" w:type="dxa"/>
            <w:gridSpan w:val="2"/>
          </w:tcPr>
          <w:p w14:paraId="1C8B0C8E" w14:textId="77777777" w:rsidR="00C1235B" w:rsidRPr="003B7470" w:rsidRDefault="00C1235B" w:rsidP="003B7470">
            <w:pPr>
              <w:pStyle w:val="TableHead"/>
              <w:spacing w:line="240" w:lineRule="exact"/>
              <w:rPr>
                <w:lang w:bidi="ar-EG"/>
              </w:rPr>
            </w:pPr>
            <w:r w:rsidRPr="003B7470">
              <w:rPr>
                <w:rtl/>
              </w:rPr>
              <w:t>نطاق المشروع البديل المعاد تقييمه</w:t>
            </w:r>
          </w:p>
        </w:tc>
      </w:tr>
      <w:tr w:rsidR="00C1235B" w:rsidRPr="00C1235B" w14:paraId="09B74368" w14:textId="77777777" w:rsidTr="000F5B15">
        <w:trPr>
          <w:trHeight w:val="815"/>
        </w:trPr>
        <w:tc>
          <w:tcPr>
            <w:tcW w:w="2835" w:type="dxa"/>
            <w:hideMark/>
          </w:tcPr>
          <w:p w14:paraId="064D3704" w14:textId="77777777" w:rsidR="00C1235B" w:rsidRPr="003B7470" w:rsidRDefault="00C1235B" w:rsidP="003B7470">
            <w:pPr>
              <w:pStyle w:val="Tabletexte"/>
              <w:spacing w:line="240" w:lineRule="exact"/>
              <w:rPr>
                <w:b/>
                <w:bCs/>
                <w:lang w:bidi="ar-EG"/>
              </w:rPr>
            </w:pPr>
            <w:r w:rsidRPr="003B7470">
              <w:rPr>
                <w:b/>
                <w:bCs/>
                <w:rtl/>
              </w:rPr>
              <w:t>مرافق المؤتمرات</w:t>
            </w:r>
          </w:p>
        </w:tc>
        <w:tc>
          <w:tcPr>
            <w:tcW w:w="5529" w:type="dxa"/>
            <w:hideMark/>
          </w:tcPr>
          <w:p w14:paraId="641577D0" w14:textId="38178B3D" w:rsidR="00C1235B" w:rsidRPr="003B7470" w:rsidRDefault="00C1235B" w:rsidP="003B7470">
            <w:pPr>
              <w:pStyle w:val="Tabletexte"/>
              <w:spacing w:line="240" w:lineRule="exact"/>
              <w:jc w:val="left"/>
              <w:rPr>
                <w:b/>
                <w:bCs/>
              </w:rPr>
            </w:pPr>
            <w:r w:rsidRPr="003B7470">
              <w:rPr>
                <w:b/>
                <w:bCs/>
                <w:rtl/>
              </w:rPr>
              <w:t>قاعة اجتماعات كبيرة (برعاية المملكة العربية السعودية)</w:t>
            </w:r>
            <w:r w:rsidR="003B7470">
              <w:rPr>
                <w:b/>
                <w:bCs/>
              </w:rPr>
              <w:br/>
            </w:r>
            <w:r w:rsidRPr="00C1235B">
              <w:rPr>
                <w:rtl/>
              </w:rPr>
              <w:t>500 مقعد تقريباً</w:t>
            </w:r>
          </w:p>
          <w:p w14:paraId="3E6A2918" w14:textId="530DA662" w:rsidR="00C1235B" w:rsidRPr="003B7470" w:rsidRDefault="00C1235B" w:rsidP="003B7470">
            <w:pPr>
              <w:pStyle w:val="Tabletexte"/>
              <w:spacing w:line="240" w:lineRule="exact"/>
              <w:jc w:val="left"/>
              <w:rPr>
                <w:b/>
                <w:bCs/>
              </w:rPr>
            </w:pPr>
            <w:r w:rsidRPr="003B7470">
              <w:rPr>
                <w:b/>
                <w:bCs/>
                <w:rtl/>
              </w:rPr>
              <w:t>ردهة المؤتمرات</w:t>
            </w:r>
            <w:r w:rsidR="003B7470">
              <w:rPr>
                <w:b/>
                <w:bCs/>
              </w:rPr>
              <w:br/>
            </w:r>
            <w:r w:rsidRPr="00C1235B">
              <w:rPr>
                <w:rtl/>
              </w:rPr>
              <w:t>حجم متناسب</w:t>
            </w:r>
          </w:p>
        </w:tc>
      </w:tr>
      <w:tr w:rsidR="00C1235B" w:rsidRPr="00C1235B" w14:paraId="3F22BA8F" w14:textId="77777777" w:rsidTr="000F5B15">
        <w:trPr>
          <w:trHeight w:val="745"/>
        </w:trPr>
        <w:tc>
          <w:tcPr>
            <w:tcW w:w="2835" w:type="dxa"/>
            <w:hideMark/>
          </w:tcPr>
          <w:p w14:paraId="56A19D69" w14:textId="77777777" w:rsidR="00C1235B" w:rsidRPr="003B7470" w:rsidRDefault="00C1235B" w:rsidP="003B7470">
            <w:pPr>
              <w:pStyle w:val="Tabletexte"/>
              <w:spacing w:line="240" w:lineRule="exact"/>
              <w:rPr>
                <w:b/>
                <w:bCs/>
                <w:lang w:bidi="ar-EG"/>
              </w:rPr>
            </w:pPr>
            <w:r w:rsidRPr="003B7470">
              <w:rPr>
                <w:b/>
                <w:bCs/>
                <w:rtl/>
              </w:rPr>
              <w:t>خدمة المطاعم</w:t>
            </w:r>
          </w:p>
        </w:tc>
        <w:tc>
          <w:tcPr>
            <w:tcW w:w="5529" w:type="dxa"/>
            <w:hideMark/>
          </w:tcPr>
          <w:p w14:paraId="11209A91" w14:textId="77777777" w:rsidR="00C1235B" w:rsidRPr="00C1235B" w:rsidRDefault="00C1235B" w:rsidP="003B7470">
            <w:pPr>
              <w:pStyle w:val="Tabletexte"/>
              <w:spacing w:line="240" w:lineRule="exact"/>
              <w:jc w:val="left"/>
              <w:rPr>
                <w:rtl/>
              </w:rPr>
            </w:pPr>
            <w:r w:rsidRPr="003B7470">
              <w:rPr>
                <w:b/>
                <w:bCs/>
                <w:rtl/>
              </w:rPr>
              <w:t>المقصف</w:t>
            </w:r>
            <w:r w:rsidRPr="00C1235B">
              <w:rPr>
                <w:lang w:bidi="ar-EG"/>
              </w:rPr>
              <w:br/>
            </w:r>
            <w:bookmarkStart w:id="0" w:name="lt_pId151"/>
            <w:r w:rsidRPr="00C1235B">
              <w:rPr>
                <w:rtl/>
              </w:rPr>
              <w:t>قاعة غداء تسع 150 مقعداً تقريباً</w:t>
            </w:r>
          </w:p>
          <w:bookmarkEnd w:id="0"/>
          <w:p w14:paraId="7D9B052E" w14:textId="4FB38E17" w:rsidR="00C1235B" w:rsidRPr="003B7470" w:rsidRDefault="00C1235B" w:rsidP="003B7470">
            <w:pPr>
              <w:pStyle w:val="Tabletexte"/>
              <w:spacing w:line="240" w:lineRule="exact"/>
              <w:jc w:val="left"/>
              <w:rPr>
                <w:b/>
                <w:bCs/>
              </w:rPr>
            </w:pPr>
            <w:r w:rsidRPr="003B7470">
              <w:rPr>
                <w:b/>
                <w:bCs/>
                <w:rtl/>
              </w:rPr>
              <w:t>صالة للمندوبين</w:t>
            </w:r>
            <w:bookmarkStart w:id="1" w:name="lt_pId154"/>
            <w:r w:rsidR="003B7470">
              <w:rPr>
                <w:b/>
                <w:bCs/>
              </w:rPr>
              <w:br/>
            </w:r>
            <w:r w:rsidRPr="00C1235B">
              <w:rPr>
                <w:rtl/>
              </w:rPr>
              <w:t>120 مقعداً تقريباً</w:t>
            </w:r>
            <w:bookmarkEnd w:id="1"/>
          </w:p>
        </w:tc>
      </w:tr>
      <w:tr w:rsidR="00C1235B" w:rsidRPr="00C1235B" w14:paraId="52996FA2" w14:textId="77777777" w:rsidTr="000F5B15">
        <w:trPr>
          <w:trHeight w:val="186"/>
        </w:trPr>
        <w:tc>
          <w:tcPr>
            <w:tcW w:w="2835" w:type="dxa"/>
            <w:hideMark/>
          </w:tcPr>
          <w:p w14:paraId="325BDBBD" w14:textId="77777777" w:rsidR="00C1235B" w:rsidRPr="003B7470" w:rsidRDefault="00C1235B" w:rsidP="003B7470">
            <w:pPr>
              <w:pStyle w:val="Tabletexte"/>
              <w:spacing w:line="240" w:lineRule="exact"/>
              <w:rPr>
                <w:b/>
                <w:bCs/>
                <w:lang w:bidi="ar-EG"/>
              </w:rPr>
            </w:pPr>
            <w:r w:rsidRPr="003B7470">
              <w:rPr>
                <w:b/>
                <w:bCs/>
                <w:rtl/>
              </w:rPr>
              <w:t>قاعات الاجتماع</w:t>
            </w:r>
          </w:p>
        </w:tc>
        <w:tc>
          <w:tcPr>
            <w:tcW w:w="5529" w:type="dxa"/>
            <w:hideMark/>
          </w:tcPr>
          <w:p w14:paraId="0909A8B2" w14:textId="77777777" w:rsidR="00C1235B" w:rsidRPr="00C1235B" w:rsidRDefault="00C1235B" w:rsidP="003B7470">
            <w:pPr>
              <w:pStyle w:val="Tabletexte"/>
              <w:spacing w:line="240" w:lineRule="exact"/>
              <w:rPr>
                <w:lang w:bidi="ar-EG"/>
              </w:rPr>
            </w:pPr>
            <w:r w:rsidRPr="00C1235B">
              <w:rPr>
                <w:rtl/>
              </w:rPr>
              <w:t>23 قاعة تقريباً</w:t>
            </w:r>
          </w:p>
        </w:tc>
      </w:tr>
      <w:tr w:rsidR="00C1235B" w:rsidRPr="00C1235B" w14:paraId="1C03B895" w14:textId="77777777" w:rsidTr="000F5B15">
        <w:trPr>
          <w:trHeight w:val="47"/>
        </w:trPr>
        <w:tc>
          <w:tcPr>
            <w:tcW w:w="2835" w:type="dxa"/>
            <w:hideMark/>
          </w:tcPr>
          <w:p w14:paraId="635C71D1" w14:textId="77777777" w:rsidR="00C1235B" w:rsidRPr="003B7470" w:rsidRDefault="00C1235B" w:rsidP="003B7470">
            <w:pPr>
              <w:pStyle w:val="Tabletexte"/>
              <w:spacing w:line="240" w:lineRule="exact"/>
              <w:rPr>
                <w:b/>
                <w:bCs/>
                <w:lang w:bidi="ar-EG"/>
              </w:rPr>
            </w:pPr>
            <w:r w:rsidRPr="003B7470">
              <w:rPr>
                <w:b/>
                <w:bCs/>
                <w:rtl/>
              </w:rPr>
              <w:t>مكان العمل</w:t>
            </w:r>
          </w:p>
        </w:tc>
        <w:tc>
          <w:tcPr>
            <w:tcW w:w="5529" w:type="dxa"/>
            <w:hideMark/>
          </w:tcPr>
          <w:p w14:paraId="6C874234" w14:textId="767857A0" w:rsidR="00C1235B" w:rsidRPr="00C1235B" w:rsidRDefault="00C1235B" w:rsidP="003B7470">
            <w:pPr>
              <w:pStyle w:val="Tabletexte"/>
              <w:spacing w:line="240" w:lineRule="exact"/>
              <w:rPr>
                <w:lang w:bidi="ar-EG"/>
              </w:rPr>
            </w:pPr>
            <w:r w:rsidRPr="00C1235B">
              <w:rPr>
                <w:rtl/>
              </w:rPr>
              <w:t xml:space="preserve">200 </w:t>
            </w:r>
            <w:r w:rsidRPr="00787A02">
              <w:rPr>
                <w:rtl/>
              </w:rPr>
              <w:t>مقعد</w:t>
            </w:r>
            <w:r w:rsidRPr="00C1235B">
              <w:rPr>
                <w:rtl/>
              </w:rPr>
              <w:t xml:space="preserve"> تقريباً</w:t>
            </w:r>
          </w:p>
        </w:tc>
      </w:tr>
      <w:tr w:rsidR="00C1235B" w:rsidRPr="00C1235B" w14:paraId="403A8335" w14:textId="77777777" w:rsidTr="000F5B15">
        <w:trPr>
          <w:trHeight w:val="47"/>
        </w:trPr>
        <w:tc>
          <w:tcPr>
            <w:tcW w:w="2835" w:type="dxa"/>
            <w:hideMark/>
          </w:tcPr>
          <w:p w14:paraId="55CCF0FD" w14:textId="77777777" w:rsidR="00C1235B" w:rsidRPr="003B7470" w:rsidRDefault="00C1235B" w:rsidP="003B7470">
            <w:pPr>
              <w:pStyle w:val="Tabletexte"/>
              <w:spacing w:line="240" w:lineRule="exact"/>
              <w:rPr>
                <w:b/>
                <w:bCs/>
                <w:lang w:bidi="ar-EG"/>
              </w:rPr>
            </w:pPr>
            <w:r w:rsidRPr="003B7470">
              <w:rPr>
                <w:b/>
                <w:bCs/>
                <w:rtl/>
              </w:rPr>
              <w:t>وسائل الراحة الأساسية</w:t>
            </w:r>
          </w:p>
        </w:tc>
        <w:tc>
          <w:tcPr>
            <w:tcW w:w="5529" w:type="dxa"/>
            <w:hideMark/>
          </w:tcPr>
          <w:p w14:paraId="3245F0FA" w14:textId="77777777" w:rsidR="00C1235B" w:rsidRPr="00C1235B" w:rsidRDefault="00C1235B" w:rsidP="003B7470">
            <w:pPr>
              <w:pStyle w:val="Tabletexte"/>
              <w:spacing w:line="240" w:lineRule="exact"/>
              <w:rPr>
                <w:lang w:bidi="ar-EG"/>
              </w:rPr>
            </w:pPr>
            <w:r w:rsidRPr="00C1235B">
              <w:rPr>
                <w:rtl/>
              </w:rPr>
              <w:t>وسائل كافية لدعم هذه المرافق</w:t>
            </w:r>
          </w:p>
        </w:tc>
      </w:tr>
      <w:tr w:rsidR="00C1235B" w:rsidRPr="00C1235B" w14:paraId="33436DCC" w14:textId="77777777" w:rsidTr="000F5B15">
        <w:trPr>
          <w:trHeight w:val="47"/>
        </w:trPr>
        <w:tc>
          <w:tcPr>
            <w:tcW w:w="2835" w:type="dxa"/>
            <w:hideMark/>
          </w:tcPr>
          <w:p w14:paraId="1FC860AC" w14:textId="77777777" w:rsidR="00C1235B" w:rsidRPr="003B7470" w:rsidRDefault="00C1235B" w:rsidP="003B7470">
            <w:pPr>
              <w:pStyle w:val="Tabletexte"/>
              <w:spacing w:line="240" w:lineRule="exact"/>
              <w:rPr>
                <w:b/>
                <w:bCs/>
                <w:lang w:bidi="ar-EG"/>
              </w:rPr>
            </w:pPr>
            <w:r w:rsidRPr="003B7470">
              <w:rPr>
                <w:b/>
                <w:bCs/>
                <w:rtl/>
              </w:rPr>
              <w:t>الحجم المتوقع للمبنى</w:t>
            </w:r>
          </w:p>
        </w:tc>
        <w:tc>
          <w:tcPr>
            <w:tcW w:w="5529" w:type="dxa"/>
            <w:hideMark/>
          </w:tcPr>
          <w:p w14:paraId="653166D9" w14:textId="77777777" w:rsidR="00C1235B" w:rsidRPr="00C1235B" w:rsidRDefault="00C1235B" w:rsidP="003B7470">
            <w:pPr>
              <w:pStyle w:val="Tabletexte"/>
              <w:spacing w:line="240" w:lineRule="exact"/>
              <w:rPr>
                <w:lang w:bidi="ar-EG"/>
              </w:rPr>
            </w:pPr>
            <w:bookmarkStart w:id="2" w:name="lt_pId165"/>
            <w:r w:rsidRPr="00C1235B">
              <w:rPr>
                <w:rtl/>
              </w:rPr>
              <w:t>000 15 متر مربع تقريباً (مماثل للمبنى الذي سيحل محله)</w:t>
            </w:r>
            <w:bookmarkEnd w:id="2"/>
          </w:p>
        </w:tc>
      </w:tr>
    </w:tbl>
    <w:p w14:paraId="3CD7F238" w14:textId="77777777" w:rsidR="00C1235B" w:rsidRPr="00C1235B" w:rsidRDefault="00C1235B" w:rsidP="00C1235B">
      <w:pPr>
        <w:rPr>
          <w:rtl/>
          <w:lang w:bidi="ar-EG"/>
        </w:rPr>
      </w:pPr>
    </w:p>
    <w:tbl>
      <w:tblPr>
        <w:tblStyle w:val="TableGrid"/>
        <w:bidiVisual/>
        <w:tblW w:w="8364" w:type="dxa"/>
        <w:tblInd w:w="1129" w:type="dxa"/>
        <w:tblLook w:val="0420" w:firstRow="1" w:lastRow="0" w:firstColumn="0" w:lastColumn="0" w:noHBand="0" w:noVBand="1"/>
      </w:tblPr>
      <w:tblGrid>
        <w:gridCol w:w="2835"/>
        <w:gridCol w:w="5529"/>
      </w:tblGrid>
      <w:tr w:rsidR="00C1235B" w:rsidRPr="00C1235B" w14:paraId="56A16E00" w14:textId="77777777" w:rsidTr="000F5B15">
        <w:trPr>
          <w:trHeight w:val="47"/>
        </w:trPr>
        <w:tc>
          <w:tcPr>
            <w:tcW w:w="8364" w:type="dxa"/>
            <w:gridSpan w:val="2"/>
            <w:hideMark/>
          </w:tcPr>
          <w:p w14:paraId="43741048" w14:textId="77777777" w:rsidR="00C1235B" w:rsidRPr="00C1235B" w:rsidRDefault="00C1235B" w:rsidP="003B7470">
            <w:pPr>
              <w:pStyle w:val="TableHead"/>
              <w:spacing w:line="240" w:lineRule="exact"/>
              <w:rPr>
                <w:lang w:bidi="ar-EG"/>
              </w:rPr>
            </w:pPr>
            <w:r w:rsidRPr="00C1235B">
              <w:rPr>
                <w:rtl/>
              </w:rPr>
              <w:t>المراحل الرئيسية للمشروع البديل المعاد تقييمه</w:t>
            </w:r>
          </w:p>
        </w:tc>
      </w:tr>
      <w:tr w:rsidR="00C1235B" w:rsidRPr="00C1235B" w14:paraId="3147A75C" w14:textId="77777777" w:rsidTr="000F5B15">
        <w:trPr>
          <w:trHeight w:val="55"/>
        </w:trPr>
        <w:tc>
          <w:tcPr>
            <w:tcW w:w="2835" w:type="dxa"/>
            <w:hideMark/>
          </w:tcPr>
          <w:p w14:paraId="0A05D9A9" w14:textId="77777777" w:rsidR="00C1235B" w:rsidRPr="003B7470" w:rsidRDefault="00C1235B" w:rsidP="003B7470">
            <w:pPr>
              <w:pStyle w:val="Tabletexte"/>
              <w:spacing w:line="240" w:lineRule="exact"/>
              <w:rPr>
                <w:b/>
                <w:bCs/>
                <w:lang w:bidi="ar-EG"/>
              </w:rPr>
            </w:pPr>
            <w:r w:rsidRPr="003B7470">
              <w:rPr>
                <w:b/>
                <w:bCs/>
                <w:rtl/>
              </w:rPr>
              <w:t>التخطيط والتصميم</w:t>
            </w:r>
          </w:p>
        </w:tc>
        <w:tc>
          <w:tcPr>
            <w:tcW w:w="5529" w:type="dxa"/>
            <w:hideMark/>
          </w:tcPr>
          <w:p w14:paraId="1D7BCBD7" w14:textId="77777777" w:rsidR="00C1235B" w:rsidRPr="00C1235B" w:rsidRDefault="00C1235B" w:rsidP="003B7470">
            <w:pPr>
              <w:pStyle w:val="Tabletexte"/>
              <w:spacing w:line="240" w:lineRule="exact"/>
              <w:jc w:val="center"/>
              <w:rPr>
                <w:lang w:bidi="ar-EG"/>
              </w:rPr>
            </w:pPr>
            <w:r w:rsidRPr="00C1235B">
              <w:rPr>
                <w:rtl/>
              </w:rPr>
              <w:t>2024-2026</w:t>
            </w:r>
          </w:p>
        </w:tc>
      </w:tr>
      <w:tr w:rsidR="00C1235B" w:rsidRPr="00C1235B" w14:paraId="50D57FCA" w14:textId="77777777" w:rsidTr="000F5B15">
        <w:trPr>
          <w:trHeight w:val="47"/>
        </w:trPr>
        <w:tc>
          <w:tcPr>
            <w:tcW w:w="2835" w:type="dxa"/>
            <w:hideMark/>
          </w:tcPr>
          <w:p w14:paraId="24EC4D5D" w14:textId="77777777" w:rsidR="00C1235B" w:rsidRPr="003B7470" w:rsidRDefault="00C1235B" w:rsidP="003B7470">
            <w:pPr>
              <w:pStyle w:val="Tabletexte"/>
              <w:spacing w:line="240" w:lineRule="exact"/>
              <w:rPr>
                <w:b/>
                <w:bCs/>
                <w:lang w:bidi="ar-EG"/>
              </w:rPr>
            </w:pPr>
            <w:r w:rsidRPr="003B7470">
              <w:rPr>
                <w:b/>
                <w:bCs/>
                <w:rtl/>
              </w:rPr>
              <w:t>العطاء والاتصال</w:t>
            </w:r>
          </w:p>
        </w:tc>
        <w:tc>
          <w:tcPr>
            <w:tcW w:w="5529" w:type="dxa"/>
            <w:hideMark/>
          </w:tcPr>
          <w:p w14:paraId="1860B391" w14:textId="77777777" w:rsidR="00C1235B" w:rsidRPr="00C1235B" w:rsidRDefault="00C1235B" w:rsidP="003B7470">
            <w:pPr>
              <w:pStyle w:val="Tabletexte"/>
              <w:spacing w:line="240" w:lineRule="exact"/>
              <w:jc w:val="center"/>
              <w:rPr>
                <w:lang w:bidi="ar-EG"/>
              </w:rPr>
            </w:pPr>
            <w:r w:rsidRPr="00C1235B">
              <w:rPr>
                <w:lang w:bidi="ar-EG"/>
              </w:rPr>
              <w:t>2027</w:t>
            </w:r>
          </w:p>
        </w:tc>
      </w:tr>
      <w:tr w:rsidR="00C1235B" w:rsidRPr="00C1235B" w14:paraId="65587A27" w14:textId="77777777" w:rsidTr="000F5B15">
        <w:trPr>
          <w:trHeight w:val="47"/>
        </w:trPr>
        <w:tc>
          <w:tcPr>
            <w:tcW w:w="2835" w:type="dxa"/>
            <w:hideMark/>
          </w:tcPr>
          <w:p w14:paraId="2994587A" w14:textId="77777777" w:rsidR="00C1235B" w:rsidRPr="003B7470" w:rsidRDefault="00C1235B" w:rsidP="003B7470">
            <w:pPr>
              <w:pStyle w:val="Tabletexte"/>
              <w:spacing w:line="240" w:lineRule="exact"/>
              <w:rPr>
                <w:b/>
                <w:bCs/>
                <w:lang w:bidi="ar-EG"/>
              </w:rPr>
            </w:pPr>
            <w:r w:rsidRPr="003B7470">
              <w:rPr>
                <w:b/>
                <w:bCs/>
                <w:rtl/>
              </w:rPr>
              <w:t>التصريح والتنفيذ</w:t>
            </w:r>
          </w:p>
        </w:tc>
        <w:tc>
          <w:tcPr>
            <w:tcW w:w="5529" w:type="dxa"/>
            <w:hideMark/>
          </w:tcPr>
          <w:p w14:paraId="3B130FF8" w14:textId="77777777" w:rsidR="00C1235B" w:rsidRPr="00C1235B" w:rsidRDefault="00C1235B" w:rsidP="003B7470">
            <w:pPr>
              <w:pStyle w:val="Tabletexte"/>
              <w:spacing w:line="240" w:lineRule="exact"/>
              <w:jc w:val="center"/>
              <w:rPr>
                <w:lang w:bidi="ar-EG"/>
              </w:rPr>
            </w:pPr>
            <w:r w:rsidRPr="00C1235B">
              <w:rPr>
                <w:rtl/>
              </w:rPr>
              <w:t>2028-2031</w:t>
            </w:r>
          </w:p>
        </w:tc>
      </w:tr>
      <w:tr w:rsidR="00C1235B" w:rsidRPr="00C1235B" w14:paraId="36A0BEFD" w14:textId="77777777" w:rsidTr="000F5B15">
        <w:trPr>
          <w:trHeight w:val="47"/>
        </w:trPr>
        <w:tc>
          <w:tcPr>
            <w:tcW w:w="2835" w:type="dxa"/>
            <w:hideMark/>
          </w:tcPr>
          <w:p w14:paraId="0E531AF0" w14:textId="77777777" w:rsidR="00C1235B" w:rsidRPr="003B7470" w:rsidRDefault="00C1235B" w:rsidP="003B7470">
            <w:pPr>
              <w:pStyle w:val="Tabletexte"/>
              <w:spacing w:line="240" w:lineRule="exact"/>
              <w:rPr>
                <w:b/>
                <w:bCs/>
                <w:lang w:bidi="ar-EG"/>
              </w:rPr>
            </w:pPr>
            <w:r w:rsidRPr="003B7470">
              <w:rPr>
                <w:b/>
                <w:bCs/>
                <w:rtl/>
              </w:rPr>
              <w:t>التسليم</w:t>
            </w:r>
          </w:p>
        </w:tc>
        <w:tc>
          <w:tcPr>
            <w:tcW w:w="5529" w:type="dxa"/>
            <w:hideMark/>
          </w:tcPr>
          <w:p w14:paraId="253D2AD4" w14:textId="77777777" w:rsidR="00C1235B" w:rsidRPr="00C1235B" w:rsidRDefault="00C1235B" w:rsidP="003B7470">
            <w:pPr>
              <w:pStyle w:val="Tabletexte"/>
              <w:spacing w:line="240" w:lineRule="exact"/>
              <w:jc w:val="center"/>
              <w:rPr>
                <w:lang w:bidi="ar-EG"/>
              </w:rPr>
            </w:pPr>
            <w:r w:rsidRPr="00C1235B">
              <w:rPr>
                <w:lang w:bidi="ar-EG"/>
              </w:rPr>
              <w:t>2031</w:t>
            </w:r>
          </w:p>
        </w:tc>
      </w:tr>
    </w:tbl>
    <w:p w14:paraId="5638D13E" w14:textId="046EFA8E" w:rsidR="00C1235B" w:rsidRPr="00DE4060" w:rsidRDefault="00C1235B" w:rsidP="00787A02">
      <w:pPr>
        <w:pStyle w:val="enumlev2"/>
        <w:spacing w:before="120"/>
        <w:rPr>
          <w:rtl/>
          <w:lang w:bidi="ar-EG"/>
        </w:rPr>
      </w:pPr>
      <w:r w:rsidRPr="00DE4060">
        <w:rPr>
          <w:rtl/>
          <w:lang w:bidi="ar-EG"/>
        </w:rPr>
        <w:t>ب</w:t>
      </w:r>
      <w:r w:rsidR="00787A02">
        <w:rPr>
          <w:rFonts w:hint="cs"/>
          <w:rtl/>
          <w:lang w:bidi="ar-EG"/>
        </w:rPr>
        <w:t>)</w:t>
      </w:r>
      <w:r w:rsidRPr="00DE4060">
        <w:rPr>
          <w:rtl/>
          <w:lang w:bidi="ar-EG"/>
        </w:rPr>
        <w:tab/>
        <w:t>الاتصال بالبلد المضيف واتخاذ الخطوات اللازمة لإعادة توظيف القرض البالغ 150 مليون فرنك سويسري للمشروع المعاد تقييمه؛</w:t>
      </w:r>
    </w:p>
    <w:p w14:paraId="5CC01C3A" w14:textId="6ABCE644" w:rsidR="00C1235B" w:rsidRPr="00DE4060" w:rsidRDefault="00C1235B" w:rsidP="00844CCA">
      <w:pPr>
        <w:pStyle w:val="enumlev2"/>
        <w:rPr>
          <w:rtl/>
          <w:lang w:bidi="ar-EG"/>
        </w:rPr>
      </w:pPr>
      <w:r w:rsidRPr="00DE4060">
        <w:rPr>
          <w:rtl/>
          <w:lang w:bidi="ar-EG"/>
        </w:rPr>
        <w:t>ج</w:t>
      </w:r>
      <w:r w:rsidR="00787A02">
        <w:rPr>
          <w:rFonts w:hint="cs"/>
          <w:rtl/>
          <w:lang w:bidi="ar-EG"/>
        </w:rPr>
        <w:t>)</w:t>
      </w:r>
      <w:r w:rsidRPr="00DE4060">
        <w:rPr>
          <w:rtl/>
          <w:lang w:bidi="ar-EG"/>
        </w:rPr>
        <w:tab/>
        <w:t>التعامل مع الجهات الراعية والأطراف المهتمة، بهدف الحفاظ على الرعاية الملتزم بها على النحو المبين في</w:t>
      </w:r>
      <w:r w:rsidR="003B7470">
        <w:rPr>
          <w:rFonts w:hint="cs"/>
          <w:rtl/>
          <w:lang w:bidi="ar-EG"/>
        </w:rPr>
        <w:t> </w:t>
      </w:r>
      <w:r w:rsidRPr="00DE4060">
        <w:rPr>
          <w:rtl/>
          <w:lang w:bidi="ar-EG"/>
        </w:rPr>
        <w:t>القرار 212 (أي مع ملاحظة د</w:t>
      </w:r>
      <w:r w:rsidR="00787A02">
        <w:rPr>
          <w:rFonts w:hint="cs"/>
          <w:rtl/>
          <w:lang w:bidi="ar-EG"/>
        </w:rPr>
        <w:t>)</w:t>
      </w:r>
      <w:r w:rsidRPr="00DE4060">
        <w:rPr>
          <w:rtl/>
          <w:lang w:bidi="ar-EG"/>
        </w:rPr>
        <w:t>)، وإيجاد حلول مقبولة للطرفين لمعالجة الالتزامات التي قد لا يكون من</w:t>
      </w:r>
      <w:r w:rsidR="003B7470">
        <w:rPr>
          <w:rFonts w:hint="cs"/>
          <w:rtl/>
          <w:lang w:bidi="ar-EG"/>
        </w:rPr>
        <w:t> </w:t>
      </w:r>
      <w:r w:rsidRPr="00DE4060">
        <w:rPr>
          <w:rtl/>
          <w:lang w:bidi="ar-EG"/>
        </w:rPr>
        <w:t>الممكن الوفاء بها في المشروع البديل المعاد تقييمه؛</w:t>
      </w:r>
    </w:p>
    <w:p w14:paraId="5107BBB4" w14:textId="72BC60B4" w:rsidR="00C1235B" w:rsidRPr="00DE4060" w:rsidRDefault="00C1235B" w:rsidP="00844CCA">
      <w:pPr>
        <w:pStyle w:val="enumlev2"/>
        <w:rPr>
          <w:rtl/>
          <w:lang w:bidi="ar-EG"/>
        </w:rPr>
      </w:pPr>
      <w:r w:rsidRPr="00DE4060">
        <w:rPr>
          <w:rtl/>
          <w:lang w:bidi="ar-EG"/>
        </w:rPr>
        <w:t>د</w:t>
      </w:r>
      <w:r w:rsidR="00234FE3" w:rsidRPr="00DE4060">
        <w:rPr>
          <w:rtl/>
          <w:lang w:bidi="ar-EG"/>
        </w:rPr>
        <w:t> </w:t>
      </w:r>
      <w:r w:rsidR="00787A02">
        <w:rPr>
          <w:rFonts w:hint="cs"/>
          <w:rtl/>
          <w:lang w:bidi="ar-EG"/>
        </w:rPr>
        <w:t>)</w:t>
      </w:r>
      <w:r w:rsidRPr="00DE4060">
        <w:rPr>
          <w:rtl/>
          <w:lang w:bidi="ar-EG"/>
        </w:rPr>
        <w:tab/>
        <w:t xml:space="preserve">التأكد من أن تصميم وتنفيذ المشروع المعاد تقييمه يلبي احتياجات الاتحاد من خلال تزويد الفريق </w:t>
      </w:r>
      <w:r w:rsidRPr="00DE4060">
        <w:rPr>
          <w:lang w:bidi="ar-EG"/>
        </w:rPr>
        <w:t>MSAG</w:t>
      </w:r>
      <w:r w:rsidRPr="00DE4060">
        <w:rPr>
          <w:rtl/>
          <w:lang w:bidi="ar-EG"/>
        </w:rPr>
        <w:t xml:space="preserve"> بالمعلومات اللازمة من أجل:</w:t>
      </w:r>
    </w:p>
    <w:p w14:paraId="30B8D20A" w14:textId="24AAD8C9" w:rsidR="00C1235B" w:rsidRPr="00DE4060" w:rsidRDefault="003B7470" w:rsidP="00844CCA">
      <w:pPr>
        <w:pStyle w:val="enumlev3"/>
        <w:rPr>
          <w:rtl/>
        </w:rPr>
      </w:pPr>
      <w:r>
        <w:rPr>
          <w:rFonts w:hint="cs"/>
          <w:rtl/>
          <w:lang w:bidi="ar-EG"/>
        </w:rPr>
        <w:t>’1‘</w:t>
      </w:r>
      <w:r w:rsidR="00C1235B" w:rsidRPr="00DE4060">
        <w:rPr>
          <w:rtl/>
        </w:rPr>
        <w:tab/>
        <w:t xml:space="preserve">تقديم المشورة العامة والتوصيات بشأن تنفيذ المشروع، بهدف ضمان الالتزام بالجدول الزمني والميزانية (بما لا يتجاوز </w:t>
      </w:r>
      <w:r>
        <w:t>179,69</w:t>
      </w:r>
      <w:r w:rsidR="00C1235B" w:rsidRPr="00DE4060">
        <w:rPr>
          <w:rtl/>
        </w:rPr>
        <w:t xml:space="preserve"> مليون فرنك سويسري)؛</w:t>
      </w:r>
    </w:p>
    <w:p w14:paraId="3D5EA7D1" w14:textId="7A11CB36" w:rsidR="00C1235B" w:rsidRPr="00DE4060" w:rsidRDefault="003B7470" w:rsidP="00844CCA">
      <w:pPr>
        <w:pStyle w:val="enumlev3"/>
        <w:rPr>
          <w:rtl/>
        </w:rPr>
      </w:pPr>
      <w:r>
        <w:rPr>
          <w:rFonts w:hint="cs"/>
          <w:rtl/>
        </w:rPr>
        <w:t>’2‘</w:t>
      </w:r>
      <w:r w:rsidR="00C1235B" w:rsidRPr="00DE4060">
        <w:rPr>
          <w:rtl/>
        </w:rPr>
        <w:tab/>
        <w:t>تقديم التوجيه بشأن أي تغييرات في التمويل نتيجة لتقلبات التكاليف أو الوفورات أو أي رعاية أو تبرع إضافي في نهاية المطاف؛</w:t>
      </w:r>
    </w:p>
    <w:p w14:paraId="7358E320" w14:textId="42814D9A" w:rsidR="00C1235B" w:rsidRPr="00DE4060" w:rsidRDefault="003B7470" w:rsidP="00844CCA">
      <w:pPr>
        <w:pStyle w:val="enumlev3"/>
        <w:rPr>
          <w:rtl/>
        </w:rPr>
      </w:pPr>
      <w:r>
        <w:rPr>
          <w:rFonts w:hint="cs"/>
          <w:rtl/>
        </w:rPr>
        <w:lastRenderedPageBreak/>
        <w:t>’3‘</w:t>
      </w:r>
      <w:r w:rsidR="00C1235B" w:rsidRPr="00DE4060">
        <w:rPr>
          <w:rtl/>
        </w:rPr>
        <w:tab/>
        <w:t>تقديم توجيهات بشأن التعامل مع الجهات الراعية والأطراف المهتمة.</w:t>
      </w:r>
    </w:p>
    <w:p w14:paraId="340E398A" w14:textId="4B082FB5" w:rsidR="00C1235B" w:rsidRPr="00DE4060" w:rsidRDefault="00C1235B" w:rsidP="00844CCA">
      <w:pPr>
        <w:pStyle w:val="enumlev2"/>
        <w:rPr>
          <w:rtl/>
          <w:lang w:bidi="ar-EG"/>
        </w:rPr>
      </w:pPr>
      <w:r w:rsidRPr="00DE4060">
        <w:rPr>
          <w:rtl/>
          <w:lang w:bidi="ar-EG"/>
        </w:rPr>
        <w:t>ه</w:t>
      </w:r>
      <w:r w:rsidR="00844CCA" w:rsidRPr="00DE4060">
        <w:rPr>
          <w:rtl/>
          <w:lang w:bidi="ar-EG"/>
        </w:rPr>
        <w:t>ـ</w:t>
      </w:r>
      <w:r w:rsidR="00234FE3" w:rsidRPr="00DE4060">
        <w:rPr>
          <w:rtl/>
          <w:lang w:bidi="ar-EG"/>
        </w:rPr>
        <w:t> </w:t>
      </w:r>
      <w:r w:rsidR="00787A02">
        <w:rPr>
          <w:rFonts w:hint="cs"/>
          <w:rtl/>
          <w:lang w:bidi="ar-EG"/>
        </w:rPr>
        <w:t>)</w:t>
      </w:r>
      <w:r w:rsidRPr="00DE4060">
        <w:rPr>
          <w:rtl/>
          <w:lang w:bidi="ar-EG"/>
        </w:rPr>
        <w:tab/>
        <w:t xml:space="preserve">[تقديم تحديث الحالة إلى الفريق </w:t>
      </w:r>
      <w:r w:rsidRPr="00DE4060">
        <w:rPr>
          <w:lang w:bidi="ar-EG"/>
        </w:rPr>
        <w:t>MSAG</w:t>
      </w:r>
      <w:r w:rsidRPr="00DE4060">
        <w:rPr>
          <w:rtl/>
          <w:lang w:bidi="ar-EG"/>
        </w:rPr>
        <w:t xml:space="preserve"> بحلول ديسمبر 2024 فيما يتعلق ببيان العمل، والذي سيتضمن متطلبات التصميم ومفهوم التصميم، مع تحقيق الاتساق مع قواعد المشتريات؛]</w:t>
      </w:r>
    </w:p>
    <w:p w14:paraId="20C220CD" w14:textId="7D0D383B" w:rsidR="00C1235B" w:rsidRPr="00DE4060" w:rsidRDefault="00C1235B" w:rsidP="00844CCA">
      <w:pPr>
        <w:pStyle w:val="enumlev2"/>
        <w:rPr>
          <w:rtl/>
          <w:lang w:bidi="ar-EG"/>
        </w:rPr>
      </w:pPr>
      <w:r w:rsidRPr="00DE4060">
        <w:rPr>
          <w:rtl/>
          <w:lang w:bidi="ar-EG"/>
        </w:rPr>
        <w:t>و</w:t>
      </w:r>
      <w:r w:rsidR="00844CCA" w:rsidRPr="00DE4060">
        <w:rPr>
          <w:rtl/>
          <w:lang w:bidi="ar-EG"/>
        </w:rPr>
        <w:t> </w:t>
      </w:r>
      <w:r w:rsidR="00787A02">
        <w:rPr>
          <w:rFonts w:hint="cs"/>
          <w:rtl/>
          <w:lang w:bidi="ar-EG"/>
        </w:rPr>
        <w:t>)</w:t>
      </w:r>
      <w:r w:rsidRPr="00DE4060">
        <w:rPr>
          <w:rtl/>
          <w:lang w:bidi="ar-EG"/>
        </w:rPr>
        <w:tab/>
        <w:t xml:space="preserve">مواصلة التشاور مع الفريق </w:t>
      </w:r>
      <w:r w:rsidRPr="00DE4060">
        <w:rPr>
          <w:lang w:bidi="ar-EG"/>
        </w:rPr>
        <w:t>MSAG</w:t>
      </w:r>
      <w:r w:rsidRPr="00DE4060">
        <w:rPr>
          <w:rtl/>
          <w:lang w:bidi="ar-EG"/>
        </w:rPr>
        <w:t xml:space="preserve"> طوال مدة عملية التصميم والبناء، مع الالتزام بقواعد المشتريات.</w:t>
      </w:r>
    </w:p>
    <w:p w14:paraId="52711EC1" w14:textId="77777777" w:rsidR="00C1235B" w:rsidRPr="00DE4060" w:rsidRDefault="00C1235B" w:rsidP="00844CCA">
      <w:pPr>
        <w:pStyle w:val="enumlev1"/>
        <w:rPr>
          <w:rtl/>
        </w:rPr>
      </w:pPr>
      <w:r w:rsidRPr="00DE4060">
        <w:rPr>
          <w:rtl/>
        </w:rPr>
        <w:t>2</w:t>
      </w:r>
      <w:r w:rsidRPr="00DE4060">
        <w:rPr>
          <w:rtl/>
        </w:rPr>
        <w:tab/>
        <w:t xml:space="preserve">تكليف الأمينة العامة بوضع تقييم وخطة استراتيجية وتقديم مشروع أولي إلى الفريق </w:t>
      </w:r>
      <w:r w:rsidRPr="00DE4060">
        <w:t>CWG-FHR</w:t>
      </w:r>
      <w:r w:rsidRPr="00DE4060">
        <w:rPr>
          <w:rtl/>
        </w:rPr>
        <w:t xml:space="preserve"> في يناير 2025 بشأن الرؤية طويلة المدى لمجمع الاتحاد بأكمله في جنيف، مع الأخذ في الاعتبار، على الأقل، العوامل التالية:</w:t>
      </w:r>
    </w:p>
    <w:p w14:paraId="58B5BA7D" w14:textId="6BDAAEB8" w:rsidR="00C1235B" w:rsidRPr="00DE4060" w:rsidRDefault="00234FE3" w:rsidP="00844CCA">
      <w:pPr>
        <w:pStyle w:val="enumlev2"/>
        <w:rPr>
          <w:rtl/>
          <w:lang w:bidi="ar-EG"/>
        </w:rPr>
      </w:pPr>
      <w:r w:rsidRPr="00DE4060">
        <w:rPr>
          <w:rtl/>
          <w:lang w:bidi="ar-EG"/>
        </w:rPr>
        <w:t> </w:t>
      </w:r>
      <w:r w:rsidR="00C1235B" w:rsidRPr="00DE4060">
        <w:rPr>
          <w:rtl/>
          <w:lang w:bidi="ar-EG"/>
        </w:rPr>
        <w:t>أ</w:t>
      </w:r>
      <w:r w:rsidRPr="00DE4060">
        <w:rPr>
          <w:rtl/>
          <w:lang w:bidi="ar-EG"/>
        </w:rPr>
        <w:t> </w:t>
      </w:r>
      <w:r w:rsidR="00787A02">
        <w:rPr>
          <w:rFonts w:hint="cs"/>
          <w:rtl/>
          <w:lang w:bidi="ar-EG"/>
        </w:rPr>
        <w:t>)</w:t>
      </w:r>
      <w:r w:rsidR="00C1235B" w:rsidRPr="00DE4060">
        <w:rPr>
          <w:rtl/>
          <w:lang w:bidi="ar-EG"/>
        </w:rPr>
        <w:tab/>
        <w:t>الأثر المالي الشامل لمجمع الاتحاد في جنيف واستدامته؛</w:t>
      </w:r>
    </w:p>
    <w:p w14:paraId="4EC02839" w14:textId="0E208E10" w:rsidR="00C1235B" w:rsidRPr="00DE4060" w:rsidRDefault="00C1235B" w:rsidP="00844CCA">
      <w:pPr>
        <w:pStyle w:val="enumlev2"/>
        <w:rPr>
          <w:rtl/>
          <w:lang w:bidi="ar-EG"/>
        </w:rPr>
      </w:pPr>
      <w:r w:rsidRPr="00DE4060">
        <w:rPr>
          <w:rtl/>
          <w:lang w:bidi="ar-EG"/>
        </w:rPr>
        <w:t>ب</w:t>
      </w:r>
      <w:r w:rsidR="00787A02">
        <w:rPr>
          <w:rFonts w:hint="cs"/>
          <w:rtl/>
          <w:lang w:bidi="ar-EG"/>
        </w:rPr>
        <w:t>)</w:t>
      </w:r>
      <w:r w:rsidRPr="00DE4060">
        <w:rPr>
          <w:rtl/>
          <w:lang w:bidi="ar-EG"/>
        </w:rPr>
        <w:tab/>
        <w:t>متطلبات السلامة والأمن؛</w:t>
      </w:r>
    </w:p>
    <w:p w14:paraId="3CD3F23E" w14:textId="3B5FC8F2" w:rsidR="00C1235B" w:rsidRPr="00DE4060" w:rsidRDefault="00C1235B" w:rsidP="00844CCA">
      <w:pPr>
        <w:pStyle w:val="enumlev2"/>
        <w:rPr>
          <w:rtl/>
          <w:lang w:bidi="ar-EG"/>
        </w:rPr>
      </w:pPr>
      <w:r w:rsidRPr="00DE4060">
        <w:rPr>
          <w:rtl/>
          <w:lang w:bidi="ar-EG"/>
        </w:rPr>
        <w:t>ج</w:t>
      </w:r>
      <w:r w:rsidR="00787A02">
        <w:rPr>
          <w:rFonts w:hint="cs"/>
          <w:rtl/>
          <w:lang w:bidi="ar-EG"/>
        </w:rPr>
        <w:t>)</w:t>
      </w:r>
      <w:r w:rsidRPr="00DE4060">
        <w:rPr>
          <w:rtl/>
          <w:lang w:bidi="ar-EG"/>
        </w:rPr>
        <w:tab/>
        <w:t>المتطلبات الإدارية والتشغيلية؛</w:t>
      </w:r>
    </w:p>
    <w:p w14:paraId="2A00FEB4" w14:textId="6B2344CB" w:rsidR="00C1235B" w:rsidRPr="00DE4060" w:rsidRDefault="00C1235B" w:rsidP="00844CCA">
      <w:pPr>
        <w:pStyle w:val="enumlev2"/>
        <w:rPr>
          <w:rtl/>
          <w:lang w:bidi="ar-EG"/>
        </w:rPr>
      </w:pPr>
      <w:r w:rsidRPr="00DE4060">
        <w:rPr>
          <w:rtl/>
          <w:lang w:bidi="ar-EG"/>
        </w:rPr>
        <w:t>د</w:t>
      </w:r>
      <w:r w:rsidR="00234FE3" w:rsidRPr="00DE4060">
        <w:rPr>
          <w:rtl/>
          <w:lang w:bidi="ar-EG"/>
        </w:rPr>
        <w:t> </w:t>
      </w:r>
      <w:r w:rsidR="00787A02">
        <w:rPr>
          <w:rFonts w:hint="cs"/>
          <w:rtl/>
          <w:lang w:bidi="ar-EG"/>
        </w:rPr>
        <w:t>)</w:t>
      </w:r>
      <w:r w:rsidRPr="00DE4060">
        <w:rPr>
          <w:rtl/>
          <w:lang w:bidi="ar-EG"/>
        </w:rPr>
        <w:tab/>
        <w:t>الاستخدام الأمثل لجميع المرافق؛</w:t>
      </w:r>
    </w:p>
    <w:p w14:paraId="0338127D" w14:textId="0985689B" w:rsidR="00C1235B" w:rsidRPr="00DE4060" w:rsidRDefault="00C1235B" w:rsidP="00844CCA">
      <w:pPr>
        <w:pStyle w:val="enumlev2"/>
        <w:rPr>
          <w:rtl/>
          <w:lang w:bidi="ar-EG"/>
        </w:rPr>
      </w:pPr>
      <w:r w:rsidRPr="00DE4060">
        <w:rPr>
          <w:rtl/>
          <w:lang w:bidi="ar-EG"/>
        </w:rPr>
        <w:t>هـ</w:t>
      </w:r>
      <w:r w:rsidR="00234FE3" w:rsidRPr="00DE4060">
        <w:rPr>
          <w:rtl/>
          <w:lang w:bidi="ar-EG"/>
        </w:rPr>
        <w:t> </w:t>
      </w:r>
      <w:r w:rsidR="00787A02">
        <w:rPr>
          <w:rFonts w:hint="cs"/>
          <w:rtl/>
          <w:lang w:bidi="ar-EG"/>
        </w:rPr>
        <w:t>)</w:t>
      </w:r>
      <w:r w:rsidRPr="00DE4060">
        <w:rPr>
          <w:rtl/>
          <w:lang w:bidi="ar-EG"/>
        </w:rPr>
        <w:tab/>
        <w:t>ضمان استمرارية الأعمال؛</w:t>
      </w:r>
    </w:p>
    <w:p w14:paraId="192A09BF" w14:textId="68804844" w:rsidR="00C1235B" w:rsidRPr="00DE4060" w:rsidRDefault="00C1235B" w:rsidP="00844CCA">
      <w:pPr>
        <w:pStyle w:val="enumlev2"/>
        <w:rPr>
          <w:rtl/>
          <w:lang w:bidi="ar-EG"/>
        </w:rPr>
      </w:pPr>
      <w:r w:rsidRPr="00DE4060">
        <w:rPr>
          <w:rtl/>
          <w:lang w:bidi="ar-EG"/>
        </w:rPr>
        <w:t>و</w:t>
      </w:r>
      <w:r w:rsidR="00234FE3" w:rsidRPr="00DE4060">
        <w:rPr>
          <w:rtl/>
          <w:lang w:bidi="ar-EG"/>
        </w:rPr>
        <w:t> </w:t>
      </w:r>
      <w:r w:rsidR="00787A02">
        <w:rPr>
          <w:rFonts w:hint="cs"/>
          <w:rtl/>
          <w:lang w:bidi="ar-EG"/>
        </w:rPr>
        <w:t>)</w:t>
      </w:r>
      <w:r w:rsidRPr="00DE4060">
        <w:rPr>
          <w:rtl/>
          <w:lang w:bidi="ar-EG"/>
        </w:rPr>
        <w:tab/>
        <w:t>إدراج مخصصات في الميزانية العادية لصيانة مقر الاتحاد في جنيف بأكمله؛</w:t>
      </w:r>
    </w:p>
    <w:p w14:paraId="7CC4B10A" w14:textId="557D165C" w:rsidR="00C1235B" w:rsidRPr="00DE4060" w:rsidRDefault="00C1235B" w:rsidP="00844CCA">
      <w:pPr>
        <w:pStyle w:val="enumlev2"/>
        <w:rPr>
          <w:rtl/>
          <w:lang w:bidi="ar-EG"/>
        </w:rPr>
      </w:pPr>
      <w:r w:rsidRPr="00DE4060">
        <w:rPr>
          <w:rtl/>
          <w:lang w:bidi="ar-EG"/>
        </w:rPr>
        <w:t>ز</w:t>
      </w:r>
      <w:r w:rsidR="00234FE3" w:rsidRPr="00DE4060">
        <w:rPr>
          <w:rtl/>
          <w:lang w:bidi="ar-EG"/>
        </w:rPr>
        <w:t> </w:t>
      </w:r>
      <w:r w:rsidR="00787A02">
        <w:rPr>
          <w:rFonts w:hint="cs"/>
          <w:rtl/>
          <w:lang w:bidi="ar-EG"/>
        </w:rPr>
        <w:t>)</w:t>
      </w:r>
      <w:r w:rsidRPr="00DE4060">
        <w:rPr>
          <w:rtl/>
          <w:lang w:bidi="ar-EG"/>
        </w:rPr>
        <w:tab/>
        <w:t>المرونة فيما يتعلق بعمل الموظفين (أي ترتيبات العمل المختلطة)؛</w:t>
      </w:r>
    </w:p>
    <w:p w14:paraId="20C8B682" w14:textId="0CCC47AE" w:rsidR="00C1235B" w:rsidRPr="00DE4060" w:rsidRDefault="00C1235B" w:rsidP="00844CCA">
      <w:pPr>
        <w:pStyle w:val="enumlev2"/>
        <w:rPr>
          <w:rtl/>
          <w:lang w:bidi="ar-EG"/>
        </w:rPr>
      </w:pPr>
      <w:r w:rsidRPr="00DE4060">
        <w:rPr>
          <w:rtl/>
          <w:lang w:bidi="ar-EG"/>
        </w:rPr>
        <w:t>ح</w:t>
      </w:r>
      <w:r w:rsidR="00787A02">
        <w:rPr>
          <w:rFonts w:hint="cs"/>
          <w:rtl/>
          <w:lang w:bidi="ar-EG"/>
        </w:rPr>
        <w:t>)</w:t>
      </w:r>
      <w:r w:rsidRPr="00DE4060">
        <w:rPr>
          <w:rtl/>
          <w:lang w:bidi="ar-EG"/>
        </w:rPr>
        <w:tab/>
        <w:t>خيارات لأماكن بديلة لاجتماعات الاتحاد خارج مقر الاتحاد في جنيف؛</w:t>
      </w:r>
    </w:p>
    <w:p w14:paraId="4F0E6607" w14:textId="1608A6E8" w:rsidR="00C1235B" w:rsidRPr="00DE4060" w:rsidRDefault="00C1235B" w:rsidP="00844CCA">
      <w:pPr>
        <w:pStyle w:val="enumlev2"/>
        <w:rPr>
          <w:rtl/>
          <w:lang w:bidi="ar-EG"/>
        </w:rPr>
      </w:pPr>
      <w:r w:rsidRPr="00DE4060">
        <w:rPr>
          <w:rtl/>
          <w:lang w:bidi="ar-EG"/>
        </w:rPr>
        <w:t>ط</w:t>
      </w:r>
      <w:r w:rsidR="00787A02">
        <w:rPr>
          <w:rFonts w:hint="cs"/>
          <w:rtl/>
          <w:lang w:bidi="ar-EG"/>
        </w:rPr>
        <w:t>)</w:t>
      </w:r>
      <w:r w:rsidRPr="00DE4060">
        <w:rPr>
          <w:rtl/>
          <w:lang w:bidi="ar-EG"/>
        </w:rPr>
        <w:tab/>
        <w:t>التواصل مع فريق العمل المعني بالخطة الاستراتيجية والخطة المالية.</w:t>
      </w:r>
    </w:p>
    <w:p w14:paraId="766CFB59" w14:textId="2760228E" w:rsidR="00C1235B" w:rsidRPr="00DE4060" w:rsidRDefault="00C1235B" w:rsidP="00844CCA">
      <w:pPr>
        <w:pStyle w:val="enumlev1"/>
        <w:rPr>
          <w:rtl/>
        </w:rPr>
      </w:pPr>
      <w:r w:rsidRPr="00DE4060">
        <w:rPr>
          <w:rtl/>
        </w:rPr>
        <w:t>3</w:t>
      </w:r>
      <w:r w:rsidRPr="00DE4060">
        <w:rPr>
          <w:rtl/>
        </w:rPr>
        <w:tab/>
        <w:t>تكليف الأمينة العامة بتقديم جميع التقارير المتعلقة بتنفيذ البندين 1 و2 إلى هيئات الرقابة الداخلية والخارجية في</w:t>
      </w:r>
      <w:r w:rsidR="003B7470">
        <w:rPr>
          <w:rFonts w:hint="eastAsia"/>
          <w:rtl/>
          <w:lang w:bidi="ar-EG"/>
        </w:rPr>
        <w:t> </w:t>
      </w:r>
      <w:r w:rsidRPr="00DE4060">
        <w:rPr>
          <w:rtl/>
        </w:rPr>
        <w:t>الاتحاد والدول الأعضاء.</w:t>
      </w:r>
    </w:p>
    <w:p w14:paraId="4DF3793F" w14:textId="77777777" w:rsidR="00C1235B" w:rsidRPr="00DE4060" w:rsidRDefault="00C1235B" w:rsidP="00844CCA">
      <w:pPr>
        <w:pStyle w:val="enumlev1"/>
        <w:rPr>
          <w:rtl/>
        </w:rPr>
      </w:pPr>
      <w:r w:rsidRPr="00DE4060">
        <w:rPr>
          <w:rtl/>
        </w:rPr>
        <w:t>4</w:t>
      </w:r>
      <w:r w:rsidRPr="00DE4060">
        <w:rPr>
          <w:rtl/>
        </w:rPr>
        <w:tab/>
        <w:t xml:space="preserve">تكليف الفريق </w:t>
      </w:r>
      <w:r w:rsidRPr="00DE4060">
        <w:t>MSAG</w:t>
      </w:r>
      <w:r w:rsidRPr="00DE4060">
        <w:rPr>
          <w:rtl/>
        </w:rPr>
        <w:t xml:space="preserve"> بتحديث اختصاصاته وتقديم تحديثات وتقارير في الوقت المناسب إلى الفريق </w:t>
      </w:r>
      <w:r w:rsidRPr="00DE4060">
        <w:t>CWG-FHR</w:t>
      </w:r>
      <w:r w:rsidRPr="00DE4060">
        <w:rPr>
          <w:rtl/>
        </w:rPr>
        <w:t>.</w:t>
      </w:r>
    </w:p>
    <w:p w14:paraId="0E128F32" w14:textId="77777777" w:rsidR="00F50E3F" w:rsidRPr="00DE4060" w:rsidRDefault="00907B08" w:rsidP="00907B08">
      <w:pPr>
        <w:spacing w:before="600"/>
        <w:jc w:val="center"/>
        <w:rPr>
          <w:sz w:val="24"/>
          <w:szCs w:val="24"/>
          <w:rtl/>
        </w:rPr>
      </w:pPr>
      <w:r w:rsidRPr="00DE4060">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DE4060" w:rsidSect="006C3242">
      <w:footerReference w:type="default" r:id="rId27"/>
      <w:headerReference w:type="firs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1C87E" w14:textId="77777777" w:rsidR="00CF0AF3" w:rsidRDefault="00CF0AF3" w:rsidP="006C3242">
      <w:pPr>
        <w:spacing w:before="0" w:line="240" w:lineRule="auto"/>
      </w:pPr>
      <w:r>
        <w:separator/>
      </w:r>
    </w:p>
  </w:endnote>
  <w:endnote w:type="continuationSeparator" w:id="0">
    <w:p w14:paraId="46ADE91C" w14:textId="77777777" w:rsidR="00CF0AF3" w:rsidRDefault="00CF0AF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2CA01D14" w14:textId="77777777" w:rsidTr="00357086">
      <w:trPr>
        <w:jc w:val="center"/>
      </w:trPr>
      <w:tc>
        <w:tcPr>
          <w:tcW w:w="868" w:type="pct"/>
          <w:vAlign w:val="center"/>
        </w:tcPr>
        <w:p w14:paraId="097DECBC"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3EEFA849" w14:textId="7E40865A"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39781B" w:rsidRPr="00100F21">
            <w:rPr>
              <w:rFonts w:ascii="Calibri" w:hAnsi="Calibri" w:cs="Arial"/>
              <w:bCs/>
              <w:color w:val="7F7F7F"/>
              <w:sz w:val="18"/>
            </w:rPr>
            <w:t>50 (Add.1)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B17D702"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5884855"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9FD8E43" w14:textId="77777777" w:rsidTr="00F50E3F">
      <w:trPr>
        <w:jc w:val="center"/>
      </w:trPr>
      <w:tc>
        <w:tcPr>
          <w:tcW w:w="868" w:type="pct"/>
          <w:vAlign w:val="center"/>
        </w:tcPr>
        <w:p w14:paraId="04E3DCCF" w14:textId="77777777" w:rsidR="007B0AA0" w:rsidRPr="007B0AA0" w:rsidRDefault="00B37201"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349AB430" w14:textId="31DE263D"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100F21" w:rsidRPr="00100F21">
            <w:rPr>
              <w:rFonts w:ascii="Calibri" w:hAnsi="Calibri" w:cs="Arial"/>
              <w:bCs/>
              <w:color w:val="7F7F7F"/>
              <w:sz w:val="18"/>
            </w:rPr>
            <w:t>50 (Add.1)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DFF661F"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F477E1D"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2158" w14:textId="77777777" w:rsidR="00CF0AF3" w:rsidRDefault="00CF0AF3" w:rsidP="006C3242">
      <w:pPr>
        <w:spacing w:before="0" w:line="240" w:lineRule="auto"/>
      </w:pPr>
      <w:r>
        <w:separator/>
      </w:r>
    </w:p>
  </w:footnote>
  <w:footnote w:type="continuationSeparator" w:id="0">
    <w:p w14:paraId="711EAAD2" w14:textId="77777777" w:rsidR="00CF0AF3" w:rsidRDefault="00CF0AF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38AF"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BF3CC33" wp14:editId="62ED9306">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15F8A"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4F2E267E" wp14:editId="38879D65">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167A39"/>
    <w:multiLevelType w:val="hybridMultilevel"/>
    <w:tmpl w:val="5AEEBCC4"/>
    <w:lvl w:ilvl="0" w:tplc="4F887ECA">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1809004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F3"/>
    <w:rsid w:val="0006468A"/>
    <w:rsid w:val="00090574"/>
    <w:rsid w:val="0009186A"/>
    <w:rsid w:val="000C1C0E"/>
    <w:rsid w:val="000C548A"/>
    <w:rsid w:val="00100F21"/>
    <w:rsid w:val="00195B5F"/>
    <w:rsid w:val="001C0169"/>
    <w:rsid w:val="001D1D50"/>
    <w:rsid w:val="001D6745"/>
    <w:rsid w:val="001D6EBD"/>
    <w:rsid w:val="001E446E"/>
    <w:rsid w:val="001F2A62"/>
    <w:rsid w:val="002154EE"/>
    <w:rsid w:val="0022712E"/>
    <w:rsid w:val="002276D2"/>
    <w:rsid w:val="0023283D"/>
    <w:rsid w:val="00234FE3"/>
    <w:rsid w:val="0026373E"/>
    <w:rsid w:val="00271C43"/>
    <w:rsid w:val="00290728"/>
    <w:rsid w:val="002978F4"/>
    <w:rsid w:val="002B028D"/>
    <w:rsid w:val="002E6541"/>
    <w:rsid w:val="00334924"/>
    <w:rsid w:val="003409BC"/>
    <w:rsid w:val="00357185"/>
    <w:rsid w:val="00383829"/>
    <w:rsid w:val="00387876"/>
    <w:rsid w:val="0039781B"/>
    <w:rsid w:val="003B7470"/>
    <w:rsid w:val="003F4B29"/>
    <w:rsid w:val="0042686F"/>
    <w:rsid w:val="004317D8"/>
    <w:rsid w:val="00434183"/>
    <w:rsid w:val="00443869"/>
    <w:rsid w:val="00447F32"/>
    <w:rsid w:val="004B14F7"/>
    <w:rsid w:val="004B7334"/>
    <w:rsid w:val="004E11DC"/>
    <w:rsid w:val="00525DDD"/>
    <w:rsid w:val="005409AC"/>
    <w:rsid w:val="0055516A"/>
    <w:rsid w:val="00562A38"/>
    <w:rsid w:val="0058491B"/>
    <w:rsid w:val="00592EA5"/>
    <w:rsid w:val="005A3170"/>
    <w:rsid w:val="00677396"/>
    <w:rsid w:val="0069200F"/>
    <w:rsid w:val="006A2F98"/>
    <w:rsid w:val="006A65CB"/>
    <w:rsid w:val="006C3242"/>
    <w:rsid w:val="006C7CC0"/>
    <w:rsid w:val="006F63F7"/>
    <w:rsid w:val="007025C7"/>
    <w:rsid w:val="00706D7A"/>
    <w:rsid w:val="00722F0D"/>
    <w:rsid w:val="0074420E"/>
    <w:rsid w:val="00783E26"/>
    <w:rsid w:val="00787A02"/>
    <w:rsid w:val="007B0AA0"/>
    <w:rsid w:val="007C3BC7"/>
    <w:rsid w:val="007C3BCD"/>
    <w:rsid w:val="007D4ACF"/>
    <w:rsid w:val="007F0787"/>
    <w:rsid w:val="00810B7B"/>
    <w:rsid w:val="0082358A"/>
    <w:rsid w:val="008235CD"/>
    <w:rsid w:val="008247DE"/>
    <w:rsid w:val="008339C0"/>
    <w:rsid w:val="00840B10"/>
    <w:rsid w:val="00844CCA"/>
    <w:rsid w:val="008513CB"/>
    <w:rsid w:val="00852CBF"/>
    <w:rsid w:val="008A7F84"/>
    <w:rsid w:val="00907B08"/>
    <w:rsid w:val="0091702E"/>
    <w:rsid w:val="00923B0C"/>
    <w:rsid w:val="0094021C"/>
    <w:rsid w:val="00952F86"/>
    <w:rsid w:val="00974B51"/>
    <w:rsid w:val="00982B28"/>
    <w:rsid w:val="009D313F"/>
    <w:rsid w:val="00A30544"/>
    <w:rsid w:val="00A47A5A"/>
    <w:rsid w:val="00A6683B"/>
    <w:rsid w:val="00A97F94"/>
    <w:rsid w:val="00AA7EA2"/>
    <w:rsid w:val="00B03099"/>
    <w:rsid w:val="00B05BC8"/>
    <w:rsid w:val="00B37201"/>
    <w:rsid w:val="00B6080B"/>
    <w:rsid w:val="00B64B47"/>
    <w:rsid w:val="00B91B14"/>
    <w:rsid w:val="00B95654"/>
    <w:rsid w:val="00BC096C"/>
    <w:rsid w:val="00C002DE"/>
    <w:rsid w:val="00C1235B"/>
    <w:rsid w:val="00C22F6C"/>
    <w:rsid w:val="00C53BF8"/>
    <w:rsid w:val="00C66157"/>
    <w:rsid w:val="00C674FE"/>
    <w:rsid w:val="00C67501"/>
    <w:rsid w:val="00C75633"/>
    <w:rsid w:val="00CB06C5"/>
    <w:rsid w:val="00CE2EE1"/>
    <w:rsid w:val="00CE3349"/>
    <w:rsid w:val="00CE36E5"/>
    <w:rsid w:val="00CF0AF3"/>
    <w:rsid w:val="00CF27F5"/>
    <w:rsid w:val="00CF3FFD"/>
    <w:rsid w:val="00D10CCF"/>
    <w:rsid w:val="00D13941"/>
    <w:rsid w:val="00D63735"/>
    <w:rsid w:val="00D77D0F"/>
    <w:rsid w:val="00DA1CF0"/>
    <w:rsid w:val="00DC1E02"/>
    <w:rsid w:val="00DC24B4"/>
    <w:rsid w:val="00DC5FB0"/>
    <w:rsid w:val="00DE4060"/>
    <w:rsid w:val="00DF16DC"/>
    <w:rsid w:val="00E45211"/>
    <w:rsid w:val="00E473C5"/>
    <w:rsid w:val="00E61BE8"/>
    <w:rsid w:val="00E92863"/>
    <w:rsid w:val="00E95327"/>
    <w:rsid w:val="00EB796D"/>
    <w:rsid w:val="00EC48FD"/>
    <w:rsid w:val="00EF3CE3"/>
    <w:rsid w:val="00F058DC"/>
    <w:rsid w:val="00F24FC4"/>
    <w:rsid w:val="00F2676C"/>
    <w:rsid w:val="00F363FE"/>
    <w:rsid w:val="00F50E3F"/>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8B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6A2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50/en" TargetMode="External"/><Relationship Id="rId13" Type="http://schemas.openxmlformats.org/officeDocument/2006/relationships/hyperlink" Target="https://www.itu.int/en/council/ties/Documents/Financial-regulations/S-GEN-REG_RGTFIN-2022-PDF-A.pdf" TargetMode="External"/><Relationship Id="rId18" Type="http://schemas.openxmlformats.org/officeDocument/2006/relationships/hyperlink" Target="https://www.itu.int/md/S24-CWGFHR18-C-0008/en" TargetMode="External"/><Relationship Id="rId26" Type="http://schemas.openxmlformats.org/officeDocument/2006/relationships/hyperlink" Target="https://www.itu.int/md/S24-CL-C-0048/en" TargetMode="External"/><Relationship Id="rId3" Type="http://schemas.openxmlformats.org/officeDocument/2006/relationships/styles" Target="styles.xml"/><Relationship Id="rId21" Type="http://schemas.openxmlformats.org/officeDocument/2006/relationships/hyperlink" Target="https://www.itu.int/md/S24-CL-C-0007/en" TargetMode="External"/><Relationship Id="rId7" Type="http://schemas.openxmlformats.org/officeDocument/2006/relationships/endnotes" Target="endnotes.xml"/><Relationship Id="rId12" Type="http://schemas.openxmlformats.org/officeDocument/2006/relationships/hyperlink" Target="https://www.itu.int/md/S24-CWGFHR18-C-0002/en" TargetMode="External"/><Relationship Id="rId17" Type="http://schemas.openxmlformats.org/officeDocument/2006/relationships/hyperlink" Target="https://www.itu.int/md/S24-CWGFHR18-C-0006/en" TargetMode="External"/><Relationship Id="rId25" Type="http://schemas.openxmlformats.org/officeDocument/2006/relationships/hyperlink" Target="https://www.itu.int/md/S24-CWGFHR18-C-0007/en" TargetMode="External"/><Relationship Id="rId2" Type="http://schemas.openxmlformats.org/officeDocument/2006/relationships/numbering" Target="numbering.xml"/><Relationship Id="rId16" Type="http://schemas.openxmlformats.org/officeDocument/2006/relationships/hyperlink" Target="https://www.itu.int/md/S24-CWGFHR18-C-0005/en" TargetMode="External"/><Relationship Id="rId20" Type="http://schemas.openxmlformats.org/officeDocument/2006/relationships/hyperlink" Target="https://www.itu.int/md/S24-CL-C-0070/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ties/Documents/2024/Summary-and-Position-paper.docx" TargetMode="External"/><Relationship Id="rId24" Type="http://schemas.openxmlformats.org/officeDocument/2006/relationships/hyperlink" Target="https://www.itu.int/md/S24-CL-C-0104/en" TargetMode="External"/><Relationship Id="rId5" Type="http://schemas.openxmlformats.org/officeDocument/2006/relationships/webSettings" Target="webSettings.xml"/><Relationship Id="rId15" Type="http://schemas.openxmlformats.org/officeDocument/2006/relationships/hyperlink" Target="https://www.itu.int/md/S24-CWGFHR18-C-0002/en" TargetMode="External"/><Relationship Id="rId23" Type="http://schemas.openxmlformats.org/officeDocument/2006/relationships/hyperlink" Target="https://www.itu.int/md/S24-CL-C-0094/en" TargetMode="External"/><Relationship Id="rId28" Type="http://schemas.openxmlformats.org/officeDocument/2006/relationships/header" Target="header1.xml"/><Relationship Id="rId10" Type="http://schemas.openxmlformats.org/officeDocument/2006/relationships/hyperlink" Target="https://www.itu.int/md/S24-CWGFHR17-C-0010/en" TargetMode="External"/><Relationship Id="rId19" Type="http://schemas.openxmlformats.org/officeDocument/2006/relationships/hyperlink" Target="https://www.itu.int/md/S24-CWGFHR18-C-0008/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3-CL-C-0129/en" TargetMode="External"/><Relationship Id="rId14" Type="http://schemas.openxmlformats.org/officeDocument/2006/relationships/hyperlink" Target="https://www.itu.int/md/S24-CWGFHR18-C-0002/en" TargetMode="External"/><Relationship Id="rId22" Type="http://schemas.openxmlformats.org/officeDocument/2006/relationships/hyperlink" Target="https://www.itu.int/md/S24-CL-C-0083/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2024-06-05T06:47:00Z</dcterms:created>
  <dcterms:modified xsi:type="dcterms:W3CDTF">2024-06-05T06:50:00Z</dcterms:modified>
  <cp:category>Conference document</cp:category>
</cp:coreProperties>
</file>