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336F1A" w:rsidRPr="00D25812" w14:paraId="6515A02E" w14:textId="77777777" w:rsidTr="00E31DCE">
        <w:trPr>
          <w:cantSplit/>
          <w:trHeight w:val="23"/>
        </w:trPr>
        <w:tc>
          <w:tcPr>
            <w:tcW w:w="3969" w:type="dxa"/>
            <w:vMerge w:val="restart"/>
            <w:tcMar>
              <w:left w:w="0" w:type="dxa"/>
            </w:tcMar>
          </w:tcPr>
          <w:p w14:paraId="28F9416A" w14:textId="6DF588C0" w:rsidR="00336F1A" w:rsidRPr="00D25812" w:rsidRDefault="00336F1A" w:rsidP="00336F1A">
            <w:pPr>
              <w:tabs>
                <w:tab w:val="clear" w:pos="1588"/>
                <w:tab w:val="clear" w:pos="1985"/>
                <w:tab w:val="left" w:pos="851"/>
                <w:tab w:val="center" w:pos="1930"/>
              </w:tabs>
              <w:spacing w:before="0" w:line="240" w:lineRule="atLeast"/>
              <w:rPr>
                <w:b/>
                <w:lang w:val="ru-RU"/>
              </w:rPr>
            </w:pPr>
            <w:bookmarkStart w:id="0" w:name="_Hlk133421839"/>
            <w:bookmarkStart w:id="1" w:name="dmeeting" w:colFirst="0" w:colLast="0"/>
            <w:bookmarkStart w:id="2" w:name="dnum" w:colFirst="1" w:colLast="1"/>
            <w:r w:rsidRPr="00D25812">
              <w:rPr>
                <w:b/>
                <w:lang w:val="ru-RU"/>
              </w:rPr>
              <w:t>Пункт повестки дня:</w:t>
            </w:r>
            <w:r w:rsidRPr="00D25812">
              <w:rPr>
                <w:b/>
                <w:bCs/>
                <w:lang w:val="ru-RU"/>
              </w:rPr>
              <w:t xml:space="preserve"> </w:t>
            </w:r>
            <w:r w:rsidRPr="00D25812">
              <w:rPr>
                <w:b/>
                <w:bCs/>
                <w:lang w:val="ru-RU"/>
              </w:rPr>
              <w:t>ADM 2</w:t>
            </w:r>
          </w:p>
        </w:tc>
        <w:tc>
          <w:tcPr>
            <w:tcW w:w="5245" w:type="dxa"/>
          </w:tcPr>
          <w:p w14:paraId="7D4F44F7" w14:textId="1F5D4285" w:rsidR="00336F1A" w:rsidRPr="00D25812" w:rsidRDefault="00336F1A" w:rsidP="00336F1A">
            <w:pPr>
              <w:tabs>
                <w:tab w:val="left" w:pos="851"/>
              </w:tabs>
              <w:spacing w:before="0" w:line="240" w:lineRule="atLeast"/>
              <w:jc w:val="right"/>
              <w:rPr>
                <w:b/>
                <w:lang w:val="ru-RU"/>
              </w:rPr>
            </w:pPr>
            <w:r w:rsidRPr="00D25812">
              <w:rPr>
                <w:b/>
                <w:bCs/>
                <w:lang w:val="ru-RU"/>
              </w:rPr>
              <w:t>Документ C24/44-R</w:t>
            </w:r>
          </w:p>
        </w:tc>
      </w:tr>
      <w:tr w:rsidR="00336F1A" w:rsidRPr="00D25812" w14:paraId="5C570EC5" w14:textId="77777777" w:rsidTr="00E31DCE">
        <w:trPr>
          <w:cantSplit/>
        </w:trPr>
        <w:tc>
          <w:tcPr>
            <w:tcW w:w="3969" w:type="dxa"/>
            <w:vMerge/>
          </w:tcPr>
          <w:p w14:paraId="09AEE6A5" w14:textId="77777777" w:rsidR="00336F1A" w:rsidRPr="00D25812" w:rsidRDefault="00336F1A" w:rsidP="00336F1A">
            <w:pPr>
              <w:tabs>
                <w:tab w:val="left" w:pos="851"/>
              </w:tabs>
              <w:spacing w:line="240" w:lineRule="atLeast"/>
              <w:rPr>
                <w:b/>
                <w:lang w:val="ru-RU"/>
              </w:rPr>
            </w:pPr>
            <w:bookmarkStart w:id="3" w:name="ddate" w:colFirst="1" w:colLast="1"/>
            <w:bookmarkEnd w:id="1"/>
            <w:bookmarkEnd w:id="2"/>
          </w:p>
        </w:tc>
        <w:tc>
          <w:tcPr>
            <w:tcW w:w="5245" w:type="dxa"/>
          </w:tcPr>
          <w:p w14:paraId="15D30AEE" w14:textId="09E95DDD" w:rsidR="00336F1A" w:rsidRPr="00D25812" w:rsidRDefault="00336F1A" w:rsidP="00336F1A">
            <w:pPr>
              <w:tabs>
                <w:tab w:val="left" w:pos="851"/>
              </w:tabs>
              <w:spacing w:before="0"/>
              <w:jc w:val="right"/>
              <w:rPr>
                <w:b/>
                <w:lang w:val="ru-RU"/>
              </w:rPr>
            </w:pPr>
            <w:r w:rsidRPr="00D25812">
              <w:rPr>
                <w:b/>
                <w:bCs/>
                <w:lang w:val="ru-RU"/>
              </w:rPr>
              <w:t>3 мая 2024 года</w:t>
            </w:r>
          </w:p>
        </w:tc>
      </w:tr>
      <w:bookmarkEnd w:id="3"/>
      <w:tr w:rsidR="00336F1A" w:rsidRPr="00D25812" w14:paraId="5BA9C36F" w14:textId="77777777" w:rsidTr="00E31DCE">
        <w:trPr>
          <w:cantSplit/>
          <w:trHeight w:val="23"/>
        </w:trPr>
        <w:tc>
          <w:tcPr>
            <w:tcW w:w="3969" w:type="dxa"/>
            <w:vMerge/>
          </w:tcPr>
          <w:p w14:paraId="12DE9242" w14:textId="77777777" w:rsidR="00336F1A" w:rsidRPr="00D25812" w:rsidRDefault="00336F1A" w:rsidP="00336F1A">
            <w:pPr>
              <w:tabs>
                <w:tab w:val="left" w:pos="851"/>
              </w:tabs>
              <w:spacing w:line="240" w:lineRule="atLeast"/>
              <w:rPr>
                <w:b/>
                <w:lang w:val="ru-RU"/>
              </w:rPr>
            </w:pPr>
          </w:p>
        </w:tc>
        <w:tc>
          <w:tcPr>
            <w:tcW w:w="5245" w:type="dxa"/>
          </w:tcPr>
          <w:p w14:paraId="7F9D96A9" w14:textId="3E89A790" w:rsidR="00336F1A" w:rsidRPr="00D25812" w:rsidRDefault="00336F1A" w:rsidP="00336F1A">
            <w:pPr>
              <w:tabs>
                <w:tab w:val="left" w:pos="851"/>
              </w:tabs>
              <w:spacing w:before="0" w:line="240" w:lineRule="atLeast"/>
              <w:jc w:val="right"/>
              <w:rPr>
                <w:b/>
                <w:lang w:val="ru-RU"/>
              </w:rPr>
            </w:pPr>
            <w:r w:rsidRPr="00D25812">
              <w:rPr>
                <w:b/>
                <w:bCs/>
                <w:lang w:val="ru-RU"/>
              </w:rPr>
              <w:t>Оригинал: английский</w:t>
            </w:r>
          </w:p>
        </w:tc>
      </w:tr>
      <w:tr w:rsidR="00796BD3" w:rsidRPr="00D25812" w14:paraId="268E790C" w14:textId="77777777" w:rsidTr="00E31DCE">
        <w:trPr>
          <w:cantSplit/>
          <w:trHeight w:val="23"/>
        </w:trPr>
        <w:tc>
          <w:tcPr>
            <w:tcW w:w="3969" w:type="dxa"/>
          </w:tcPr>
          <w:p w14:paraId="1ABB64D9" w14:textId="77777777" w:rsidR="00796BD3" w:rsidRPr="00D25812" w:rsidRDefault="00796BD3" w:rsidP="00E31DCE">
            <w:pPr>
              <w:tabs>
                <w:tab w:val="left" w:pos="851"/>
              </w:tabs>
              <w:spacing w:line="240" w:lineRule="atLeast"/>
              <w:rPr>
                <w:b/>
                <w:lang w:val="ru-RU"/>
              </w:rPr>
            </w:pPr>
            <w:bookmarkStart w:id="4" w:name="dorlang" w:colFirst="1" w:colLast="1"/>
          </w:p>
        </w:tc>
        <w:tc>
          <w:tcPr>
            <w:tcW w:w="5245" w:type="dxa"/>
          </w:tcPr>
          <w:p w14:paraId="2218A569" w14:textId="77777777" w:rsidR="00796BD3" w:rsidRPr="00D25812" w:rsidRDefault="00796BD3" w:rsidP="00E31DCE">
            <w:pPr>
              <w:tabs>
                <w:tab w:val="left" w:pos="851"/>
              </w:tabs>
              <w:spacing w:before="0" w:line="240" w:lineRule="atLeast"/>
              <w:jc w:val="right"/>
              <w:rPr>
                <w:b/>
                <w:lang w:val="ru-RU"/>
              </w:rPr>
            </w:pPr>
          </w:p>
        </w:tc>
      </w:tr>
      <w:tr w:rsidR="00796BD3" w:rsidRPr="00D25812" w14:paraId="583FA512" w14:textId="77777777" w:rsidTr="00E31DCE">
        <w:trPr>
          <w:cantSplit/>
        </w:trPr>
        <w:tc>
          <w:tcPr>
            <w:tcW w:w="9214" w:type="dxa"/>
            <w:gridSpan w:val="2"/>
            <w:tcMar>
              <w:left w:w="0" w:type="dxa"/>
            </w:tcMar>
          </w:tcPr>
          <w:p w14:paraId="42C69B46" w14:textId="77777777" w:rsidR="00796BD3" w:rsidRPr="00D25812" w:rsidRDefault="0033025A" w:rsidP="00672F8A">
            <w:pPr>
              <w:pStyle w:val="Source"/>
              <w:jc w:val="left"/>
              <w:rPr>
                <w:sz w:val="32"/>
                <w:szCs w:val="32"/>
                <w:lang w:val="ru-RU"/>
              </w:rPr>
            </w:pPr>
            <w:bookmarkStart w:id="5" w:name="dsource" w:colFirst="0" w:colLast="0"/>
            <w:bookmarkEnd w:id="4"/>
            <w:r w:rsidRPr="00D25812">
              <w:rPr>
                <w:rFonts w:cstheme="minorHAnsi"/>
                <w:sz w:val="32"/>
                <w:szCs w:val="32"/>
                <w:lang w:val="ru-RU"/>
              </w:rPr>
              <w:t>Отчет Генерального секретаря</w:t>
            </w:r>
          </w:p>
        </w:tc>
      </w:tr>
      <w:tr w:rsidR="00796BD3" w:rsidRPr="00D25812" w14:paraId="1FA36BCD" w14:textId="77777777" w:rsidTr="00E31DCE">
        <w:trPr>
          <w:cantSplit/>
        </w:trPr>
        <w:tc>
          <w:tcPr>
            <w:tcW w:w="9214" w:type="dxa"/>
            <w:gridSpan w:val="2"/>
            <w:tcMar>
              <w:left w:w="0" w:type="dxa"/>
            </w:tcMar>
          </w:tcPr>
          <w:p w14:paraId="1CAC78CF" w14:textId="05FDB7A0" w:rsidR="00796BD3" w:rsidRPr="00D25812" w:rsidRDefault="00336F1A" w:rsidP="00E31DCE">
            <w:pPr>
              <w:pStyle w:val="Subtitle"/>
              <w:framePr w:hSpace="0" w:wrap="auto" w:hAnchor="text" w:xAlign="left" w:yAlign="inline"/>
              <w:rPr>
                <w:sz w:val="32"/>
                <w:szCs w:val="32"/>
                <w:lang w:val="ru-RU"/>
              </w:rPr>
            </w:pPr>
            <w:bookmarkStart w:id="6" w:name="dtitle1" w:colFirst="0" w:colLast="0"/>
            <w:bookmarkEnd w:id="5"/>
            <w:r w:rsidRPr="00D25812">
              <w:rPr>
                <w:rFonts w:cstheme="minorHAnsi"/>
                <w:sz w:val="32"/>
                <w:szCs w:val="32"/>
                <w:lang w:val="ru-RU"/>
              </w:rPr>
              <w:t>ОТЧЕТ ПОДРАЗДЕЛЕНИЯ ПО НАДЗОРУ О ДЕЯТЕЛЬНОСТИ ПО ВНУТРЕННЕМУ АУДИТУ</w:t>
            </w:r>
          </w:p>
        </w:tc>
      </w:tr>
      <w:tr w:rsidR="00796BD3" w:rsidRPr="00D25812" w14:paraId="53A10034" w14:textId="77777777" w:rsidTr="00E31DCE">
        <w:trPr>
          <w:cantSplit/>
        </w:trPr>
        <w:tc>
          <w:tcPr>
            <w:tcW w:w="9214" w:type="dxa"/>
            <w:gridSpan w:val="2"/>
            <w:tcBorders>
              <w:top w:val="single" w:sz="4" w:space="0" w:color="auto"/>
              <w:bottom w:val="single" w:sz="4" w:space="0" w:color="auto"/>
            </w:tcBorders>
            <w:tcMar>
              <w:left w:w="0" w:type="dxa"/>
            </w:tcMar>
          </w:tcPr>
          <w:p w14:paraId="5B6B5FB4" w14:textId="3E197FE4" w:rsidR="00796BD3" w:rsidRPr="00D25812" w:rsidRDefault="0033025A" w:rsidP="00E31DCE">
            <w:pPr>
              <w:spacing w:before="160"/>
              <w:rPr>
                <w:b/>
                <w:bCs/>
                <w:sz w:val="24"/>
                <w:szCs w:val="24"/>
                <w:lang w:val="ru-RU"/>
              </w:rPr>
            </w:pPr>
            <w:r w:rsidRPr="00D25812">
              <w:rPr>
                <w:b/>
                <w:bCs/>
                <w:sz w:val="24"/>
                <w:szCs w:val="24"/>
                <w:lang w:val="ru-RU"/>
              </w:rPr>
              <w:t>Назначение</w:t>
            </w:r>
          </w:p>
          <w:p w14:paraId="41435A20" w14:textId="5334781F" w:rsidR="00796BD3" w:rsidRPr="00D25812" w:rsidRDefault="00336F1A" w:rsidP="00E31DCE">
            <w:pPr>
              <w:rPr>
                <w:lang w:val="ru-RU"/>
              </w:rPr>
            </w:pPr>
            <w:r w:rsidRPr="00D25812">
              <w:rPr>
                <w:lang w:val="ru-RU"/>
              </w:rPr>
              <w:t>В настоящем отчете охватывается деятельность по внутреннему аудиту с мая 2023 года по апрель 2024 года.</w:t>
            </w:r>
          </w:p>
          <w:p w14:paraId="4FE56061" w14:textId="77777777" w:rsidR="00796BD3" w:rsidRPr="00D25812" w:rsidRDefault="0033025A" w:rsidP="00E31DCE">
            <w:pPr>
              <w:spacing w:before="160"/>
              <w:rPr>
                <w:b/>
                <w:bCs/>
                <w:sz w:val="24"/>
                <w:szCs w:val="24"/>
                <w:lang w:val="ru-RU"/>
              </w:rPr>
            </w:pPr>
            <w:r w:rsidRPr="00D25812">
              <w:rPr>
                <w:b/>
                <w:bCs/>
                <w:sz w:val="24"/>
                <w:szCs w:val="24"/>
                <w:lang w:val="ru-RU"/>
              </w:rPr>
              <w:t>Необходимые действия Совета</w:t>
            </w:r>
          </w:p>
          <w:p w14:paraId="2DAF5284" w14:textId="7CFB0C29" w:rsidR="00796BD3" w:rsidRPr="00D25812" w:rsidRDefault="00336F1A" w:rsidP="00E31DCE">
            <w:pPr>
              <w:rPr>
                <w:lang w:val="ru-RU"/>
              </w:rPr>
            </w:pPr>
            <w:r w:rsidRPr="00D25812">
              <w:rPr>
                <w:lang w:val="ru-RU"/>
              </w:rPr>
              <w:t>Совету предлагается принять к сведению настоящий отчет.</w:t>
            </w:r>
          </w:p>
          <w:p w14:paraId="39FD4D4C" w14:textId="77777777" w:rsidR="00796BD3" w:rsidRPr="00D25812" w:rsidRDefault="0033025A" w:rsidP="00E31DCE">
            <w:pPr>
              <w:spacing w:before="160"/>
              <w:rPr>
                <w:b/>
                <w:bCs/>
                <w:sz w:val="24"/>
                <w:szCs w:val="24"/>
                <w:lang w:val="ru-RU"/>
              </w:rPr>
            </w:pPr>
            <w:r w:rsidRPr="00D25812">
              <w:rPr>
                <w:b/>
                <w:bCs/>
                <w:sz w:val="24"/>
                <w:szCs w:val="24"/>
                <w:lang w:val="ru-RU"/>
              </w:rPr>
              <w:t>Соответствующая увязка со Стратегическим планом</w:t>
            </w:r>
          </w:p>
          <w:p w14:paraId="458B310E" w14:textId="0DAC463B" w:rsidR="00796BD3" w:rsidRPr="00D25812" w:rsidRDefault="00336F1A" w:rsidP="00E31DCE">
            <w:pPr>
              <w:rPr>
                <w:lang w:val="ru-RU"/>
              </w:rPr>
            </w:pPr>
            <w:r w:rsidRPr="00D25812">
              <w:rPr>
                <w:lang w:val="ru-RU"/>
              </w:rPr>
              <w:t>Развитие людских ресурсов и организационные инновации.</w:t>
            </w:r>
          </w:p>
          <w:p w14:paraId="07E5B4C4" w14:textId="53F3027B" w:rsidR="00796BD3" w:rsidRPr="00D25812" w:rsidRDefault="0033025A" w:rsidP="00E31DCE">
            <w:pPr>
              <w:spacing w:before="160"/>
              <w:rPr>
                <w:b/>
                <w:bCs/>
                <w:sz w:val="24"/>
                <w:szCs w:val="24"/>
                <w:lang w:val="ru-RU"/>
              </w:rPr>
            </w:pPr>
            <w:r w:rsidRPr="00D25812">
              <w:rPr>
                <w:b/>
                <w:bCs/>
                <w:sz w:val="24"/>
                <w:szCs w:val="24"/>
                <w:lang w:val="ru-RU"/>
              </w:rPr>
              <w:t>Финансовые последствия</w:t>
            </w:r>
          </w:p>
          <w:p w14:paraId="7D40EB5D" w14:textId="3E92385C" w:rsidR="00336F1A" w:rsidRPr="00D25812" w:rsidRDefault="00336F1A" w:rsidP="00E31DCE">
            <w:pPr>
              <w:spacing w:before="160"/>
              <w:rPr>
                <w:b/>
                <w:bCs/>
                <w:sz w:val="24"/>
                <w:szCs w:val="24"/>
                <w:lang w:val="ru-RU"/>
              </w:rPr>
            </w:pPr>
            <w:r w:rsidRPr="00D25812">
              <w:rPr>
                <w:lang w:val="ru-RU"/>
              </w:rPr>
              <w:t>В рамках выделенного бюджета на 2024−2025 годы.</w:t>
            </w:r>
          </w:p>
          <w:p w14:paraId="12546C0B" w14:textId="77777777" w:rsidR="00796BD3" w:rsidRPr="00D25812" w:rsidRDefault="00796BD3" w:rsidP="00E31DCE">
            <w:pPr>
              <w:spacing w:before="160"/>
              <w:rPr>
                <w:caps/>
                <w:sz w:val="20"/>
                <w:szCs w:val="18"/>
                <w:lang w:val="ru-RU"/>
              </w:rPr>
            </w:pPr>
            <w:r w:rsidRPr="00D25812">
              <w:rPr>
                <w:sz w:val="20"/>
                <w:szCs w:val="18"/>
                <w:lang w:val="ru-RU"/>
              </w:rPr>
              <w:t>__________________</w:t>
            </w:r>
          </w:p>
          <w:p w14:paraId="4BC1953F" w14:textId="77777777" w:rsidR="00796BD3" w:rsidRPr="00D25812" w:rsidRDefault="0033025A" w:rsidP="00E31DCE">
            <w:pPr>
              <w:spacing w:before="160"/>
              <w:rPr>
                <w:b/>
                <w:bCs/>
                <w:sz w:val="24"/>
                <w:szCs w:val="24"/>
                <w:lang w:val="ru-RU"/>
              </w:rPr>
            </w:pPr>
            <w:r w:rsidRPr="00D25812">
              <w:rPr>
                <w:b/>
                <w:bCs/>
                <w:sz w:val="24"/>
                <w:szCs w:val="24"/>
                <w:lang w:val="ru-RU"/>
              </w:rPr>
              <w:t>Справочные материалы</w:t>
            </w:r>
          </w:p>
          <w:p w14:paraId="7682DD49" w14:textId="199ED58A" w:rsidR="00336F1A" w:rsidRPr="00D25812" w:rsidRDefault="00336F1A" w:rsidP="00E31DCE">
            <w:pPr>
              <w:spacing w:before="160"/>
              <w:rPr>
                <w:b/>
                <w:bCs/>
                <w:sz w:val="26"/>
                <w:szCs w:val="26"/>
                <w:lang w:val="ru-RU"/>
              </w:rPr>
            </w:pPr>
            <w:r w:rsidRPr="00D25812">
              <w:rPr>
                <w:i/>
                <w:iCs/>
                <w:lang w:val="ru-RU"/>
              </w:rPr>
              <w:t xml:space="preserve">Документ </w:t>
            </w:r>
            <w:hyperlink r:id="rId7" w:history="1">
              <w:r w:rsidRPr="00D25812">
                <w:rPr>
                  <w:rStyle w:val="Hyperlink"/>
                  <w:i/>
                  <w:iCs/>
                  <w:lang w:val="ru-RU"/>
                </w:rPr>
                <w:t>C23/53</w:t>
              </w:r>
            </w:hyperlink>
            <w:r w:rsidRPr="00D25812">
              <w:rPr>
                <w:i/>
                <w:iCs/>
                <w:lang w:val="ru-RU"/>
              </w:rPr>
              <w:t>;</w:t>
            </w:r>
            <w:r w:rsidRPr="00D25812">
              <w:rPr>
                <w:lang w:val="ru-RU"/>
              </w:rPr>
              <w:t xml:space="preserve"> </w:t>
            </w:r>
            <w:hyperlink r:id="rId8" w:history="1">
              <w:r w:rsidRPr="00D25812">
                <w:rPr>
                  <w:rStyle w:val="Hyperlink"/>
                  <w:i/>
                  <w:iCs/>
                  <w:lang w:val="ru-RU"/>
                </w:rPr>
                <w:t>Финансовый регламент и Финансовые прави</w:t>
              </w:r>
              <w:r w:rsidRPr="00D25812">
                <w:rPr>
                  <w:rStyle w:val="Hyperlink"/>
                  <w:i/>
                  <w:iCs/>
                  <w:lang w:val="ru-RU"/>
                </w:rPr>
                <w:t>л</w:t>
              </w:r>
              <w:r w:rsidRPr="00D25812">
                <w:rPr>
                  <w:rStyle w:val="Hyperlink"/>
                  <w:i/>
                  <w:iCs/>
                  <w:lang w:val="ru-RU"/>
                </w:rPr>
                <w:t>а МСЭ (2022 г.), Статья 29</w:t>
              </w:r>
            </w:hyperlink>
          </w:p>
          <w:p w14:paraId="5C877504" w14:textId="77777777" w:rsidR="00796BD3" w:rsidRPr="00D25812" w:rsidRDefault="00796BD3" w:rsidP="00E31DCE">
            <w:pPr>
              <w:spacing w:after="160"/>
              <w:rPr>
                <w:lang w:val="ru-RU"/>
              </w:rPr>
            </w:pPr>
          </w:p>
        </w:tc>
      </w:tr>
      <w:bookmarkEnd w:id="0"/>
      <w:bookmarkEnd w:id="6"/>
    </w:tbl>
    <w:p w14:paraId="6291BE5A" w14:textId="77777777" w:rsidR="00796BD3" w:rsidRPr="00D25812" w:rsidRDefault="00796BD3" w:rsidP="00796BD3">
      <w:pPr>
        <w:rPr>
          <w:lang w:val="ru-RU"/>
        </w:rPr>
      </w:pPr>
    </w:p>
    <w:p w14:paraId="0C407F61" w14:textId="77777777" w:rsidR="00165D06" w:rsidRPr="00D25812" w:rsidRDefault="00165D06">
      <w:pPr>
        <w:tabs>
          <w:tab w:val="clear" w:pos="794"/>
          <w:tab w:val="clear" w:pos="1191"/>
          <w:tab w:val="clear" w:pos="1588"/>
          <w:tab w:val="clear" w:pos="1985"/>
        </w:tabs>
        <w:overflowPunct/>
        <w:autoSpaceDE/>
        <w:autoSpaceDN/>
        <w:adjustRightInd/>
        <w:spacing w:before="0"/>
        <w:textAlignment w:val="auto"/>
        <w:rPr>
          <w:lang w:val="ru-RU"/>
        </w:rPr>
      </w:pPr>
      <w:r w:rsidRPr="00D25812">
        <w:rPr>
          <w:lang w:val="ru-RU"/>
        </w:rPr>
        <w:br w:type="page"/>
      </w:r>
    </w:p>
    <w:p w14:paraId="1FAF7548" w14:textId="77777777" w:rsidR="00336F1A" w:rsidRPr="00D25812" w:rsidRDefault="00336F1A" w:rsidP="00336F1A">
      <w:pPr>
        <w:pStyle w:val="Heading1"/>
        <w:rPr>
          <w:lang w:val="ru-RU"/>
        </w:rPr>
      </w:pPr>
      <w:r w:rsidRPr="00D25812">
        <w:rPr>
          <w:lang w:val="ru-RU"/>
        </w:rPr>
        <w:lastRenderedPageBreak/>
        <w:t>Введение</w:t>
      </w:r>
    </w:p>
    <w:p w14:paraId="2933041A" w14:textId="5B654BBC" w:rsidR="00336F1A" w:rsidRPr="00D25812" w:rsidRDefault="00336F1A" w:rsidP="00336F1A">
      <w:pPr>
        <w:rPr>
          <w:lang w:val="ru-RU"/>
        </w:rPr>
      </w:pPr>
      <w:r w:rsidRPr="00D25812">
        <w:rPr>
          <w:lang w:val="ru-RU"/>
        </w:rPr>
        <w:t>1</w:t>
      </w:r>
      <w:r w:rsidRPr="00D25812">
        <w:rPr>
          <w:lang w:val="ru-RU"/>
        </w:rPr>
        <w:tab/>
        <w:t>Настоящий отчет направляется Совету МСЭ и соответствует Статье 29 Финансового регламента и Финансовых правил МСЭ (2022 г.). В соответствии с Уставом Службы внутреннего аудита</w:t>
      </w:r>
      <w:r w:rsidRPr="00D25812">
        <w:rPr>
          <w:position w:val="6"/>
          <w:sz w:val="16"/>
          <w:szCs w:val="16"/>
          <w:lang w:val="ru-RU"/>
        </w:rPr>
        <w:footnoteReference w:id="1"/>
      </w:r>
      <w:r w:rsidRPr="00D25812">
        <w:rPr>
          <w:lang w:val="ru-RU"/>
        </w:rPr>
        <w:t xml:space="preserve"> МСЭ настоящий отчет передается Генеральному секретарю и представляется Совету для рассмотрения. В настоящем отчете охватывается деятельность по внутреннему аудиту с мая 2023 года по март 2024 года.</w:t>
      </w:r>
    </w:p>
    <w:p w14:paraId="25313516" w14:textId="49A42C79" w:rsidR="00336F1A" w:rsidRPr="00D25812" w:rsidRDefault="00336F1A" w:rsidP="00336F1A">
      <w:pPr>
        <w:rPr>
          <w:lang w:val="ru-RU"/>
        </w:rPr>
      </w:pPr>
      <w:r w:rsidRPr="00D25812">
        <w:rPr>
          <w:lang w:val="ru-RU"/>
        </w:rPr>
        <w:t>2</w:t>
      </w:r>
      <w:r w:rsidRPr="00D25812">
        <w:rPr>
          <w:lang w:val="ru-RU"/>
        </w:rPr>
        <w:tab/>
        <w:t>В 2023 году Совет МСЭ принял к сведению предложение о создании подразделения по надзору и одобрил учреждение должности руководителя подразделения по надзору уровня</w:t>
      </w:r>
      <w:r w:rsidR="00D25812">
        <w:rPr>
          <w:lang w:val="ru-RU"/>
        </w:rPr>
        <w:t> </w:t>
      </w:r>
      <w:r w:rsidRPr="00D25812">
        <w:rPr>
          <w:lang w:val="ru-RU"/>
        </w:rPr>
        <w:t>D1. Подразделение по надзору было создано административным решением Генерального секретаря, которое вступило в силу 1 сентября 2023 года. В то же время было принято решение об упразднении как Подразделения внутреннего аудита, так и Подразделения по расследованию. Подразделение по надзору выполняет три функции – внутреннего аудита, расследований и оценки.</w:t>
      </w:r>
    </w:p>
    <w:p w14:paraId="6BCE4616" w14:textId="113CB073" w:rsidR="00336F1A" w:rsidRPr="00D25812" w:rsidRDefault="00336F1A" w:rsidP="00336F1A">
      <w:pPr>
        <w:rPr>
          <w:lang w:val="ru-RU"/>
        </w:rPr>
      </w:pPr>
      <w:r w:rsidRPr="00D25812">
        <w:rPr>
          <w:lang w:val="ru-RU"/>
        </w:rPr>
        <w:t>3</w:t>
      </w:r>
      <w:r w:rsidRPr="00D25812">
        <w:rPr>
          <w:lang w:val="ru-RU"/>
        </w:rPr>
        <w:tab/>
        <w:t>В отчетный период в штат Подразделения по надзору (ПН) МСЭ входили четыре сотрудника категории специалистов: старший внутренний аудитор (P5), специалист по расследованиям/аудитор (Р4), внутренний аудитор (P3) и еще один внутренний аудитор (P2). В</w:t>
      </w:r>
      <w:r w:rsidRPr="00D25812">
        <w:rPr>
          <w:lang w:val="ru-RU"/>
        </w:rPr>
        <w:t> </w:t>
      </w:r>
      <w:r w:rsidRPr="00D25812">
        <w:rPr>
          <w:lang w:val="ru-RU"/>
        </w:rPr>
        <w:t>период с июня по октябрь 2023 года содействие работе ПН оказывал младший внутренний аудитор, нанятый по краткосрочному контракту (P2). По состоянию на сентябрь 2023 года специалист по расследованиям/аудитор (P4) также вел расследования (в связи с уходом предыдущего специалиста по расследованиям МСЭ). Должность руководителя Подразделения по надзору является вакантной до завершения текущего процесса отбора кандидата.</w:t>
      </w:r>
    </w:p>
    <w:p w14:paraId="6363A390" w14:textId="6049DC08" w:rsidR="00336F1A" w:rsidRPr="00D25812" w:rsidRDefault="00336F1A" w:rsidP="00336F1A">
      <w:pPr>
        <w:rPr>
          <w:lang w:val="ru-RU"/>
        </w:rPr>
      </w:pPr>
      <w:r w:rsidRPr="00D25812">
        <w:rPr>
          <w:lang w:val="ru-RU"/>
        </w:rPr>
        <w:t>4</w:t>
      </w:r>
      <w:r w:rsidRPr="00D25812">
        <w:rPr>
          <w:lang w:val="ru-RU"/>
        </w:rPr>
        <w:tab/>
        <w:t>ПН подтверждает, что проводит свои аудиторские проверки в соответствии с Международными профессиональными стандартами внутреннего аудита и Кодексом этики, установленным Институтом внутренних аудиторов (IIA)</w:t>
      </w:r>
      <w:r w:rsidRPr="00D25812">
        <w:rPr>
          <w:sz w:val="24"/>
          <w:szCs w:val="24"/>
          <w:vertAlign w:val="superscript"/>
          <w:lang w:val="ru-RU"/>
        </w:rPr>
        <w:t xml:space="preserve"> </w:t>
      </w:r>
      <w:r w:rsidRPr="00D25812">
        <w:rPr>
          <w:position w:val="6"/>
          <w:sz w:val="16"/>
          <w:szCs w:val="16"/>
          <w:lang w:val="ru-RU"/>
        </w:rPr>
        <w:footnoteReference w:id="2"/>
      </w:r>
      <w:r w:rsidRPr="00D25812">
        <w:rPr>
          <w:lang w:val="ru-RU"/>
        </w:rPr>
        <w:t>, а также положениями Устава Службы внутреннего аудита МСЭ. Кроме того, ПН подтверждает, что за отчетный период его сотрудники не имели управленческих полномочий и не несли ответственности в связи с какой-либо деятельностью, в отношении которой проводилась аудиторская проверка, и не выполняли учетных или оперативных функций в МСЭ.</w:t>
      </w:r>
    </w:p>
    <w:p w14:paraId="0086C8F9" w14:textId="77777777" w:rsidR="00336F1A" w:rsidRPr="00D25812" w:rsidRDefault="00336F1A" w:rsidP="00336F1A">
      <w:pPr>
        <w:pStyle w:val="Heading1"/>
        <w:rPr>
          <w:lang w:val="ru-RU"/>
        </w:rPr>
      </w:pPr>
      <w:r w:rsidRPr="00D25812">
        <w:rPr>
          <w:lang w:val="ru-RU"/>
        </w:rPr>
        <w:t>Направленность и сфера охвата деятельности по внутреннему аудиту</w:t>
      </w:r>
    </w:p>
    <w:p w14:paraId="4DD89D06" w14:textId="1452C4A1" w:rsidR="00336F1A" w:rsidRPr="00D25812" w:rsidRDefault="00336F1A" w:rsidP="00336F1A">
      <w:pPr>
        <w:rPr>
          <w:lang w:val="ru-RU"/>
        </w:rPr>
      </w:pPr>
      <w:r w:rsidRPr="00D25812">
        <w:rPr>
          <w:lang w:val="ru-RU"/>
        </w:rPr>
        <w:t>5</w:t>
      </w:r>
      <w:r w:rsidRPr="00D25812">
        <w:rPr>
          <w:lang w:val="ru-RU"/>
        </w:rPr>
        <w:tab/>
        <w:t>В соответствии с Уставом Службы внутреннего аудита годовой план аудита на 2023 год был рассмотрен Независимым консультативным комитетом по управлению (IMAC) на его 34</w:t>
      </w:r>
      <w:r w:rsidR="006C43D3" w:rsidRPr="00D25812">
        <w:rPr>
          <w:lang w:val="ru-RU"/>
        </w:rPr>
        <w:noBreakHyphen/>
      </w:r>
      <w:r w:rsidRPr="00D25812">
        <w:rPr>
          <w:lang w:val="ru-RU"/>
        </w:rPr>
        <w:t>м</w:t>
      </w:r>
      <w:r w:rsidR="006C43D3" w:rsidRPr="00D25812">
        <w:rPr>
          <w:lang w:val="ru-RU"/>
        </w:rPr>
        <w:t> </w:t>
      </w:r>
      <w:r w:rsidRPr="00D25812">
        <w:rPr>
          <w:lang w:val="ru-RU"/>
        </w:rPr>
        <w:t>собрании и утвержден Генеральным секретарем 6 апреля 2023 года.</w:t>
      </w:r>
    </w:p>
    <w:p w14:paraId="416EFABC" w14:textId="5995E3F9" w:rsidR="00336F1A" w:rsidRPr="00D25812" w:rsidRDefault="00336F1A">
      <w:pPr>
        <w:tabs>
          <w:tab w:val="clear" w:pos="794"/>
          <w:tab w:val="clear" w:pos="1191"/>
          <w:tab w:val="clear" w:pos="1588"/>
          <w:tab w:val="clear" w:pos="1985"/>
        </w:tabs>
        <w:overflowPunct/>
        <w:autoSpaceDE/>
        <w:autoSpaceDN/>
        <w:adjustRightInd/>
        <w:spacing w:before="0"/>
        <w:textAlignment w:val="auto"/>
        <w:rPr>
          <w:lang w:val="ru-RU"/>
        </w:rPr>
      </w:pPr>
      <w:r w:rsidRPr="00D25812">
        <w:rPr>
          <w:lang w:val="ru-RU"/>
        </w:rPr>
        <w:br w:type="page"/>
      </w:r>
    </w:p>
    <w:p w14:paraId="0A0CBB3D" w14:textId="4238EEDF" w:rsidR="00336F1A" w:rsidRPr="00D25812" w:rsidRDefault="00336F1A" w:rsidP="00336F1A">
      <w:pPr>
        <w:rPr>
          <w:lang w:val="ru-RU"/>
        </w:rPr>
      </w:pPr>
      <w:r w:rsidRPr="00D25812">
        <w:rPr>
          <w:lang w:val="ru-RU"/>
        </w:rPr>
        <w:lastRenderedPageBreak/>
        <w:t>6</w:t>
      </w:r>
      <w:r w:rsidRPr="00D25812">
        <w:rPr>
          <w:lang w:val="ru-RU"/>
        </w:rPr>
        <w:tab/>
        <w:t>ПН систематически направляет копии отчетов о внутреннем аудите Внешнему аудитору МСЭ и IMAC. В соответствии с положением п. 5 Статьи 29 Финансового регламента и Финансовых правил МСЭ заключительные отчеты о внутреннем аудите могут быть представлены Государствам-Членам или их уполномоченным представителям. С октября 2015</w:t>
      </w:r>
      <w:r w:rsidRPr="00D25812">
        <w:rPr>
          <w:lang w:val="ru-RU"/>
        </w:rPr>
        <w:t> </w:t>
      </w:r>
      <w:r w:rsidRPr="00D25812">
        <w:rPr>
          <w:lang w:val="ru-RU"/>
        </w:rPr>
        <w:t xml:space="preserve">года действует упрощенный механизм доступа к отчетам о внутреннем аудите. В течение отчетного периода запросов на доступ к отчетам о внутреннем аудите через </w:t>
      </w:r>
      <w:hyperlink r:id="rId9" w:history="1">
        <w:r w:rsidRPr="00D25812">
          <w:rPr>
            <w:rStyle w:val="Hyperlink"/>
            <w:lang w:val="ru-RU"/>
          </w:rPr>
          <w:t>онлайновый механизм</w:t>
        </w:r>
      </w:hyperlink>
      <w:r w:rsidRPr="00D25812">
        <w:rPr>
          <w:lang w:val="ru-RU"/>
        </w:rPr>
        <w:t xml:space="preserve"> не поступало.</w:t>
      </w:r>
    </w:p>
    <w:p w14:paraId="2577B9C0" w14:textId="3754B28C" w:rsidR="00336F1A" w:rsidRPr="00D25812" w:rsidRDefault="00336F1A" w:rsidP="00336F1A">
      <w:pPr>
        <w:pStyle w:val="Heading1"/>
        <w:tabs>
          <w:tab w:val="clear" w:pos="794"/>
        </w:tabs>
        <w:ind w:left="0" w:firstLine="0"/>
        <w:rPr>
          <w:lang w:val="ru-RU"/>
        </w:rPr>
      </w:pPr>
      <w:r w:rsidRPr="00D25812">
        <w:rPr>
          <w:lang w:val="ru-RU"/>
        </w:rPr>
        <w:t>Задания по подтверждению достоверности информации и полученные</w:t>
      </w:r>
      <w:r w:rsidRPr="00D25812">
        <w:rPr>
          <w:lang w:val="ru-RU"/>
        </w:rPr>
        <w:t> </w:t>
      </w:r>
      <w:r w:rsidRPr="00D25812">
        <w:rPr>
          <w:lang w:val="ru-RU"/>
        </w:rPr>
        <w:t>выводы</w:t>
      </w:r>
    </w:p>
    <w:p w14:paraId="7D1DC321" w14:textId="57B42334" w:rsidR="00336F1A" w:rsidRPr="00D25812" w:rsidRDefault="00336F1A" w:rsidP="00336F1A">
      <w:pPr>
        <w:rPr>
          <w:lang w:val="ru-RU"/>
        </w:rPr>
      </w:pPr>
      <w:r w:rsidRPr="00D25812">
        <w:rPr>
          <w:lang w:val="ru-RU"/>
        </w:rPr>
        <w:t>7</w:t>
      </w:r>
      <w:r w:rsidRPr="00D25812">
        <w:rPr>
          <w:lang w:val="ru-RU"/>
        </w:rPr>
        <w:tab/>
        <w:t>Цели заданий по подтверждению достоверности информации заключаются в оценке: i)</w:t>
      </w:r>
      <w:r w:rsidRPr="00D25812">
        <w:rPr>
          <w:lang w:val="ru-RU"/>
        </w:rPr>
        <w:t> </w:t>
      </w:r>
      <w:r w:rsidRPr="00D25812">
        <w:rPr>
          <w:lang w:val="ru-RU"/>
        </w:rPr>
        <w:t>аспектов руководства проверенными операциями Союза; ii) практики управления рисками; iii) эффективности мер (внутреннего) контроля. Приоритет рекомендаций, сформулированных по результатам аудиторской проверки, определяется в зависимости от воздействия и вероятности нарушений (высокий, средний, низкий приоритет).</w:t>
      </w:r>
    </w:p>
    <w:p w14:paraId="79D3B4A8" w14:textId="00041DD3" w:rsidR="00336F1A" w:rsidRPr="00D25812" w:rsidRDefault="00336F1A" w:rsidP="00336F1A">
      <w:pPr>
        <w:rPr>
          <w:lang w:val="ru-RU"/>
        </w:rPr>
      </w:pPr>
      <w:r w:rsidRPr="00D25812">
        <w:rPr>
          <w:lang w:val="ru-RU"/>
        </w:rPr>
        <w:t>8.</w:t>
      </w:r>
      <w:r w:rsidRPr="00D25812">
        <w:rPr>
          <w:lang w:val="ru-RU"/>
        </w:rPr>
        <w:tab/>
        <w:t>Выполнение рекомендованных мер отслеживается ПН по мере необходимости. С</w:t>
      </w:r>
      <w:r w:rsidRPr="00D25812">
        <w:rPr>
          <w:lang w:val="ru-RU"/>
        </w:rPr>
        <w:t> </w:t>
      </w:r>
      <w:r w:rsidRPr="00D25812">
        <w:rPr>
          <w:lang w:val="ru-RU"/>
        </w:rPr>
        <w:t>начала 2021 года для этой цели существует доступная для всего Союза информационная панель по вопросам соблюдения, которая упрощает отслеживание выполнения рекомендаций для соответствующих руководителей, однако не освобождает ПН от обязанности принимать последующие меры по сделанным ранее рекомендациям в соответствии с Глобальным стандартом внутреннего аудита ИВА 15.2</w:t>
      </w:r>
      <w:bookmarkStart w:id="7" w:name="_Hlk167697448"/>
      <w:r w:rsidRPr="00D25812">
        <w:rPr>
          <w:position w:val="6"/>
          <w:sz w:val="16"/>
          <w:szCs w:val="16"/>
          <w:lang w:val="ru-RU"/>
        </w:rPr>
        <w:footnoteReference w:id="3"/>
      </w:r>
      <w:bookmarkEnd w:id="7"/>
      <w:r w:rsidRPr="00D25812">
        <w:rPr>
          <w:lang w:val="ru-RU"/>
        </w:rPr>
        <w:t>. Сессии Совета 2024 года представляется отдельный информационный документ (</w:t>
      </w:r>
      <w:hyperlink r:id="rId10" w:history="1">
        <w:r w:rsidRPr="00D25812">
          <w:rPr>
            <w:rStyle w:val="Hyperlink"/>
            <w:lang w:val="ru-RU"/>
          </w:rPr>
          <w:t>C24/INF/5</w:t>
        </w:r>
      </w:hyperlink>
      <w:r w:rsidRPr="00D25812">
        <w:rPr>
          <w:lang w:val="ru-RU"/>
        </w:rPr>
        <w:t xml:space="preserve">), в котором отражаются последующие меры в связи с рекомендациями по внутреннему аудиту и рекомендациями по судебно-бухгалтерской экспертизе (см. также Документ </w:t>
      </w:r>
      <w:hyperlink r:id="rId11" w:history="1">
        <w:r w:rsidRPr="00D25812">
          <w:rPr>
            <w:rStyle w:val="Hyperlink"/>
            <w:lang w:val="ru-RU"/>
          </w:rPr>
          <w:t>CWG-FHR-15/3</w:t>
        </w:r>
      </w:hyperlink>
      <w:r w:rsidRPr="00D25812">
        <w:rPr>
          <w:lang w:val="ru-RU"/>
        </w:rPr>
        <w:t>от 2021 года, краткий обзор состояния рекомендаций PwC по судебно-бухгалтерскому аудиту МСЭ).</w:t>
      </w:r>
    </w:p>
    <w:p w14:paraId="49C691FC" w14:textId="77777777" w:rsidR="00336F1A" w:rsidRPr="00D25812" w:rsidRDefault="00336F1A" w:rsidP="00336F1A">
      <w:pPr>
        <w:rPr>
          <w:i/>
          <w:iCs/>
          <w:lang w:val="ru-RU"/>
        </w:rPr>
      </w:pPr>
      <w:r w:rsidRPr="00D25812">
        <w:rPr>
          <w:i/>
          <w:iCs/>
          <w:lang w:val="ru-RU"/>
        </w:rPr>
        <w:t>Ниже перечислены выполненные задания по подтверждению достоверности информации.</w:t>
      </w:r>
    </w:p>
    <w:p w14:paraId="61DB3B40" w14:textId="2423D4E4" w:rsidR="00336F1A" w:rsidRPr="00D25812" w:rsidRDefault="00336F1A" w:rsidP="00336F1A">
      <w:pPr>
        <w:pStyle w:val="Headingi"/>
        <w:rPr>
          <w:b/>
          <w:bCs/>
          <w:lang w:val="ru-RU"/>
        </w:rPr>
      </w:pPr>
      <w:r w:rsidRPr="00D25812">
        <w:rPr>
          <w:b/>
          <w:bCs/>
          <w:lang w:val="ru-RU"/>
        </w:rPr>
        <w:t>A</w:t>
      </w:r>
      <w:r w:rsidRPr="00D25812">
        <w:rPr>
          <w:b/>
          <w:bCs/>
          <w:lang w:val="ru-RU"/>
        </w:rPr>
        <w:tab/>
        <w:t>Региональные и зональные отделения для Африканского региона</w:t>
      </w:r>
    </w:p>
    <w:p w14:paraId="327CE3C3" w14:textId="464E2137" w:rsidR="00336F1A" w:rsidRPr="00D25812" w:rsidRDefault="00336F1A" w:rsidP="00336F1A">
      <w:pPr>
        <w:rPr>
          <w:lang w:val="ru-RU"/>
        </w:rPr>
      </w:pPr>
      <w:r w:rsidRPr="00D25812">
        <w:rPr>
          <w:lang w:val="ru-RU"/>
        </w:rPr>
        <w:t>9</w:t>
      </w:r>
      <w:r w:rsidRPr="00D25812">
        <w:rPr>
          <w:lang w:val="ru-RU"/>
        </w:rPr>
        <w:tab/>
        <w:t>ПН завершило аудиторскую проверку региональных и зональных отделений для Африканского региона, сроки проведения которой были перенесены с 2022 года.</w:t>
      </w:r>
    </w:p>
    <w:p w14:paraId="7C3A7DB0" w14:textId="77777777" w:rsidR="00336F1A" w:rsidRPr="00D25812" w:rsidRDefault="00336F1A" w:rsidP="00336F1A">
      <w:pPr>
        <w:rPr>
          <w:lang w:val="ru-RU"/>
        </w:rPr>
      </w:pPr>
      <w:r w:rsidRPr="00D25812">
        <w:rPr>
          <w:lang w:val="ru-RU"/>
        </w:rPr>
        <w:t>В ходе аудита ПН рассмотрело 12 тематических областей, выводы по каждой из которых наглядно представлены ниже:</w:t>
      </w:r>
    </w:p>
    <w:p w14:paraId="6AF4BE93" w14:textId="77777777" w:rsidR="00336F1A" w:rsidRPr="00D25812" w:rsidRDefault="00336F1A" w:rsidP="00336F1A">
      <w:pPr>
        <w:spacing w:after="120"/>
        <w:rPr>
          <w:lang w:val="ru-RU"/>
        </w:rPr>
      </w:pPr>
      <w:r w:rsidRPr="00D25812">
        <w:rPr>
          <w:lang w:val="ru-RU"/>
        </w:rPr>
        <w:t>(темно-зеленый – полностью адекватно/эффективно, светло-зеленый – адекватно/эффективно, желтый – частично адекватно/эффективно, красный – неадекватно/неэффективно)</w:t>
      </w:r>
    </w:p>
    <w:p w14:paraId="71DB2C7E" w14:textId="0046CF38" w:rsidR="00336F1A" w:rsidRPr="00D25812" w:rsidRDefault="00336F1A">
      <w:pPr>
        <w:tabs>
          <w:tab w:val="clear" w:pos="794"/>
          <w:tab w:val="clear" w:pos="1191"/>
          <w:tab w:val="clear" w:pos="1588"/>
          <w:tab w:val="clear" w:pos="1985"/>
        </w:tabs>
        <w:overflowPunct/>
        <w:autoSpaceDE/>
        <w:autoSpaceDN/>
        <w:adjustRightInd/>
        <w:spacing w:before="0"/>
        <w:textAlignment w:val="auto"/>
        <w:rPr>
          <w:lang w:val="ru-RU"/>
        </w:rPr>
      </w:pPr>
      <w:r w:rsidRPr="00D25812">
        <w:rPr>
          <w:lang w:val="ru-RU"/>
        </w:rPr>
        <w:br w:type="page"/>
      </w:r>
    </w:p>
    <w:tbl>
      <w:tblPr>
        <w:tblStyle w:val="TableGrid1"/>
        <w:tblW w:w="5000" w:type="pct"/>
        <w:tblCellMar>
          <w:left w:w="57" w:type="dxa"/>
          <w:right w:w="57" w:type="dxa"/>
        </w:tblCellMar>
        <w:tblLook w:val="04A0" w:firstRow="1" w:lastRow="0" w:firstColumn="1" w:lastColumn="0" w:noHBand="0" w:noVBand="1"/>
      </w:tblPr>
      <w:tblGrid>
        <w:gridCol w:w="1981"/>
        <w:gridCol w:w="1134"/>
        <w:gridCol w:w="991"/>
        <w:gridCol w:w="1423"/>
        <w:gridCol w:w="1263"/>
        <w:gridCol w:w="1145"/>
        <w:gridCol w:w="1124"/>
      </w:tblGrid>
      <w:tr w:rsidR="005F0A2B" w:rsidRPr="00D25812" w14:paraId="30D2765C" w14:textId="77777777" w:rsidTr="005F0A2B">
        <w:trPr>
          <w:trHeight w:val="227"/>
        </w:trPr>
        <w:tc>
          <w:tcPr>
            <w:tcW w:w="1093" w:type="pct"/>
            <w:shd w:val="clear" w:color="auto" w:fill="E7E6E6"/>
            <w:tcMar>
              <w:left w:w="0" w:type="dxa"/>
              <w:right w:w="0" w:type="dxa"/>
            </w:tcMar>
            <w:vAlign w:val="center"/>
          </w:tcPr>
          <w:p w14:paraId="05A17F11" w14:textId="09B5817B" w:rsidR="00336F1A" w:rsidRPr="00D25812" w:rsidRDefault="00336F1A" w:rsidP="005F0A2B">
            <w:pPr>
              <w:pStyle w:val="Tablehead"/>
              <w:ind w:left="-113" w:right="-113"/>
              <w:rPr>
                <w:rFonts w:ascii="Arial Narrow" w:hAnsi="Arial Narrow"/>
                <w:lang w:val="ru-RU"/>
              </w:rPr>
            </w:pPr>
            <w:r w:rsidRPr="00D25812">
              <w:rPr>
                <w:lang w:val="ru-RU"/>
              </w:rPr>
              <w:lastRenderedPageBreak/>
              <w:t xml:space="preserve">Предметная </w:t>
            </w:r>
            <w:r w:rsidR="005F0A2B" w:rsidRPr="00D25812">
              <w:rPr>
                <w:lang w:val="ru-RU"/>
              </w:rPr>
              <w:br/>
            </w:r>
            <w:r w:rsidRPr="00D25812">
              <w:rPr>
                <w:lang w:val="ru-RU"/>
              </w:rPr>
              <w:t>область аудита</w:t>
            </w:r>
          </w:p>
        </w:tc>
        <w:tc>
          <w:tcPr>
            <w:tcW w:w="626" w:type="pct"/>
            <w:shd w:val="clear" w:color="auto" w:fill="E7E6E6"/>
            <w:tcMar>
              <w:left w:w="0" w:type="dxa"/>
              <w:right w:w="0" w:type="dxa"/>
            </w:tcMar>
            <w:vAlign w:val="center"/>
          </w:tcPr>
          <w:p w14:paraId="1F947024" w14:textId="3860407F" w:rsidR="00336F1A" w:rsidRPr="00D25812" w:rsidRDefault="00336F1A" w:rsidP="005F0A2B">
            <w:pPr>
              <w:pStyle w:val="Tablehead"/>
              <w:ind w:left="-113" w:right="-113"/>
              <w:rPr>
                <w:rFonts w:ascii="Arial Narrow" w:hAnsi="Arial Narrow"/>
                <w:lang w:val="ru-RU"/>
              </w:rPr>
            </w:pPr>
            <w:r w:rsidRPr="00D25812">
              <w:rPr>
                <w:lang w:val="ru-RU"/>
              </w:rPr>
              <w:t>Управление</w:t>
            </w:r>
          </w:p>
        </w:tc>
        <w:tc>
          <w:tcPr>
            <w:tcW w:w="547" w:type="pct"/>
            <w:shd w:val="clear" w:color="auto" w:fill="E7E6E6"/>
            <w:tcMar>
              <w:left w:w="0" w:type="dxa"/>
              <w:right w:w="0" w:type="dxa"/>
            </w:tcMar>
            <w:vAlign w:val="center"/>
          </w:tcPr>
          <w:p w14:paraId="1C9EDB10" w14:textId="07913225" w:rsidR="00336F1A" w:rsidRPr="00D25812" w:rsidRDefault="00336F1A" w:rsidP="005F0A2B">
            <w:pPr>
              <w:pStyle w:val="Tablehead"/>
              <w:ind w:left="-113" w:right="-113"/>
              <w:rPr>
                <w:rFonts w:ascii="Arial Narrow" w:hAnsi="Arial Narrow"/>
                <w:lang w:val="ru-RU"/>
              </w:rPr>
            </w:pPr>
            <w:r w:rsidRPr="00D25812">
              <w:rPr>
                <w:lang w:val="ru-RU"/>
              </w:rPr>
              <w:t xml:space="preserve">Оценка </w:t>
            </w:r>
            <w:r w:rsidR="005F0A2B" w:rsidRPr="00D25812">
              <w:rPr>
                <w:lang w:val="ru-RU"/>
              </w:rPr>
              <w:br/>
            </w:r>
            <w:r w:rsidRPr="00D25812">
              <w:rPr>
                <w:lang w:val="ru-RU"/>
              </w:rPr>
              <w:t>рисков</w:t>
            </w:r>
          </w:p>
        </w:tc>
        <w:tc>
          <w:tcPr>
            <w:tcW w:w="785" w:type="pct"/>
            <w:shd w:val="clear" w:color="auto" w:fill="E7E6E6"/>
            <w:tcMar>
              <w:left w:w="0" w:type="dxa"/>
              <w:right w:w="0" w:type="dxa"/>
            </w:tcMar>
            <w:vAlign w:val="center"/>
          </w:tcPr>
          <w:p w14:paraId="1546C151" w14:textId="77777777" w:rsidR="00336F1A" w:rsidRPr="00D25812" w:rsidRDefault="00336F1A" w:rsidP="005F0A2B">
            <w:pPr>
              <w:pStyle w:val="Tablehead"/>
              <w:ind w:left="-113" w:right="-113"/>
              <w:rPr>
                <w:rFonts w:ascii="Arial Narrow" w:hAnsi="Arial Narrow"/>
                <w:lang w:val="ru-RU"/>
              </w:rPr>
            </w:pPr>
            <w:r w:rsidRPr="00D25812">
              <w:rPr>
                <w:lang w:val="ru-RU"/>
              </w:rPr>
              <w:t>Информация и коммуникация</w:t>
            </w:r>
          </w:p>
        </w:tc>
        <w:tc>
          <w:tcPr>
            <w:tcW w:w="697" w:type="pct"/>
            <w:shd w:val="clear" w:color="auto" w:fill="E7E6E6"/>
            <w:tcMar>
              <w:left w:w="0" w:type="dxa"/>
              <w:right w:w="0" w:type="dxa"/>
            </w:tcMar>
            <w:vAlign w:val="center"/>
          </w:tcPr>
          <w:p w14:paraId="5673055C" w14:textId="77777777" w:rsidR="00336F1A" w:rsidRPr="00D25812" w:rsidRDefault="00336F1A" w:rsidP="005F0A2B">
            <w:pPr>
              <w:pStyle w:val="Tablehead"/>
              <w:ind w:left="-113" w:right="-113"/>
              <w:rPr>
                <w:rFonts w:ascii="Arial Narrow" w:hAnsi="Arial Narrow"/>
                <w:lang w:val="ru-RU"/>
              </w:rPr>
            </w:pPr>
            <w:r w:rsidRPr="00D25812">
              <w:rPr>
                <w:lang w:val="ru-RU"/>
              </w:rPr>
              <w:t>Механизмы внутреннего контроля</w:t>
            </w:r>
          </w:p>
        </w:tc>
        <w:tc>
          <w:tcPr>
            <w:tcW w:w="632" w:type="pct"/>
            <w:shd w:val="clear" w:color="auto" w:fill="E7E6E6"/>
            <w:tcMar>
              <w:left w:w="0" w:type="dxa"/>
              <w:right w:w="0" w:type="dxa"/>
            </w:tcMar>
            <w:vAlign w:val="center"/>
          </w:tcPr>
          <w:p w14:paraId="15A17876" w14:textId="08319478" w:rsidR="00336F1A" w:rsidRPr="00D25812" w:rsidRDefault="00336F1A" w:rsidP="005F0A2B">
            <w:pPr>
              <w:pStyle w:val="Tablehead"/>
              <w:ind w:left="-113" w:right="-113"/>
              <w:rPr>
                <w:rFonts w:ascii="Arial Narrow" w:hAnsi="Arial Narrow"/>
                <w:lang w:val="ru-RU"/>
              </w:rPr>
            </w:pPr>
            <w:r w:rsidRPr="00D25812">
              <w:rPr>
                <w:lang w:val="ru-RU"/>
              </w:rPr>
              <w:t>Мониторинг</w:t>
            </w:r>
          </w:p>
        </w:tc>
        <w:tc>
          <w:tcPr>
            <w:tcW w:w="620" w:type="pct"/>
            <w:shd w:val="clear" w:color="auto" w:fill="E7E6E6"/>
            <w:tcMar>
              <w:left w:w="0" w:type="dxa"/>
              <w:right w:w="0" w:type="dxa"/>
            </w:tcMar>
            <w:vAlign w:val="center"/>
          </w:tcPr>
          <w:p w14:paraId="6E96F8C4" w14:textId="1334F366" w:rsidR="00336F1A" w:rsidRPr="00D25812" w:rsidRDefault="00336F1A" w:rsidP="005F0A2B">
            <w:pPr>
              <w:pStyle w:val="Tablehead"/>
              <w:ind w:left="-113" w:right="-113"/>
              <w:rPr>
                <w:rFonts w:ascii="Arial Narrow" w:hAnsi="Arial Narrow"/>
                <w:lang w:val="ru-RU"/>
              </w:rPr>
            </w:pPr>
            <w:r w:rsidRPr="00D25812">
              <w:rPr>
                <w:lang w:val="ru-RU"/>
              </w:rPr>
              <w:t>ЦУР/GEM/</w:t>
            </w:r>
            <w:r w:rsidR="005F0A2B" w:rsidRPr="00D25812">
              <w:rPr>
                <w:lang w:val="ru-RU"/>
              </w:rPr>
              <w:br/>
            </w:r>
            <w:r w:rsidRPr="00D25812">
              <w:rPr>
                <w:lang w:val="ru-RU"/>
              </w:rPr>
              <w:t>EMS</w:t>
            </w:r>
          </w:p>
        </w:tc>
      </w:tr>
      <w:tr w:rsidR="005F0A2B" w:rsidRPr="00D25812" w14:paraId="484AB895" w14:textId="77777777" w:rsidTr="005F0A2B">
        <w:trPr>
          <w:trHeight w:hRule="exact" w:val="548"/>
        </w:trPr>
        <w:tc>
          <w:tcPr>
            <w:tcW w:w="1093" w:type="pct"/>
            <w:shd w:val="clear" w:color="auto" w:fill="E7E6E6"/>
            <w:tcMar>
              <w:left w:w="0" w:type="dxa"/>
              <w:right w:w="0" w:type="dxa"/>
            </w:tcMar>
            <w:vAlign w:val="center"/>
          </w:tcPr>
          <w:p w14:paraId="15136457"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Координация HCA и ООН</w:t>
            </w:r>
          </w:p>
        </w:tc>
        <w:tc>
          <w:tcPr>
            <w:tcW w:w="626" w:type="pct"/>
            <w:shd w:val="clear" w:color="auto" w:fill="FFFF00"/>
            <w:tcMar>
              <w:left w:w="0" w:type="dxa"/>
              <w:right w:w="0" w:type="dxa"/>
            </w:tcMar>
            <w:vAlign w:val="center"/>
          </w:tcPr>
          <w:p w14:paraId="23FD2AEF" w14:textId="77777777" w:rsidR="00336F1A" w:rsidRPr="00D25812" w:rsidRDefault="00336F1A" w:rsidP="00F23AAB">
            <w:pPr>
              <w:pStyle w:val="Tabletext"/>
              <w:spacing w:before="20" w:after="20"/>
              <w:rPr>
                <w:sz w:val="22"/>
                <w:lang w:val="ru-RU"/>
              </w:rPr>
            </w:pPr>
          </w:p>
        </w:tc>
        <w:tc>
          <w:tcPr>
            <w:tcW w:w="547" w:type="pct"/>
            <w:shd w:val="clear" w:color="auto" w:fill="FFFF00"/>
            <w:tcMar>
              <w:left w:w="0" w:type="dxa"/>
              <w:right w:w="0" w:type="dxa"/>
            </w:tcMar>
            <w:vAlign w:val="center"/>
          </w:tcPr>
          <w:p w14:paraId="4264D7AF"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31B32BA4"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419E0EF7"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67B0F225" w14:textId="77777777" w:rsidR="00336F1A" w:rsidRPr="00D25812" w:rsidRDefault="00336F1A" w:rsidP="00F23AAB">
            <w:pPr>
              <w:pStyle w:val="Tabletext"/>
              <w:spacing w:before="20" w:after="20"/>
              <w:rPr>
                <w:sz w:val="22"/>
                <w:lang w:val="ru-RU"/>
              </w:rPr>
            </w:pPr>
          </w:p>
        </w:tc>
        <w:tc>
          <w:tcPr>
            <w:tcW w:w="620" w:type="pct"/>
            <w:shd w:val="clear" w:color="auto" w:fill="92D050"/>
            <w:tcMar>
              <w:left w:w="0" w:type="dxa"/>
              <w:right w:w="0" w:type="dxa"/>
            </w:tcMar>
            <w:vAlign w:val="center"/>
          </w:tcPr>
          <w:p w14:paraId="0A465C2C" w14:textId="77777777" w:rsidR="00336F1A" w:rsidRPr="00D25812" w:rsidRDefault="00336F1A" w:rsidP="00F23AAB">
            <w:pPr>
              <w:pStyle w:val="Tabletext"/>
              <w:spacing w:before="20" w:after="20"/>
              <w:rPr>
                <w:sz w:val="22"/>
                <w:lang w:val="ru-RU"/>
              </w:rPr>
            </w:pPr>
          </w:p>
        </w:tc>
      </w:tr>
      <w:tr w:rsidR="005F0A2B" w:rsidRPr="00D25812" w14:paraId="6F4B2CAD" w14:textId="77777777" w:rsidTr="00C96752">
        <w:trPr>
          <w:trHeight w:hRule="exact" w:val="535"/>
        </w:trPr>
        <w:tc>
          <w:tcPr>
            <w:tcW w:w="1093" w:type="pct"/>
            <w:shd w:val="clear" w:color="auto" w:fill="E7E6E6"/>
            <w:tcMar>
              <w:left w:w="0" w:type="dxa"/>
              <w:right w:w="0" w:type="dxa"/>
            </w:tcMar>
            <w:vAlign w:val="center"/>
          </w:tcPr>
          <w:p w14:paraId="75981999"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Управление проектом</w:t>
            </w:r>
          </w:p>
        </w:tc>
        <w:tc>
          <w:tcPr>
            <w:tcW w:w="626" w:type="pct"/>
            <w:shd w:val="clear" w:color="auto" w:fill="00B050"/>
            <w:tcMar>
              <w:left w:w="0" w:type="dxa"/>
              <w:right w:w="0" w:type="dxa"/>
            </w:tcMar>
            <w:vAlign w:val="center"/>
          </w:tcPr>
          <w:p w14:paraId="671AEAE1" w14:textId="77777777" w:rsidR="00336F1A" w:rsidRPr="00D25812" w:rsidRDefault="00336F1A" w:rsidP="00F23AAB">
            <w:pPr>
              <w:pStyle w:val="Tabletext"/>
              <w:spacing w:before="20" w:after="20"/>
              <w:rPr>
                <w:sz w:val="22"/>
                <w:lang w:val="ru-RU"/>
              </w:rPr>
            </w:pPr>
          </w:p>
        </w:tc>
        <w:tc>
          <w:tcPr>
            <w:tcW w:w="547" w:type="pct"/>
            <w:shd w:val="clear" w:color="auto" w:fill="FF0000"/>
            <w:tcMar>
              <w:left w:w="0" w:type="dxa"/>
              <w:right w:w="0" w:type="dxa"/>
            </w:tcMar>
            <w:vAlign w:val="center"/>
          </w:tcPr>
          <w:p w14:paraId="0EB1B3F3"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52512E91" w14:textId="77777777" w:rsidR="00336F1A" w:rsidRPr="00D25812" w:rsidRDefault="00336F1A" w:rsidP="00F23AAB">
            <w:pPr>
              <w:pStyle w:val="Tabletext"/>
              <w:spacing w:before="20" w:after="20"/>
              <w:rPr>
                <w:sz w:val="22"/>
                <w:lang w:val="ru-RU"/>
              </w:rPr>
            </w:pPr>
          </w:p>
        </w:tc>
        <w:tc>
          <w:tcPr>
            <w:tcW w:w="697" w:type="pct"/>
            <w:shd w:val="clear" w:color="auto" w:fill="FF0000"/>
            <w:tcMar>
              <w:left w:w="0" w:type="dxa"/>
              <w:right w:w="0" w:type="dxa"/>
            </w:tcMar>
            <w:vAlign w:val="center"/>
          </w:tcPr>
          <w:p w14:paraId="0F7460D9"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7EB41515" w14:textId="77777777" w:rsidR="00336F1A" w:rsidRPr="00D25812" w:rsidRDefault="00336F1A" w:rsidP="00F23AAB">
            <w:pPr>
              <w:pStyle w:val="Tabletext"/>
              <w:spacing w:before="20" w:after="20"/>
              <w:rPr>
                <w:sz w:val="22"/>
                <w:lang w:val="ru-RU"/>
              </w:rPr>
            </w:pPr>
          </w:p>
        </w:tc>
        <w:tc>
          <w:tcPr>
            <w:tcW w:w="620" w:type="pct"/>
            <w:shd w:val="clear" w:color="auto" w:fill="FFFF00"/>
            <w:tcMar>
              <w:left w:w="0" w:type="dxa"/>
              <w:right w:w="0" w:type="dxa"/>
            </w:tcMar>
            <w:vAlign w:val="center"/>
          </w:tcPr>
          <w:p w14:paraId="5D99C5EE" w14:textId="77777777" w:rsidR="00336F1A" w:rsidRPr="00D25812" w:rsidRDefault="00336F1A" w:rsidP="00F23AAB">
            <w:pPr>
              <w:pStyle w:val="Tabletext"/>
              <w:spacing w:before="20" w:after="20"/>
              <w:rPr>
                <w:sz w:val="22"/>
                <w:lang w:val="ru-RU"/>
              </w:rPr>
            </w:pPr>
          </w:p>
        </w:tc>
      </w:tr>
      <w:tr w:rsidR="005F0A2B" w:rsidRPr="00D25812" w14:paraId="35A461D2" w14:textId="77777777" w:rsidTr="005F0A2B">
        <w:trPr>
          <w:trHeight w:hRule="exact" w:val="401"/>
        </w:trPr>
        <w:tc>
          <w:tcPr>
            <w:tcW w:w="1093" w:type="pct"/>
            <w:shd w:val="clear" w:color="auto" w:fill="E7E6E6"/>
            <w:tcMar>
              <w:left w:w="0" w:type="dxa"/>
              <w:right w:w="0" w:type="dxa"/>
            </w:tcMar>
            <w:vAlign w:val="center"/>
          </w:tcPr>
          <w:p w14:paraId="31FDD44C"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Оперативный план</w:t>
            </w:r>
          </w:p>
        </w:tc>
        <w:tc>
          <w:tcPr>
            <w:tcW w:w="626" w:type="pct"/>
            <w:shd w:val="clear" w:color="auto" w:fill="00B050"/>
            <w:tcMar>
              <w:left w:w="0" w:type="dxa"/>
              <w:right w:w="0" w:type="dxa"/>
            </w:tcMar>
            <w:vAlign w:val="center"/>
          </w:tcPr>
          <w:p w14:paraId="71C62D5D"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5AC74D1B"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2AE5FC9F"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5419243F"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63905F79" w14:textId="77777777" w:rsidR="00336F1A" w:rsidRPr="00D25812" w:rsidRDefault="00336F1A" w:rsidP="00F23AAB">
            <w:pPr>
              <w:pStyle w:val="Tabletext"/>
              <w:spacing w:before="20" w:after="20"/>
              <w:rPr>
                <w:sz w:val="22"/>
                <w:lang w:val="ru-RU"/>
              </w:rPr>
            </w:pPr>
          </w:p>
        </w:tc>
        <w:tc>
          <w:tcPr>
            <w:tcW w:w="620" w:type="pct"/>
            <w:shd w:val="clear" w:color="auto" w:fill="92D050"/>
            <w:tcMar>
              <w:left w:w="0" w:type="dxa"/>
              <w:right w:w="0" w:type="dxa"/>
            </w:tcMar>
            <w:vAlign w:val="center"/>
          </w:tcPr>
          <w:p w14:paraId="34AB95F3" w14:textId="77777777" w:rsidR="00336F1A" w:rsidRPr="00D25812" w:rsidRDefault="00336F1A" w:rsidP="00F23AAB">
            <w:pPr>
              <w:pStyle w:val="Tabletext"/>
              <w:spacing w:before="20" w:after="20"/>
              <w:rPr>
                <w:sz w:val="22"/>
                <w:lang w:val="ru-RU"/>
              </w:rPr>
            </w:pPr>
          </w:p>
        </w:tc>
      </w:tr>
      <w:tr w:rsidR="005F0A2B" w:rsidRPr="00D25812" w14:paraId="2FE2D9FC" w14:textId="77777777" w:rsidTr="00C96752">
        <w:trPr>
          <w:trHeight w:hRule="exact" w:val="874"/>
        </w:trPr>
        <w:tc>
          <w:tcPr>
            <w:tcW w:w="1093" w:type="pct"/>
            <w:shd w:val="clear" w:color="auto" w:fill="E7E6E6"/>
            <w:tcMar>
              <w:left w:w="0" w:type="dxa"/>
              <w:right w:w="0" w:type="dxa"/>
            </w:tcMar>
            <w:vAlign w:val="center"/>
          </w:tcPr>
          <w:p w14:paraId="7E498742"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Управление людскими ресурсами</w:t>
            </w:r>
          </w:p>
        </w:tc>
        <w:tc>
          <w:tcPr>
            <w:tcW w:w="626" w:type="pct"/>
            <w:shd w:val="clear" w:color="auto" w:fill="FFFF00"/>
            <w:tcMar>
              <w:left w:w="0" w:type="dxa"/>
              <w:right w:w="0" w:type="dxa"/>
            </w:tcMar>
            <w:vAlign w:val="center"/>
          </w:tcPr>
          <w:p w14:paraId="65D6E43D" w14:textId="77777777" w:rsidR="00336F1A" w:rsidRPr="00D25812" w:rsidRDefault="00336F1A" w:rsidP="00F23AAB">
            <w:pPr>
              <w:pStyle w:val="Tabletext"/>
              <w:spacing w:before="20" w:after="20"/>
              <w:rPr>
                <w:sz w:val="22"/>
                <w:lang w:val="ru-RU"/>
              </w:rPr>
            </w:pPr>
          </w:p>
        </w:tc>
        <w:tc>
          <w:tcPr>
            <w:tcW w:w="547" w:type="pct"/>
            <w:shd w:val="clear" w:color="auto" w:fill="FFFF00"/>
            <w:tcMar>
              <w:left w:w="0" w:type="dxa"/>
              <w:right w:w="0" w:type="dxa"/>
            </w:tcMar>
            <w:vAlign w:val="center"/>
          </w:tcPr>
          <w:p w14:paraId="7FFEDC56" w14:textId="77777777" w:rsidR="00336F1A" w:rsidRPr="00D25812" w:rsidRDefault="00336F1A" w:rsidP="00F23AAB">
            <w:pPr>
              <w:pStyle w:val="Tabletext"/>
              <w:spacing w:before="20" w:after="20"/>
              <w:rPr>
                <w:sz w:val="22"/>
                <w:lang w:val="ru-RU"/>
              </w:rPr>
            </w:pPr>
          </w:p>
        </w:tc>
        <w:tc>
          <w:tcPr>
            <w:tcW w:w="785" w:type="pct"/>
            <w:shd w:val="clear" w:color="auto" w:fill="92D050"/>
            <w:tcMar>
              <w:left w:w="0" w:type="dxa"/>
              <w:right w:w="0" w:type="dxa"/>
            </w:tcMar>
            <w:vAlign w:val="center"/>
          </w:tcPr>
          <w:p w14:paraId="6F57C9D3" w14:textId="77777777" w:rsidR="00336F1A" w:rsidRPr="00D25812" w:rsidRDefault="00336F1A" w:rsidP="00F23AAB">
            <w:pPr>
              <w:pStyle w:val="Tabletext"/>
              <w:spacing w:before="20" w:after="20"/>
              <w:rPr>
                <w:sz w:val="22"/>
                <w:lang w:val="ru-RU"/>
              </w:rPr>
            </w:pPr>
          </w:p>
        </w:tc>
        <w:tc>
          <w:tcPr>
            <w:tcW w:w="697" w:type="pct"/>
            <w:shd w:val="clear" w:color="auto" w:fill="FFFF00"/>
            <w:tcMar>
              <w:left w:w="0" w:type="dxa"/>
              <w:right w:w="0" w:type="dxa"/>
            </w:tcMar>
            <w:vAlign w:val="center"/>
          </w:tcPr>
          <w:p w14:paraId="15E683CA"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475A91A8" w14:textId="77777777" w:rsidR="00336F1A" w:rsidRPr="00D25812" w:rsidRDefault="00336F1A" w:rsidP="00F23AAB">
            <w:pPr>
              <w:pStyle w:val="Tabletext"/>
              <w:spacing w:before="20" w:after="20"/>
              <w:rPr>
                <w:sz w:val="22"/>
                <w:lang w:val="ru-RU"/>
              </w:rPr>
            </w:pPr>
          </w:p>
        </w:tc>
        <w:tc>
          <w:tcPr>
            <w:tcW w:w="620" w:type="pct"/>
            <w:shd w:val="clear" w:color="auto" w:fill="FFFF00"/>
            <w:tcMar>
              <w:left w:w="0" w:type="dxa"/>
              <w:right w:w="0" w:type="dxa"/>
            </w:tcMar>
            <w:vAlign w:val="center"/>
          </w:tcPr>
          <w:p w14:paraId="7892B97D" w14:textId="77777777" w:rsidR="00336F1A" w:rsidRPr="00D25812" w:rsidRDefault="00336F1A" w:rsidP="00F23AAB">
            <w:pPr>
              <w:pStyle w:val="Tabletext"/>
              <w:spacing w:before="20" w:after="20"/>
              <w:rPr>
                <w:sz w:val="22"/>
                <w:lang w:val="ru-RU"/>
              </w:rPr>
            </w:pPr>
          </w:p>
        </w:tc>
      </w:tr>
      <w:tr w:rsidR="005F0A2B" w:rsidRPr="00D25812" w14:paraId="4476FC83" w14:textId="77777777" w:rsidTr="00C96752">
        <w:trPr>
          <w:trHeight w:hRule="exact" w:val="882"/>
        </w:trPr>
        <w:tc>
          <w:tcPr>
            <w:tcW w:w="1093" w:type="pct"/>
            <w:shd w:val="clear" w:color="auto" w:fill="E7E6E6"/>
            <w:tcMar>
              <w:left w:w="0" w:type="dxa"/>
              <w:right w:w="0" w:type="dxa"/>
            </w:tcMar>
            <w:vAlign w:val="center"/>
          </w:tcPr>
          <w:p w14:paraId="2CD16FD7"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Управление активами и запасами</w:t>
            </w:r>
          </w:p>
        </w:tc>
        <w:tc>
          <w:tcPr>
            <w:tcW w:w="626" w:type="pct"/>
            <w:shd w:val="clear" w:color="auto" w:fill="00B050"/>
            <w:tcMar>
              <w:left w:w="0" w:type="dxa"/>
              <w:right w:w="0" w:type="dxa"/>
            </w:tcMar>
            <w:vAlign w:val="center"/>
          </w:tcPr>
          <w:p w14:paraId="79BC5608" w14:textId="77777777" w:rsidR="00336F1A" w:rsidRPr="00D25812" w:rsidRDefault="00336F1A" w:rsidP="00F23AAB">
            <w:pPr>
              <w:pStyle w:val="Tabletext"/>
              <w:spacing w:before="20" w:after="20"/>
              <w:rPr>
                <w:sz w:val="22"/>
                <w:lang w:val="ru-RU"/>
              </w:rPr>
            </w:pPr>
          </w:p>
        </w:tc>
        <w:tc>
          <w:tcPr>
            <w:tcW w:w="547" w:type="pct"/>
            <w:shd w:val="clear" w:color="auto" w:fill="FFFF00"/>
            <w:tcMar>
              <w:left w:w="0" w:type="dxa"/>
              <w:right w:w="0" w:type="dxa"/>
            </w:tcMar>
            <w:vAlign w:val="center"/>
          </w:tcPr>
          <w:p w14:paraId="493D6352"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531828B7" w14:textId="77777777" w:rsidR="00336F1A" w:rsidRPr="00D25812" w:rsidRDefault="00336F1A" w:rsidP="00F23AAB">
            <w:pPr>
              <w:pStyle w:val="Tabletext"/>
              <w:spacing w:before="20" w:after="20"/>
              <w:rPr>
                <w:sz w:val="22"/>
                <w:lang w:val="ru-RU"/>
              </w:rPr>
            </w:pPr>
          </w:p>
        </w:tc>
        <w:tc>
          <w:tcPr>
            <w:tcW w:w="697" w:type="pct"/>
            <w:shd w:val="clear" w:color="auto" w:fill="FFFF00"/>
            <w:tcMar>
              <w:left w:w="0" w:type="dxa"/>
              <w:right w:w="0" w:type="dxa"/>
            </w:tcMar>
            <w:vAlign w:val="center"/>
          </w:tcPr>
          <w:p w14:paraId="60DECBD8"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5E3F15BA"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35316EDE" w14:textId="77777777" w:rsidR="00336F1A" w:rsidRPr="00D25812" w:rsidRDefault="00336F1A" w:rsidP="00F23AAB">
            <w:pPr>
              <w:pStyle w:val="Tabletext"/>
              <w:spacing w:before="20" w:after="20"/>
              <w:rPr>
                <w:sz w:val="22"/>
                <w:lang w:val="ru-RU"/>
              </w:rPr>
            </w:pPr>
          </w:p>
        </w:tc>
      </w:tr>
      <w:tr w:rsidR="005F0A2B" w:rsidRPr="00D25812" w14:paraId="448DDFBC" w14:textId="77777777" w:rsidTr="00C96752">
        <w:trPr>
          <w:trHeight w:hRule="exact" w:val="544"/>
        </w:trPr>
        <w:tc>
          <w:tcPr>
            <w:tcW w:w="1093" w:type="pct"/>
            <w:shd w:val="clear" w:color="auto" w:fill="E7E6E6"/>
            <w:tcMar>
              <w:left w:w="0" w:type="dxa"/>
              <w:right w:w="0" w:type="dxa"/>
            </w:tcMar>
            <w:vAlign w:val="center"/>
          </w:tcPr>
          <w:p w14:paraId="23C1FA78"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Закупки</w:t>
            </w:r>
          </w:p>
        </w:tc>
        <w:tc>
          <w:tcPr>
            <w:tcW w:w="626" w:type="pct"/>
            <w:shd w:val="clear" w:color="auto" w:fill="00B050"/>
            <w:tcMar>
              <w:left w:w="0" w:type="dxa"/>
              <w:right w:w="0" w:type="dxa"/>
            </w:tcMar>
            <w:vAlign w:val="center"/>
          </w:tcPr>
          <w:p w14:paraId="63B28F01"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54250928"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2BDD1DAC"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5CC816AA"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031A6708"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26EF4745" w14:textId="77777777" w:rsidR="00336F1A" w:rsidRPr="00D25812" w:rsidRDefault="00336F1A" w:rsidP="00F23AAB">
            <w:pPr>
              <w:pStyle w:val="Tabletext"/>
              <w:spacing w:before="20" w:after="20"/>
              <w:rPr>
                <w:sz w:val="22"/>
                <w:lang w:val="ru-RU"/>
              </w:rPr>
            </w:pPr>
          </w:p>
        </w:tc>
      </w:tr>
      <w:tr w:rsidR="005F0A2B" w:rsidRPr="00D25812" w14:paraId="2CE570B2" w14:textId="77777777" w:rsidTr="005F0A2B">
        <w:trPr>
          <w:trHeight w:hRule="exact" w:val="818"/>
        </w:trPr>
        <w:tc>
          <w:tcPr>
            <w:tcW w:w="1093" w:type="pct"/>
            <w:shd w:val="clear" w:color="auto" w:fill="E7E6E6"/>
            <w:tcMar>
              <w:left w:w="0" w:type="dxa"/>
              <w:right w:w="0" w:type="dxa"/>
            </w:tcMar>
            <w:vAlign w:val="center"/>
          </w:tcPr>
          <w:p w14:paraId="11CD0C96"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Управление служебными поездками</w:t>
            </w:r>
          </w:p>
        </w:tc>
        <w:tc>
          <w:tcPr>
            <w:tcW w:w="626" w:type="pct"/>
            <w:shd w:val="clear" w:color="auto" w:fill="00B050"/>
            <w:tcMar>
              <w:left w:w="0" w:type="dxa"/>
              <w:right w:w="0" w:type="dxa"/>
            </w:tcMar>
            <w:vAlign w:val="center"/>
          </w:tcPr>
          <w:p w14:paraId="02688F71"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00539754"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21E12A9E" w14:textId="77777777" w:rsidR="00336F1A" w:rsidRPr="00D25812" w:rsidRDefault="00336F1A" w:rsidP="00F23AAB">
            <w:pPr>
              <w:pStyle w:val="Tabletext"/>
              <w:spacing w:before="20" w:after="20"/>
              <w:rPr>
                <w:sz w:val="22"/>
                <w:lang w:val="ru-RU"/>
              </w:rPr>
            </w:pPr>
          </w:p>
        </w:tc>
        <w:tc>
          <w:tcPr>
            <w:tcW w:w="697" w:type="pct"/>
            <w:shd w:val="clear" w:color="auto" w:fill="FF0000"/>
            <w:tcMar>
              <w:left w:w="0" w:type="dxa"/>
              <w:right w:w="0" w:type="dxa"/>
            </w:tcMar>
            <w:vAlign w:val="center"/>
          </w:tcPr>
          <w:p w14:paraId="562CA33E"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097F65C8"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77705E7A" w14:textId="77777777" w:rsidR="00336F1A" w:rsidRPr="00D25812" w:rsidRDefault="00336F1A" w:rsidP="00F23AAB">
            <w:pPr>
              <w:pStyle w:val="Tabletext"/>
              <w:spacing w:before="20" w:after="20"/>
              <w:rPr>
                <w:sz w:val="22"/>
                <w:lang w:val="ru-RU"/>
              </w:rPr>
            </w:pPr>
          </w:p>
        </w:tc>
      </w:tr>
      <w:tr w:rsidR="005F0A2B" w:rsidRPr="00D25812" w14:paraId="27C54E8A" w14:textId="77777777" w:rsidTr="005F0A2B">
        <w:trPr>
          <w:trHeight w:hRule="exact" w:val="441"/>
        </w:trPr>
        <w:tc>
          <w:tcPr>
            <w:tcW w:w="1093" w:type="pct"/>
            <w:shd w:val="clear" w:color="auto" w:fill="E7E6E6"/>
            <w:tcMar>
              <w:left w:w="0" w:type="dxa"/>
              <w:right w:w="0" w:type="dxa"/>
            </w:tcMar>
            <w:vAlign w:val="center"/>
          </w:tcPr>
          <w:p w14:paraId="79213899"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Стипендии</w:t>
            </w:r>
          </w:p>
        </w:tc>
        <w:tc>
          <w:tcPr>
            <w:tcW w:w="626" w:type="pct"/>
            <w:shd w:val="clear" w:color="auto" w:fill="00B050"/>
            <w:tcMar>
              <w:left w:w="0" w:type="dxa"/>
              <w:right w:w="0" w:type="dxa"/>
            </w:tcMar>
            <w:vAlign w:val="center"/>
          </w:tcPr>
          <w:p w14:paraId="0A8540EB"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35182A40"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7B199989"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20241721"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2398184B"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1CE8BDC7" w14:textId="77777777" w:rsidR="00336F1A" w:rsidRPr="00D25812" w:rsidRDefault="00336F1A" w:rsidP="00F23AAB">
            <w:pPr>
              <w:pStyle w:val="Tabletext"/>
              <w:spacing w:before="20" w:after="20"/>
              <w:rPr>
                <w:sz w:val="22"/>
                <w:lang w:val="ru-RU"/>
              </w:rPr>
            </w:pPr>
          </w:p>
        </w:tc>
      </w:tr>
      <w:tr w:rsidR="005F0A2B" w:rsidRPr="00D25812" w14:paraId="47DD0099" w14:textId="77777777" w:rsidTr="005F0A2B">
        <w:trPr>
          <w:trHeight w:hRule="exact" w:val="567"/>
        </w:trPr>
        <w:tc>
          <w:tcPr>
            <w:tcW w:w="1093" w:type="pct"/>
            <w:shd w:val="clear" w:color="auto" w:fill="E7E6E6"/>
            <w:tcMar>
              <w:left w:w="0" w:type="dxa"/>
              <w:right w:w="0" w:type="dxa"/>
            </w:tcMar>
            <w:vAlign w:val="center"/>
          </w:tcPr>
          <w:p w14:paraId="5762D667"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Спонсорская поддержка</w:t>
            </w:r>
          </w:p>
        </w:tc>
        <w:tc>
          <w:tcPr>
            <w:tcW w:w="626" w:type="pct"/>
            <w:shd w:val="clear" w:color="auto" w:fill="00B050"/>
            <w:tcMar>
              <w:left w:w="0" w:type="dxa"/>
              <w:right w:w="0" w:type="dxa"/>
            </w:tcMar>
            <w:vAlign w:val="center"/>
          </w:tcPr>
          <w:p w14:paraId="05C81832"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6854E36B"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1BA574FD"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3585BDB7"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66CBEAF9"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380235F6" w14:textId="77777777" w:rsidR="00336F1A" w:rsidRPr="00D25812" w:rsidRDefault="00336F1A" w:rsidP="00F23AAB">
            <w:pPr>
              <w:pStyle w:val="Tabletext"/>
              <w:spacing w:before="20" w:after="20"/>
              <w:rPr>
                <w:sz w:val="22"/>
                <w:lang w:val="ru-RU"/>
              </w:rPr>
            </w:pPr>
          </w:p>
        </w:tc>
      </w:tr>
      <w:tr w:rsidR="005F0A2B" w:rsidRPr="00D25812" w14:paraId="6F812A93" w14:textId="77777777" w:rsidTr="005F0A2B">
        <w:trPr>
          <w:trHeight w:hRule="exact" w:val="1117"/>
        </w:trPr>
        <w:tc>
          <w:tcPr>
            <w:tcW w:w="1093" w:type="pct"/>
            <w:shd w:val="clear" w:color="auto" w:fill="E7E6E6"/>
            <w:tcMar>
              <w:left w:w="0" w:type="dxa"/>
              <w:right w:w="0" w:type="dxa"/>
            </w:tcMar>
            <w:vAlign w:val="center"/>
          </w:tcPr>
          <w:p w14:paraId="046CCC72"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Управление отношениями с банками и наличностью</w:t>
            </w:r>
          </w:p>
        </w:tc>
        <w:tc>
          <w:tcPr>
            <w:tcW w:w="626" w:type="pct"/>
            <w:shd w:val="clear" w:color="auto" w:fill="92D050"/>
            <w:tcMar>
              <w:left w:w="0" w:type="dxa"/>
              <w:right w:w="0" w:type="dxa"/>
            </w:tcMar>
            <w:vAlign w:val="center"/>
          </w:tcPr>
          <w:p w14:paraId="5CEBE33D"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60799358"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33167E4C" w14:textId="77777777" w:rsidR="00336F1A" w:rsidRPr="00D25812" w:rsidRDefault="00336F1A" w:rsidP="00F23AAB">
            <w:pPr>
              <w:pStyle w:val="Tabletext"/>
              <w:spacing w:before="20" w:after="20"/>
              <w:rPr>
                <w:sz w:val="22"/>
                <w:lang w:val="ru-RU"/>
              </w:rPr>
            </w:pPr>
          </w:p>
        </w:tc>
        <w:tc>
          <w:tcPr>
            <w:tcW w:w="697" w:type="pct"/>
            <w:shd w:val="clear" w:color="auto" w:fill="92D050"/>
            <w:tcMar>
              <w:left w:w="0" w:type="dxa"/>
              <w:right w:w="0" w:type="dxa"/>
            </w:tcMar>
            <w:vAlign w:val="center"/>
          </w:tcPr>
          <w:p w14:paraId="00F7EF99"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42AF66B8"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5E048C24" w14:textId="77777777" w:rsidR="00336F1A" w:rsidRPr="00D25812" w:rsidRDefault="00336F1A" w:rsidP="00F23AAB">
            <w:pPr>
              <w:pStyle w:val="Tabletext"/>
              <w:spacing w:before="20" w:after="20"/>
              <w:rPr>
                <w:sz w:val="22"/>
                <w:lang w:val="ru-RU"/>
              </w:rPr>
            </w:pPr>
          </w:p>
        </w:tc>
      </w:tr>
      <w:tr w:rsidR="005F0A2B" w:rsidRPr="00D25812" w14:paraId="2C9535FD" w14:textId="77777777" w:rsidTr="005F0A2B">
        <w:trPr>
          <w:trHeight w:hRule="exact" w:val="567"/>
        </w:trPr>
        <w:tc>
          <w:tcPr>
            <w:tcW w:w="1093" w:type="pct"/>
            <w:shd w:val="clear" w:color="auto" w:fill="E7E6E6"/>
            <w:tcMar>
              <w:left w:w="0" w:type="dxa"/>
              <w:right w:w="0" w:type="dxa"/>
            </w:tcMar>
            <w:vAlign w:val="center"/>
          </w:tcPr>
          <w:p w14:paraId="494B4003"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Защита и безопасность</w:t>
            </w:r>
          </w:p>
        </w:tc>
        <w:tc>
          <w:tcPr>
            <w:tcW w:w="626" w:type="pct"/>
            <w:shd w:val="clear" w:color="auto" w:fill="FFFF00"/>
            <w:tcMar>
              <w:left w:w="0" w:type="dxa"/>
              <w:right w:w="0" w:type="dxa"/>
            </w:tcMar>
            <w:vAlign w:val="center"/>
          </w:tcPr>
          <w:p w14:paraId="66E3A19B" w14:textId="77777777" w:rsidR="00336F1A" w:rsidRPr="00D25812" w:rsidRDefault="00336F1A" w:rsidP="00F23AAB">
            <w:pPr>
              <w:pStyle w:val="Tabletext"/>
              <w:spacing w:before="20" w:after="20"/>
              <w:rPr>
                <w:sz w:val="22"/>
                <w:lang w:val="ru-RU"/>
              </w:rPr>
            </w:pPr>
          </w:p>
        </w:tc>
        <w:tc>
          <w:tcPr>
            <w:tcW w:w="547" w:type="pct"/>
            <w:shd w:val="clear" w:color="auto" w:fill="FFFF00"/>
            <w:tcMar>
              <w:left w:w="0" w:type="dxa"/>
              <w:right w:w="0" w:type="dxa"/>
            </w:tcMar>
            <w:vAlign w:val="center"/>
          </w:tcPr>
          <w:p w14:paraId="45BBB470" w14:textId="77777777" w:rsidR="00336F1A" w:rsidRPr="00D25812" w:rsidRDefault="00336F1A" w:rsidP="00F23AAB">
            <w:pPr>
              <w:pStyle w:val="Tabletext"/>
              <w:spacing w:before="20" w:after="20"/>
              <w:rPr>
                <w:sz w:val="22"/>
                <w:lang w:val="ru-RU"/>
              </w:rPr>
            </w:pPr>
          </w:p>
        </w:tc>
        <w:tc>
          <w:tcPr>
            <w:tcW w:w="785" w:type="pct"/>
            <w:shd w:val="clear" w:color="auto" w:fill="FFFF00"/>
            <w:tcMar>
              <w:left w:w="0" w:type="dxa"/>
              <w:right w:w="0" w:type="dxa"/>
            </w:tcMar>
            <w:vAlign w:val="center"/>
          </w:tcPr>
          <w:p w14:paraId="4D061390" w14:textId="77777777" w:rsidR="00336F1A" w:rsidRPr="00D25812" w:rsidRDefault="00336F1A" w:rsidP="00F23AAB">
            <w:pPr>
              <w:pStyle w:val="Tabletext"/>
              <w:spacing w:before="20" w:after="20"/>
              <w:rPr>
                <w:sz w:val="22"/>
                <w:lang w:val="ru-RU"/>
              </w:rPr>
            </w:pPr>
          </w:p>
        </w:tc>
        <w:tc>
          <w:tcPr>
            <w:tcW w:w="697" w:type="pct"/>
            <w:shd w:val="clear" w:color="auto" w:fill="FFFF00"/>
            <w:tcMar>
              <w:left w:w="0" w:type="dxa"/>
              <w:right w:w="0" w:type="dxa"/>
            </w:tcMar>
            <w:vAlign w:val="center"/>
          </w:tcPr>
          <w:p w14:paraId="7D296435" w14:textId="77777777" w:rsidR="00336F1A" w:rsidRPr="00D25812" w:rsidRDefault="00336F1A" w:rsidP="00F23AAB">
            <w:pPr>
              <w:pStyle w:val="Tabletext"/>
              <w:spacing w:before="20" w:after="20"/>
              <w:rPr>
                <w:sz w:val="22"/>
                <w:lang w:val="ru-RU"/>
              </w:rPr>
            </w:pPr>
          </w:p>
        </w:tc>
        <w:tc>
          <w:tcPr>
            <w:tcW w:w="632" w:type="pct"/>
            <w:shd w:val="clear" w:color="auto" w:fill="FF0000"/>
            <w:tcMar>
              <w:left w:w="0" w:type="dxa"/>
              <w:right w:w="0" w:type="dxa"/>
            </w:tcMar>
            <w:vAlign w:val="center"/>
          </w:tcPr>
          <w:p w14:paraId="37F650D9" w14:textId="77777777" w:rsidR="00336F1A" w:rsidRPr="00D25812" w:rsidRDefault="00336F1A" w:rsidP="00F23AAB">
            <w:pPr>
              <w:pStyle w:val="Tabletext"/>
              <w:spacing w:before="20" w:after="20"/>
              <w:rPr>
                <w:sz w:val="22"/>
                <w:lang w:val="ru-RU"/>
              </w:rPr>
            </w:pPr>
          </w:p>
        </w:tc>
        <w:tc>
          <w:tcPr>
            <w:tcW w:w="620" w:type="pct"/>
            <w:shd w:val="clear" w:color="auto" w:fill="FFFF00"/>
            <w:tcMar>
              <w:left w:w="0" w:type="dxa"/>
              <w:right w:w="0" w:type="dxa"/>
            </w:tcMar>
            <w:vAlign w:val="center"/>
          </w:tcPr>
          <w:p w14:paraId="7F885797" w14:textId="77777777" w:rsidR="00336F1A" w:rsidRPr="00D25812" w:rsidRDefault="00336F1A" w:rsidP="00F23AAB">
            <w:pPr>
              <w:pStyle w:val="Tabletext"/>
              <w:spacing w:before="20" w:after="20"/>
              <w:rPr>
                <w:sz w:val="22"/>
                <w:lang w:val="ru-RU"/>
              </w:rPr>
            </w:pPr>
          </w:p>
        </w:tc>
      </w:tr>
      <w:tr w:rsidR="005F0A2B" w:rsidRPr="00D25812" w14:paraId="7496C5C8" w14:textId="77777777" w:rsidTr="005F0A2B">
        <w:trPr>
          <w:trHeight w:hRule="exact" w:val="567"/>
        </w:trPr>
        <w:tc>
          <w:tcPr>
            <w:tcW w:w="1093" w:type="pct"/>
            <w:shd w:val="clear" w:color="auto" w:fill="E7E6E6"/>
            <w:tcMar>
              <w:left w:w="0" w:type="dxa"/>
              <w:right w:w="0" w:type="dxa"/>
            </w:tcMar>
            <w:vAlign w:val="center"/>
          </w:tcPr>
          <w:p w14:paraId="734507BE" w14:textId="77777777" w:rsidR="00336F1A" w:rsidRPr="00D25812" w:rsidRDefault="00336F1A" w:rsidP="00F23AAB">
            <w:pPr>
              <w:pStyle w:val="Tabletext"/>
              <w:tabs>
                <w:tab w:val="clear" w:pos="1985"/>
              </w:tabs>
              <w:spacing w:before="20" w:after="20"/>
              <w:ind w:left="142" w:right="137"/>
              <w:rPr>
                <w:rFonts w:ascii="Arial Narrow" w:hAnsi="Arial Narrow"/>
                <w:lang w:val="ru-RU"/>
              </w:rPr>
            </w:pPr>
            <w:r w:rsidRPr="00D25812">
              <w:rPr>
                <w:lang w:val="ru-RU"/>
              </w:rPr>
              <w:t>Представительские расходы</w:t>
            </w:r>
          </w:p>
        </w:tc>
        <w:tc>
          <w:tcPr>
            <w:tcW w:w="626" w:type="pct"/>
            <w:shd w:val="clear" w:color="auto" w:fill="00B050"/>
            <w:tcMar>
              <w:left w:w="0" w:type="dxa"/>
              <w:right w:w="0" w:type="dxa"/>
            </w:tcMar>
            <w:vAlign w:val="center"/>
          </w:tcPr>
          <w:p w14:paraId="3A470640" w14:textId="77777777" w:rsidR="00336F1A" w:rsidRPr="00D25812" w:rsidRDefault="00336F1A" w:rsidP="00F23AAB">
            <w:pPr>
              <w:pStyle w:val="Tabletext"/>
              <w:spacing w:before="20" w:after="20"/>
              <w:rPr>
                <w:sz w:val="22"/>
                <w:lang w:val="ru-RU"/>
              </w:rPr>
            </w:pPr>
          </w:p>
        </w:tc>
        <w:tc>
          <w:tcPr>
            <w:tcW w:w="547" w:type="pct"/>
            <w:shd w:val="clear" w:color="auto" w:fill="00B050"/>
            <w:tcMar>
              <w:left w:w="0" w:type="dxa"/>
              <w:right w:w="0" w:type="dxa"/>
            </w:tcMar>
            <w:vAlign w:val="center"/>
          </w:tcPr>
          <w:p w14:paraId="51C79366" w14:textId="77777777" w:rsidR="00336F1A" w:rsidRPr="00D25812" w:rsidRDefault="00336F1A" w:rsidP="00F23AAB">
            <w:pPr>
              <w:pStyle w:val="Tabletext"/>
              <w:spacing w:before="20" w:after="20"/>
              <w:rPr>
                <w:sz w:val="22"/>
                <w:lang w:val="ru-RU"/>
              </w:rPr>
            </w:pPr>
          </w:p>
        </w:tc>
        <w:tc>
          <w:tcPr>
            <w:tcW w:w="785" w:type="pct"/>
            <w:shd w:val="clear" w:color="auto" w:fill="00B050"/>
            <w:tcMar>
              <w:left w:w="0" w:type="dxa"/>
              <w:right w:w="0" w:type="dxa"/>
            </w:tcMar>
            <w:vAlign w:val="center"/>
          </w:tcPr>
          <w:p w14:paraId="706E9B33" w14:textId="77777777" w:rsidR="00336F1A" w:rsidRPr="00D25812" w:rsidRDefault="00336F1A" w:rsidP="00F23AAB">
            <w:pPr>
              <w:pStyle w:val="Tabletext"/>
              <w:spacing w:before="20" w:after="20"/>
              <w:rPr>
                <w:sz w:val="22"/>
                <w:lang w:val="ru-RU"/>
              </w:rPr>
            </w:pPr>
          </w:p>
        </w:tc>
        <w:tc>
          <w:tcPr>
            <w:tcW w:w="697" w:type="pct"/>
            <w:shd w:val="clear" w:color="auto" w:fill="00B050"/>
            <w:tcMar>
              <w:left w:w="0" w:type="dxa"/>
              <w:right w:w="0" w:type="dxa"/>
            </w:tcMar>
            <w:vAlign w:val="center"/>
          </w:tcPr>
          <w:p w14:paraId="5E44E9FD" w14:textId="77777777" w:rsidR="00336F1A" w:rsidRPr="00D25812" w:rsidRDefault="00336F1A" w:rsidP="00F23AAB">
            <w:pPr>
              <w:pStyle w:val="Tabletext"/>
              <w:spacing w:before="20" w:after="20"/>
              <w:rPr>
                <w:sz w:val="22"/>
                <w:lang w:val="ru-RU"/>
              </w:rPr>
            </w:pPr>
          </w:p>
        </w:tc>
        <w:tc>
          <w:tcPr>
            <w:tcW w:w="632" w:type="pct"/>
            <w:shd w:val="clear" w:color="auto" w:fill="00B050"/>
            <w:tcMar>
              <w:left w:w="0" w:type="dxa"/>
              <w:right w:w="0" w:type="dxa"/>
            </w:tcMar>
            <w:vAlign w:val="center"/>
          </w:tcPr>
          <w:p w14:paraId="14D16F7F" w14:textId="77777777" w:rsidR="00336F1A" w:rsidRPr="00D25812" w:rsidRDefault="00336F1A" w:rsidP="00F23AAB">
            <w:pPr>
              <w:pStyle w:val="Tabletext"/>
              <w:spacing w:before="20" w:after="20"/>
              <w:rPr>
                <w:sz w:val="22"/>
                <w:lang w:val="ru-RU"/>
              </w:rPr>
            </w:pPr>
          </w:p>
        </w:tc>
        <w:tc>
          <w:tcPr>
            <w:tcW w:w="620" w:type="pct"/>
            <w:shd w:val="clear" w:color="auto" w:fill="00B050"/>
            <w:tcMar>
              <w:left w:w="0" w:type="dxa"/>
              <w:right w:w="0" w:type="dxa"/>
            </w:tcMar>
            <w:vAlign w:val="center"/>
          </w:tcPr>
          <w:p w14:paraId="41AF13C8" w14:textId="77777777" w:rsidR="00336F1A" w:rsidRPr="00D25812" w:rsidRDefault="00336F1A" w:rsidP="00F23AAB">
            <w:pPr>
              <w:pStyle w:val="Tabletext"/>
              <w:spacing w:before="20" w:after="20"/>
              <w:rPr>
                <w:sz w:val="22"/>
                <w:lang w:val="ru-RU"/>
              </w:rPr>
            </w:pPr>
          </w:p>
        </w:tc>
      </w:tr>
    </w:tbl>
    <w:p w14:paraId="7827A981" w14:textId="4D9F7214" w:rsidR="00336F1A" w:rsidRPr="00D25812" w:rsidRDefault="00336F1A" w:rsidP="00336F1A">
      <w:pPr>
        <w:rPr>
          <w:lang w:val="ru-RU"/>
        </w:rPr>
      </w:pPr>
      <w:r w:rsidRPr="00D25812">
        <w:rPr>
          <w:lang w:val="ru-RU"/>
        </w:rPr>
        <w:t>10</w:t>
      </w:r>
      <w:r w:rsidRPr="00D25812">
        <w:rPr>
          <w:lang w:val="ru-RU"/>
        </w:rPr>
        <w:tab/>
        <w:t>В итоге:</w:t>
      </w:r>
    </w:p>
    <w:p w14:paraId="249EC203" w14:textId="77777777" w:rsidR="00336F1A" w:rsidRPr="00D25812" w:rsidRDefault="00336F1A" w:rsidP="00336F1A">
      <w:pPr>
        <w:pStyle w:val="enumlev1"/>
        <w:rPr>
          <w:lang w:val="ru-RU"/>
        </w:rPr>
      </w:pPr>
      <w:r w:rsidRPr="00D25812">
        <w:rPr>
          <w:lang w:val="ru-RU"/>
        </w:rPr>
        <w:t>•</w:t>
      </w:r>
      <w:r w:rsidRPr="00D25812">
        <w:rPr>
          <w:lang w:val="ru-RU"/>
        </w:rPr>
        <w:tab/>
        <w:t>управление в 9 областях признано достаточно адекватным;</w:t>
      </w:r>
    </w:p>
    <w:p w14:paraId="7985A236" w14:textId="77777777" w:rsidR="00336F1A" w:rsidRPr="00D25812" w:rsidRDefault="00336F1A" w:rsidP="00336F1A">
      <w:pPr>
        <w:pStyle w:val="enumlev1"/>
        <w:rPr>
          <w:lang w:val="ru-RU"/>
        </w:rPr>
      </w:pPr>
      <w:r w:rsidRPr="00D25812">
        <w:rPr>
          <w:lang w:val="ru-RU"/>
        </w:rPr>
        <w:t>•</w:t>
      </w:r>
      <w:r w:rsidRPr="00D25812">
        <w:rPr>
          <w:lang w:val="ru-RU"/>
        </w:rPr>
        <w:tab/>
        <w:t>оценка рисков признана достаточно адекватной по 7 областям;</w:t>
      </w:r>
    </w:p>
    <w:p w14:paraId="16ACE981" w14:textId="77777777" w:rsidR="00336F1A" w:rsidRPr="00D25812" w:rsidRDefault="00336F1A" w:rsidP="00336F1A">
      <w:pPr>
        <w:pStyle w:val="enumlev1"/>
        <w:rPr>
          <w:lang w:val="ru-RU"/>
        </w:rPr>
      </w:pPr>
      <w:r w:rsidRPr="00D25812">
        <w:rPr>
          <w:lang w:val="ru-RU"/>
        </w:rPr>
        <w:t>•</w:t>
      </w:r>
      <w:r w:rsidRPr="00D25812">
        <w:rPr>
          <w:lang w:val="ru-RU"/>
        </w:rPr>
        <w:tab/>
        <w:t>информация и коммуникация является адекватной в 11 областях;</w:t>
      </w:r>
    </w:p>
    <w:p w14:paraId="0286C552" w14:textId="77777777" w:rsidR="00336F1A" w:rsidRPr="00D25812" w:rsidRDefault="00336F1A" w:rsidP="00336F1A">
      <w:pPr>
        <w:pStyle w:val="enumlev1"/>
        <w:rPr>
          <w:lang w:val="ru-RU"/>
        </w:rPr>
      </w:pPr>
      <w:r w:rsidRPr="00D25812">
        <w:rPr>
          <w:lang w:val="ru-RU"/>
        </w:rPr>
        <w:t>•</w:t>
      </w:r>
      <w:r w:rsidRPr="00D25812">
        <w:rPr>
          <w:lang w:val="ru-RU"/>
        </w:rPr>
        <w:tab/>
        <w:t>механизмы внутреннего контроля эффективны только в 7 областях;</w:t>
      </w:r>
    </w:p>
    <w:p w14:paraId="074C8AE6" w14:textId="77777777" w:rsidR="00336F1A" w:rsidRPr="00D25812" w:rsidRDefault="00336F1A" w:rsidP="00336F1A">
      <w:pPr>
        <w:pStyle w:val="enumlev1"/>
        <w:rPr>
          <w:lang w:val="ru-RU"/>
        </w:rPr>
      </w:pPr>
      <w:r w:rsidRPr="00D25812">
        <w:rPr>
          <w:lang w:val="ru-RU"/>
        </w:rPr>
        <w:t>•</w:t>
      </w:r>
      <w:r w:rsidRPr="00D25812">
        <w:rPr>
          <w:lang w:val="ru-RU"/>
        </w:rPr>
        <w:tab/>
        <w:t>деятельность по мониторингу признана адекватной для 11 областей;</w:t>
      </w:r>
    </w:p>
    <w:p w14:paraId="1E793E33" w14:textId="77777777" w:rsidR="00336F1A" w:rsidRPr="00D25812" w:rsidRDefault="00336F1A" w:rsidP="00336F1A">
      <w:pPr>
        <w:pStyle w:val="enumlev1"/>
        <w:rPr>
          <w:lang w:val="ru-RU"/>
        </w:rPr>
      </w:pPr>
      <w:r w:rsidRPr="00D25812">
        <w:rPr>
          <w:lang w:val="ru-RU"/>
        </w:rPr>
        <w:t>•</w:t>
      </w:r>
      <w:r w:rsidRPr="00D25812">
        <w:rPr>
          <w:lang w:val="ru-RU"/>
        </w:rPr>
        <w:tab/>
        <w:t>соблюдение ЦУР, экологических аспектов и аспектов гендерного равенства является адекватным в 9 областях.</w:t>
      </w:r>
    </w:p>
    <w:p w14:paraId="2C53EE2E" w14:textId="3934FB7E" w:rsidR="00336F1A" w:rsidRPr="00D25812" w:rsidRDefault="00336F1A" w:rsidP="00336F1A">
      <w:pPr>
        <w:rPr>
          <w:lang w:val="ru-RU"/>
        </w:rPr>
      </w:pPr>
      <w:r w:rsidRPr="00D25812">
        <w:rPr>
          <w:lang w:val="ru-RU"/>
        </w:rPr>
        <w:t>11</w:t>
      </w:r>
      <w:r w:rsidRPr="00D25812">
        <w:rPr>
          <w:lang w:val="ru-RU"/>
        </w:rPr>
        <w:tab/>
        <w:t>Заключительный отчет об аудите, содержащий 39 рекомендаций (одна имеет "критически важный" приоритет, девять "высокий", 19 "средний" и 10 "низкий") и официальные комментарии руководству, был направлен Генеральному секретарю 11 июля 2023 года. Руководство в целом согласилось с предлагаемыми рекомендациями по итогам аудиторской проверки.</w:t>
      </w:r>
    </w:p>
    <w:p w14:paraId="2AE52621" w14:textId="40A0E046" w:rsidR="00336F1A" w:rsidRPr="00D25812" w:rsidRDefault="00336F1A" w:rsidP="00336F1A">
      <w:pPr>
        <w:pStyle w:val="Headingi"/>
        <w:rPr>
          <w:rFonts w:asciiTheme="minorHAnsi" w:hAnsiTheme="minorHAnsi"/>
          <w:b/>
          <w:bCs/>
          <w:iCs/>
          <w:lang w:val="ru-RU"/>
        </w:rPr>
      </w:pPr>
      <w:r w:rsidRPr="00D25812">
        <w:rPr>
          <w:rFonts w:asciiTheme="minorHAnsi" w:hAnsiTheme="minorHAnsi"/>
          <w:b/>
          <w:bCs/>
          <w:iCs/>
          <w:lang w:val="ru-RU"/>
        </w:rPr>
        <w:lastRenderedPageBreak/>
        <w:t>B</w:t>
      </w:r>
      <w:r w:rsidRPr="00D25812">
        <w:rPr>
          <w:rFonts w:asciiTheme="minorHAnsi" w:hAnsiTheme="minorHAnsi"/>
          <w:b/>
          <w:bCs/>
          <w:iCs/>
          <w:lang w:val="ru-RU"/>
        </w:rPr>
        <w:tab/>
        <w:t>Заявки на регистрацию спутниковых сетей (SNF)</w:t>
      </w:r>
    </w:p>
    <w:p w14:paraId="33F47FCA" w14:textId="51B89783" w:rsidR="00336F1A" w:rsidRPr="00D25812" w:rsidRDefault="00336F1A" w:rsidP="00336F1A">
      <w:pPr>
        <w:rPr>
          <w:lang w:val="ru-RU"/>
        </w:rPr>
      </w:pPr>
      <w:r w:rsidRPr="00D25812">
        <w:rPr>
          <w:lang w:val="ru-RU"/>
        </w:rPr>
        <w:t>12</w:t>
      </w:r>
      <w:r w:rsidRPr="00D25812">
        <w:rPr>
          <w:lang w:val="ru-RU"/>
        </w:rPr>
        <w:tab/>
        <w:t>ПН провело аудит процедур подачи заявок на регистрацию спутниковых сетей (SNF). Проверка охватывала период с 1 января 2019 года по 31 декабря 2022 года и включала в себя общие процедуры представления заявок на регистрацию спутниковых сетей, возмещения затрат и выставления счетов за непланируемые и планируемые услуги.</w:t>
      </w:r>
    </w:p>
    <w:p w14:paraId="45D748A1" w14:textId="31996CFC" w:rsidR="00336F1A" w:rsidRPr="00D25812" w:rsidRDefault="00336F1A" w:rsidP="00336F1A">
      <w:pPr>
        <w:rPr>
          <w:lang w:val="ru-RU"/>
        </w:rPr>
      </w:pPr>
      <w:r w:rsidRPr="00D25812">
        <w:rPr>
          <w:lang w:val="ru-RU"/>
        </w:rPr>
        <w:t>13</w:t>
      </w:r>
      <w:r w:rsidRPr="00D25812">
        <w:rPr>
          <w:lang w:val="ru-RU"/>
        </w:rPr>
        <w:tab/>
        <w:t>ПН выявило, что, хотя структура SNF обладает рядом преимуществ в определенных областях управления и контроля, необходимы существенные усовершенствования для снижения рисков и повышения эффективности деятельности организации и ее соответствия требованиям. Аудиторская проверка выявила недостатки в руководстве, управлении рисками и механизмах внутреннего контроля, относящихся к процессу SNF, в частности в области подотчетности, управления рисками и эффективности контроля. Несмотря на то что были признаны адекватными определенные аспекты, такие как нормативно-правовая база, профессиональная добросовестность и уровень укомплектованности штата, имеются также и серьезные проблемы, такие как недостаточная подотчетность, неэффективное управление рисками и частично эффективная деятельность по контролю. Из-за этих недостатков возникают трудности. В частности, вызывает обеспокоенность в отношении финансовой стабильности и стратегических целей организации снижение финансовых показателей, касающихся SNF, вкупе с невозможностью эффективного бюджетирования доходов, связанных с SNF.</w:t>
      </w:r>
    </w:p>
    <w:p w14:paraId="6F0A1B52" w14:textId="65F6C4B4" w:rsidR="00336F1A" w:rsidRPr="00D25812" w:rsidRDefault="00336F1A" w:rsidP="00336F1A">
      <w:pPr>
        <w:rPr>
          <w:lang w:val="ru-RU"/>
        </w:rPr>
      </w:pPr>
      <w:r w:rsidRPr="00D25812">
        <w:rPr>
          <w:lang w:val="ru-RU"/>
        </w:rPr>
        <w:t>14</w:t>
      </w:r>
      <w:r w:rsidRPr="00D25812">
        <w:rPr>
          <w:lang w:val="ru-RU"/>
        </w:rPr>
        <w:tab/>
        <w:t>Заключительный отчет об аудиторской проверке был распространен и обсужден с соответствующими должностными лицами БР и Генерального секретариата. Отчет, содержащий 12 рекомендаций по усовершенствованию руководства, управления рисками и механизмов внутреннего контроля применительно к процессу SNF, был направлен Генеральному секретарю 22 марта 2024 года. Руководство в целом согласилось с предлагаемыми рекомендациями по итогам аудиторской проверки.</w:t>
      </w:r>
    </w:p>
    <w:p w14:paraId="71C6FE3D" w14:textId="70275A91" w:rsidR="00336F1A" w:rsidRPr="00D25812" w:rsidRDefault="00336F1A" w:rsidP="00336F1A">
      <w:pPr>
        <w:pStyle w:val="Headingi"/>
        <w:rPr>
          <w:rFonts w:asciiTheme="minorHAnsi" w:hAnsiTheme="minorHAnsi"/>
          <w:b/>
          <w:bCs/>
          <w:iCs/>
          <w:lang w:val="ru-RU"/>
        </w:rPr>
      </w:pPr>
      <w:r w:rsidRPr="00D25812">
        <w:rPr>
          <w:rFonts w:asciiTheme="minorHAnsi" w:hAnsiTheme="minorHAnsi"/>
          <w:b/>
          <w:bCs/>
          <w:iCs/>
          <w:lang w:val="ru-RU"/>
        </w:rPr>
        <w:t>C</w:t>
      </w:r>
      <w:r w:rsidRPr="00D25812">
        <w:rPr>
          <w:rFonts w:asciiTheme="minorHAnsi" w:hAnsiTheme="minorHAnsi"/>
          <w:b/>
          <w:bCs/>
          <w:iCs/>
          <w:lang w:val="ru-RU"/>
        </w:rPr>
        <w:tab/>
        <w:t>Закупки</w:t>
      </w:r>
    </w:p>
    <w:p w14:paraId="7A146843" w14:textId="27F6EFC2" w:rsidR="00336F1A" w:rsidRPr="00D25812" w:rsidRDefault="00336F1A" w:rsidP="00336F1A">
      <w:pPr>
        <w:rPr>
          <w:lang w:val="ru-RU"/>
        </w:rPr>
      </w:pPr>
      <w:r w:rsidRPr="00D25812">
        <w:rPr>
          <w:lang w:val="ru-RU"/>
        </w:rPr>
        <w:t>15</w:t>
      </w:r>
      <w:r w:rsidRPr="00D25812">
        <w:rPr>
          <w:lang w:val="ru-RU"/>
        </w:rPr>
        <w:tab/>
        <w:t>ПН провело аудиторскую проверку закупочной деятельности, охватившую период с 1</w:t>
      </w:r>
      <w:r w:rsidR="006C43D3" w:rsidRPr="00D25812">
        <w:rPr>
          <w:lang w:val="ru-RU"/>
        </w:rPr>
        <w:t> </w:t>
      </w:r>
      <w:r w:rsidRPr="00D25812">
        <w:rPr>
          <w:lang w:val="ru-RU"/>
        </w:rPr>
        <w:t>января 2021 года по 30 июня 2023 года. В ходе аудита оценивалась эффективность, действенность и соответствие процессов/функций установленным требованиям, что обеспечивало их согласованность с целями МСЭ и приверженность принципам прозрачности и подотчетности.</w:t>
      </w:r>
    </w:p>
    <w:p w14:paraId="7BF0C726" w14:textId="30CA6BAE" w:rsidR="00336F1A" w:rsidRPr="00D25812" w:rsidRDefault="00336F1A" w:rsidP="00336F1A">
      <w:pPr>
        <w:rPr>
          <w:lang w:val="ru-RU"/>
        </w:rPr>
      </w:pPr>
      <w:r w:rsidRPr="00D25812">
        <w:rPr>
          <w:lang w:val="ru-RU"/>
        </w:rPr>
        <w:t>16</w:t>
      </w:r>
      <w:r w:rsidRPr="00D25812">
        <w:rPr>
          <w:lang w:val="ru-RU"/>
        </w:rPr>
        <w:tab/>
        <w:t>ПН полагает, что несмотря на наличие четкой и последовательной структуры закупок, сохраняются недостатки на уровне управления и стратегическом уровне. Выявлены недочеты в области управления рисками, в том числе управления рисками мошенничества, которые требуют существенных усовершенствований для эффективного решения проблемы уязвимости перед рисками. На оперативном уровне отмечается эффективность в ряде аспектов закупочной деятельности и процессов закупок. Вместе с тем отсутствуют механизмы проверки второй очереди и мониторинга соответствия во всех видах закупочной деятельности.</w:t>
      </w:r>
    </w:p>
    <w:p w14:paraId="5F1503E6" w14:textId="30F2CC25" w:rsidR="00336F1A" w:rsidRPr="00D25812" w:rsidRDefault="00336F1A" w:rsidP="00336F1A">
      <w:pPr>
        <w:rPr>
          <w:lang w:val="ru-RU"/>
        </w:rPr>
      </w:pPr>
      <w:r w:rsidRPr="00D25812">
        <w:rPr>
          <w:lang w:val="ru-RU"/>
        </w:rPr>
        <w:t>17</w:t>
      </w:r>
      <w:r w:rsidRPr="00D25812">
        <w:rPr>
          <w:lang w:val="ru-RU"/>
        </w:rPr>
        <w:tab/>
        <w:t>Заключительный отчет об аудиторской проверке был распространен и обсужден с соответствующими должностными лицами Отдела закупок и других профильных департаментов Генерального секретариата. Отчет, содержащий 15 рекомендаций по усовершенствованию руководства, управления рисками и механизмов внутреннего контроля применительно к процессу закупок, был направлен Генеральному секретарю 3 апреля 2024</w:t>
      </w:r>
      <w:r w:rsidR="006C43D3" w:rsidRPr="00D25812">
        <w:rPr>
          <w:lang w:val="ru-RU"/>
        </w:rPr>
        <w:t> </w:t>
      </w:r>
      <w:r w:rsidRPr="00D25812">
        <w:rPr>
          <w:lang w:val="ru-RU"/>
        </w:rPr>
        <w:t>года. Руководство в целом согласилось с предлагаемыми рекомендациями аудиторской проверки, хотя было заявлено о невозможности выполнить три из этих рекомендаций по причине нехватки ресурсов в условиях нынешнего штатного расписания Отдела закупок.</w:t>
      </w:r>
    </w:p>
    <w:p w14:paraId="44437B93" w14:textId="53A16827" w:rsidR="00336F1A" w:rsidRPr="00D25812" w:rsidRDefault="00336F1A" w:rsidP="00336F1A">
      <w:pPr>
        <w:pStyle w:val="Headingi"/>
        <w:rPr>
          <w:rFonts w:asciiTheme="minorHAnsi" w:hAnsiTheme="minorHAnsi"/>
          <w:b/>
          <w:bCs/>
          <w:iCs/>
          <w:lang w:val="ru-RU"/>
        </w:rPr>
      </w:pPr>
      <w:r w:rsidRPr="00D25812">
        <w:rPr>
          <w:rFonts w:asciiTheme="minorHAnsi" w:hAnsiTheme="minorHAnsi"/>
          <w:b/>
          <w:bCs/>
          <w:iCs/>
          <w:lang w:val="ru-RU"/>
        </w:rPr>
        <w:lastRenderedPageBreak/>
        <w:t>D</w:t>
      </w:r>
      <w:r w:rsidRPr="00D25812">
        <w:rPr>
          <w:rFonts w:asciiTheme="minorHAnsi" w:hAnsiTheme="minorHAnsi"/>
          <w:b/>
          <w:bCs/>
          <w:iCs/>
          <w:lang w:val="ru-RU"/>
        </w:rPr>
        <w:tab/>
        <w:t>Гендерное равенство и учет гендерных факторов в МСЭ</w:t>
      </w:r>
    </w:p>
    <w:p w14:paraId="6BE89B41" w14:textId="3BFFB0B5" w:rsidR="00336F1A" w:rsidRPr="00D25812" w:rsidRDefault="00336F1A" w:rsidP="00336F1A">
      <w:pPr>
        <w:rPr>
          <w:lang w:val="ru-RU"/>
        </w:rPr>
      </w:pPr>
      <w:r w:rsidRPr="00D25812">
        <w:rPr>
          <w:lang w:val="ru-RU"/>
        </w:rPr>
        <w:t>18</w:t>
      </w:r>
      <w:r w:rsidRPr="00D25812">
        <w:rPr>
          <w:lang w:val="ru-RU"/>
        </w:rPr>
        <w:tab/>
        <w:t>ПН провело в МСЭ аудиторскую проверку реализуемых мер по достижению гендерного равенства и учету гендерных аспектов (GEM), которая охватывала период с 1</w:t>
      </w:r>
      <w:r w:rsidR="006C43D3" w:rsidRPr="00D25812">
        <w:rPr>
          <w:lang w:val="ru-RU"/>
        </w:rPr>
        <w:t> </w:t>
      </w:r>
      <w:r w:rsidRPr="00D25812">
        <w:rPr>
          <w:lang w:val="ru-RU"/>
        </w:rPr>
        <w:t>января 2018 года по 31 августа 2023 года. Проведение этого аудита было обусловлено необходимостью выполнения требований критерия ОСПД ООН 2.0, который предусматривает регулярные аудиторские проверки с учетом гендерных аспектов.</w:t>
      </w:r>
    </w:p>
    <w:p w14:paraId="5598F92F" w14:textId="5B2AEC5D" w:rsidR="00336F1A" w:rsidRPr="00D25812" w:rsidRDefault="00336F1A" w:rsidP="00336F1A">
      <w:pPr>
        <w:rPr>
          <w:lang w:val="ru-RU"/>
        </w:rPr>
      </w:pPr>
      <w:r w:rsidRPr="00D25812">
        <w:rPr>
          <w:lang w:val="ru-RU"/>
        </w:rPr>
        <w:t>19</w:t>
      </w:r>
      <w:r w:rsidRPr="00D25812">
        <w:rPr>
          <w:lang w:val="ru-RU"/>
        </w:rPr>
        <w:tab/>
        <w:t>ПН полагает, что, хотя руководство МСЭ придает все большее значение работе по достижению гендерного равенства и учету гендерных аспектов, что подтверждается усилиями по сотрудничеству и координации, имеются пробелы в достижении соответствия утвержденному Руководящей координационной группой Плану реализации (основанному на ОСПД ООН 2.0 при дополнительной поддержке Резолюции 70 ПК). Наблюдаются недочеты в управлении рисками, особенно связанные с представлением отчетов и выявлением рисков в отношении финансового отслеживания/прогресса в осуществлении мер по гендерной проблематике. Частично адекватными были признаны некоторые аспекты управления и механизмы внутреннего контроля, такие как официальное внутреннее распространение пересмотренной гендерной политики и недавнее исследование по оценке потенциала; однако необходимо усовершенствование и рассмотрение вопросов, касающихся состава и обязанностей координаторов по гендерным вопросам, целей гендерного паритета, а также подотчетности всех ключевых заинтересованных сторон в процессе реализации GEM. Аудиторская проверка выявила, что нехватка ресурсов (как финансовых, так и людских) создает реальные препятствия для нынешнего прогресса МСЭ в достижении гендерных целей, изложенных в плане осуществления принципа гендерного равенства.</w:t>
      </w:r>
    </w:p>
    <w:p w14:paraId="689C618E" w14:textId="49907B2C" w:rsidR="00336F1A" w:rsidRPr="00D25812" w:rsidRDefault="00336F1A" w:rsidP="00336F1A">
      <w:pPr>
        <w:rPr>
          <w:lang w:val="ru-RU"/>
        </w:rPr>
      </w:pPr>
      <w:r w:rsidRPr="00D25812">
        <w:rPr>
          <w:lang w:val="ru-RU"/>
        </w:rPr>
        <w:t>20</w:t>
      </w:r>
      <w:r w:rsidRPr="00D25812">
        <w:rPr>
          <w:lang w:val="ru-RU"/>
        </w:rPr>
        <w:tab/>
        <w:t>Заключительный отчет об аудиторской проверке был распространен и обсужден с соответствующими должностными лицами профильных департаментов Генерального секретариата. Отчет содержит 10 рекомендаций, пять из которых ПН относит к категории, имеющей высокий приоритет, а именно: i) задачи в области работы, связанной с гендерными вопросами, для всех сотрудников; ii) развитие потенциала и профессиональная подготовка; iii)</w:t>
      </w:r>
      <w:r w:rsidR="006C43D3" w:rsidRPr="00D25812">
        <w:rPr>
          <w:lang w:val="ru-RU"/>
        </w:rPr>
        <w:t> </w:t>
      </w:r>
      <w:r w:rsidRPr="00D25812">
        <w:rPr>
          <w:lang w:val="ru-RU"/>
        </w:rPr>
        <w:t>функции и обязанности координаторов по гендерным вопросам; iv) финансовые целевые показатели гендерного равенства и их учет в бюджетах; v) выявление и снижение рисков, связанных с планом осуществления принципа гендерного равенства. Руководство в целом согласилось с предлагаемыми рекомендациями аудиторской проверки, хотя было заявлено о невозможности выполнить некоторые из этих рекомендаций по причине нехватки ресурсов в условиях нынешнего бюджета и штатного расписания.</w:t>
      </w:r>
    </w:p>
    <w:p w14:paraId="52576A7D" w14:textId="77777777" w:rsidR="00336F1A" w:rsidRPr="00D25812" w:rsidRDefault="00336F1A" w:rsidP="00336F1A">
      <w:pPr>
        <w:pStyle w:val="Heading1"/>
        <w:rPr>
          <w:lang w:val="ru-RU"/>
        </w:rPr>
      </w:pPr>
      <w:r w:rsidRPr="00D25812">
        <w:rPr>
          <w:lang w:val="ru-RU"/>
        </w:rPr>
        <w:t>Дополнительные задания</w:t>
      </w:r>
    </w:p>
    <w:p w14:paraId="7E9D1872" w14:textId="47B16616" w:rsidR="00336F1A" w:rsidRPr="00D25812" w:rsidRDefault="00336F1A" w:rsidP="00336F1A">
      <w:pPr>
        <w:pStyle w:val="Headingi"/>
        <w:rPr>
          <w:rFonts w:asciiTheme="minorHAnsi" w:hAnsiTheme="minorHAnsi"/>
          <w:b/>
          <w:bCs/>
          <w:iCs/>
          <w:lang w:val="ru-RU"/>
        </w:rPr>
      </w:pPr>
      <w:r w:rsidRPr="00D25812">
        <w:rPr>
          <w:rFonts w:asciiTheme="minorHAnsi" w:hAnsiTheme="minorHAnsi"/>
          <w:b/>
          <w:bCs/>
          <w:iCs/>
          <w:lang w:val="ru-RU"/>
        </w:rPr>
        <w:t>A</w:t>
      </w:r>
      <w:r w:rsidRPr="00D25812">
        <w:rPr>
          <w:rFonts w:asciiTheme="minorHAnsi" w:hAnsiTheme="minorHAnsi"/>
          <w:b/>
          <w:bCs/>
          <w:iCs/>
          <w:lang w:val="ru-RU"/>
        </w:rPr>
        <w:tab/>
        <w:t>Оценка АСХИ</w:t>
      </w:r>
    </w:p>
    <w:p w14:paraId="6BBFC1DA" w14:textId="7BA634BA" w:rsidR="00336F1A" w:rsidRPr="00D25812" w:rsidRDefault="00336F1A" w:rsidP="00336F1A">
      <w:pPr>
        <w:rPr>
          <w:lang w:val="ru-RU"/>
        </w:rPr>
      </w:pPr>
      <w:r w:rsidRPr="00D25812">
        <w:rPr>
          <w:lang w:val="ru-RU"/>
        </w:rPr>
        <w:t>21</w:t>
      </w:r>
      <w:r w:rsidRPr="00D25812">
        <w:rPr>
          <w:lang w:val="ru-RU"/>
        </w:rPr>
        <w:tab/>
        <w:t>ПН выполнило задание по подтверждению достоверности ключевых элементов данных, которые были предоставлены актуарию МСЭ (AON) для оценки медицинского страхования сотрудников после выхода на пенсию (АСХИ). Запрос на это поручение был сформулирован руководителем Департамента управления финансовыми ресурсами с согласия Генерального секретаря МСЭ по инициативе Внешнего аудитора МСЭ в ходе аудиторской проверки финансовой отчетности МСЭ за 2022 год.</w:t>
      </w:r>
    </w:p>
    <w:p w14:paraId="367CAC86" w14:textId="3241C280" w:rsidR="00336F1A" w:rsidRPr="00D25812" w:rsidRDefault="00336F1A" w:rsidP="00336F1A">
      <w:pPr>
        <w:rPr>
          <w:lang w:val="ru-RU"/>
        </w:rPr>
      </w:pPr>
      <w:r w:rsidRPr="00D25812">
        <w:rPr>
          <w:lang w:val="ru-RU"/>
        </w:rPr>
        <w:t>22</w:t>
      </w:r>
      <w:r w:rsidRPr="00D25812">
        <w:rPr>
          <w:lang w:val="ru-RU"/>
        </w:rPr>
        <w:tab/>
        <w:t>В мае 2023 года ПН опубликовало отчет о выполнении задания по подтверждению достоверности и письмо руководству МСЭ, с тем чтобы довести до его сведения i) информацию об имеющихся недочетах в области контроля и ii) соответствующие рекомендации, которые позволят руководству МСЭ заручиться необходимыми подтверждениями достоверности в отношении мер контроля со стороны Внешнего аудитора МСЭ для будущих аудиторских проверок на конец года.</w:t>
      </w:r>
    </w:p>
    <w:p w14:paraId="67F372E9" w14:textId="1FCF76F4" w:rsidR="00336F1A" w:rsidRPr="00D25812" w:rsidRDefault="00336F1A" w:rsidP="00336F1A">
      <w:pPr>
        <w:rPr>
          <w:lang w:val="ru-RU"/>
        </w:rPr>
      </w:pPr>
      <w:r w:rsidRPr="00D25812">
        <w:rPr>
          <w:lang w:val="ru-RU"/>
        </w:rPr>
        <w:lastRenderedPageBreak/>
        <w:t>23</w:t>
      </w:r>
      <w:r w:rsidRPr="00D25812">
        <w:rPr>
          <w:lang w:val="ru-RU"/>
        </w:rPr>
        <w:tab/>
        <w:t>В феврале 2024 года ПН выполнило аналогичное задание в отношении финансовой отчетности МСЭ за 2023 год, однако с ограниченной сферой охвата, и предоставило необходимые подтверждения достоверности ключевых элементов данных, используемых для проверки АСХИ.</w:t>
      </w:r>
    </w:p>
    <w:p w14:paraId="018C3382" w14:textId="751328EF" w:rsidR="00336F1A" w:rsidRPr="00D25812" w:rsidRDefault="00336F1A" w:rsidP="00336F1A">
      <w:pPr>
        <w:pStyle w:val="Headingi"/>
        <w:rPr>
          <w:rFonts w:asciiTheme="minorHAnsi" w:hAnsiTheme="minorHAnsi"/>
          <w:b/>
          <w:bCs/>
          <w:iCs/>
          <w:lang w:val="ru-RU"/>
        </w:rPr>
      </w:pPr>
      <w:r w:rsidRPr="00D25812">
        <w:rPr>
          <w:rFonts w:asciiTheme="minorHAnsi" w:hAnsiTheme="minorHAnsi"/>
          <w:b/>
          <w:bCs/>
          <w:iCs/>
          <w:lang w:val="ru-RU"/>
        </w:rPr>
        <w:t>B</w:t>
      </w:r>
      <w:r w:rsidRPr="00D25812">
        <w:rPr>
          <w:rFonts w:asciiTheme="minorHAnsi" w:hAnsiTheme="minorHAnsi"/>
          <w:b/>
          <w:bCs/>
          <w:iCs/>
          <w:lang w:val="ru-RU"/>
        </w:rPr>
        <w:tab/>
        <w:t>Независимый обзор основных финансовых сумм и расширенных бюджетных потребностей, изложенных в Документе C23/7 о проекте строительства помещений штаб-квартиры</w:t>
      </w:r>
    </w:p>
    <w:p w14:paraId="7AA0B40D" w14:textId="7B163ECC" w:rsidR="00336F1A" w:rsidRPr="00D25812" w:rsidRDefault="00336F1A" w:rsidP="00336F1A">
      <w:pPr>
        <w:rPr>
          <w:lang w:val="ru-RU"/>
        </w:rPr>
      </w:pPr>
      <w:r w:rsidRPr="00D25812">
        <w:rPr>
          <w:lang w:val="ru-RU"/>
        </w:rPr>
        <w:t>24</w:t>
      </w:r>
      <w:r w:rsidRPr="00D25812">
        <w:rPr>
          <w:lang w:val="ru-RU"/>
        </w:rPr>
        <w:tab/>
        <w:t>В мае 2023 года Генеральный секретарь МСЭ обратился к ПН с просьбой провести независимый обзор основных финансовых сумм и повышенных бюджетных потребностей, изложенных в Документе C23/7.</w:t>
      </w:r>
    </w:p>
    <w:p w14:paraId="02284EEA" w14:textId="441CD965" w:rsidR="00336F1A" w:rsidRPr="00D25812" w:rsidRDefault="00336F1A" w:rsidP="00336F1A">
      <w:pPr>
        <w:rPr>
          <w:lang w:val="ru-RU"/>
        </w:rPr>
      </w:pPr>
      <w:r w:rsidRPr="00D25812">
        <w:rPr>
          <w:lang w:val="ru-RU"/>
        </w:rPr>
        <w:t>25</w:t>
      </w:r>
      <w:r w:rsidRPr="00D25812">
        <w:rPr>
          <w:lang w:val="ru-RU"/>
        </w:rPr>
        <w:tab/>
        <w:t>В ходе обзора были выявлены недочеты, связанные с бюджетированием и мониторингом расходов по проектам; управлением рисками; косвенными затратами по проекту; управлением и механизмами внутреннего контроля. Учитывая характер и рамки выполняемого поручения (обзор финансовых сумм в документе Совета), рекомендаций сформулировано не было. В конце июня 2023 года ПН предоставило заключительный отчет Генеральному секретарю.</w:t>
      </w:r>
    </w:p>
    <w:p w14:paraId="5F680D25" w14:textId="77777777" w:rsidR="00336F1A" w:rsidRPr="00D25812" w:rsidRDefault="00336F1A" w:rsidP="00336F1A">
      <w:pPr>
        <w:pStyle w:val="Heading1"/>
        <w:rPr>
          <w:lang w:val="ru-RU"/>
        </w:rPr>
      </w:pPr>
      <w:r w:rsidRPr="00D25812">
        <w:rPr>
          <w:lang w:val="ru-RU"/>
        </w:rPr>
        <w:t>Последующие меры в связи с рекомендациями по итогам внутреннего аудита</w:t>
      </w:r>
    </w:p>
    <w:p w14:paraId="35CD2FBE" w14:textId="4971155B" w:rsidR="00336F1A" w:rsidRPr="00D25812" w:rsidRDefault="00336F1A" w:rsidP="00336F1A">
      <w:pPr>
        <w:spacing w:after="120"/>
        <w:rPr>
          <w:lang w:val="ru-RU"/>
        </w:rPr>
      </w:pPr>
      <w:r w:rsidRPr="00D25812">
        <w:rPr>
          <w:lang w:val="ru-RU"/>
        </w:rPr>
        <w:t>26</w:t>
      </w:r>
      <w:r w:rsidRPr="00D25812">
        <w:rPr>
          <w:lang w:val="ru-RU"/>
        </w:rPr>
        <w:tab/>
        <w:t>На протяжении отчетного периода ПН продолжало отслеживать последующие меры, принятые по итогам рекомендаций, которые содержатся в предыдущих отчетах об аудите. Подразделение также регулярно участвовало в обсуждении результатов принимаемых последующих мер на собраниях с IMAC. Как отмечалось выше, сессии Совета 2024 года был представлен отдельный информационный документ, в котором были отражены последующие действия по итогам рекомендаций внутреннего аудита и судебно-бухгалтерской экспертизы. По состоянию на 31 марта 2024 года, как показано ниже, был отмечен дальнейший прогресс в выполнении рекомендаций по результатам внутреннего аудита.</w:t>
      </w:r>
    </w:p>
    <w:tbl>
      <w:tblPr>
        <w:tblW w:w="5000" w:type="pct"/>
        <w:tblLook w:val="04A0" w:firstRow="1" w:lastRow="0" w:firstColumn="1" w:lastColumn="0" w:noHBand="0" w:noVBand="1"/>
      </w:tblPr>
      <w:tblGrid>
        <w:gridCol w:w="2813"/>
        <w:gridCol w:w="697"/>
        <w:gridCol w:w="698"/>
        <w:gridCol w:w="698"/>
        <w:gridCol w:w="698"/>
        <w:gridCol w:w="698"/>
        <w:gridCol w:w="698"/>
        <w:gridCol w:w="698"/>
        <w:gridCol w:w="698"/>
        <w:gridCol w:w="655"/>
      </w:tblGrid>
      <w:tr w:rsidR="00336F1A" w:rsidRPr="00D25812" w14:paraId="1369F661" w14:textId="77777777" w:rsidTr="007D126F">
        <w:trPr>
          <w:trHeight w:val="300"/>
        </w:trPr>
        <w:tc>
          <w:tcPr>
            <w:tcW w:w="1554" w:type="pct"/>
            <w:tcBorders>
              <w:top w:val="single" w:sz="8" w:space="0" w:color="auto"/>
              <w:left w:val="single" w:sz="8" w:space="0" w:color="auto"/>
              <w:bottom w:val="nil"/>
              <w:right w:val="nil"/>
            </w:tcBorders>
            <w:shd w:val="clear" w:color="000000" w:fill="000000"/>
            <w:noWrap/>
            <w:vAlign w:val="center"/>
            <w:hideMark/>
          </w:tcPr>
          <w:p w14:paraId="5FEE2EC7" w14:textId="77777777" w:rsidR="00336F1A" w:rsidRPr="00D25812" w:rsidRDefault="00336F1A" w:rsidP="00336F1A">
            <w:pPr>
              <w:pStyle w:val="Tablehead"/>
              <w:rPr>
                <w:rFonts w:cs="Calibri"/>
                <w:color w:val="FFFFFF"/>
                <w:lang w:val="ru-RU"/>
              </w:rPr>
            </w:pPr>
            <w:r w:rsidRPr="00D25812">
              <w:rPr>
                <w:lang w:val="ru-RU"/>
              </w:rPr>
              <w:t>Ход выполнения рекомендаций IMAC</w:t>
            </w:r>
          </w:p>
        </w:tc>
        <w:tc>
          <w:tcPr>
            <w:tcW w:w="385" w:type="pct"/>
            <w:tcBorders>
              <w:top w:val="single" w:sz="8" w:space="0" w:color="auto"/>
              <w:left w:val="nil"/>
              <w:bottom w:val="nil"/>
              <w:right w:val="nil"/>
            </w:tcBorders>
            <w:shd w:val="clear" w:color="000000" w:fill="000000"/>
            <w:noWrap/>
            <w:vAlign w:val="center"/>
            <w:hideMark/>
          </w:tcPr>
          <w:p w14:paraId="4F856667" w14:textId="77777777" w:rsidR="00336F1A" w:rsidRPr="00D25812" w:rsidRDefault="00336F1A" w:rsidP="00336F1A">
            <w:pPr>
              <w:pStyle w:val="Tablehead"/>
              <w:spacing w:before="0"/>
              <w:ind w:left="-57" w:right="-57"/>
              <w:rPr>
                <w:rFonts w:cs="Calibri"/>
                <w:color w:val="FFFFFF"/>
                <w:lang w:val="ru-RU"/>
              </w:rPr>
            </w:pPr>
            <w:r w:rsidRPr="00D25812">
              <w:rPr>
                <w:lang w:val="ru-RU"/>
              </w:rPr>
              <w:t>2016 г.</w:t>
            </w:r>
          </w:p>
        </w:tc>
        <w:tc>
          <w:tcPr>
            <w:tcW w:w="386" w:type="pct"/>
            <w:tcBorders>
              <w:top w:val="single" w:sz="8" w:space="0" w:color="auto"/>
              <w:left w:val="nil"/>
              <w:bottom w:val="nil"/>
              <w:right w:val="nil"/>
            </w:tcBorders>
            <w:shd w:val="clear" w:color="000000" w:fill="000000"/>
            <w:noWrap/>
            <w:vAlign w:val="center"/>
            <w:hideMark/>
          </w:tcPr>
          <w:p w14:paraId="4BB65CA7" w14:textId="77777777" w:rsidR="00336F1A" w:rsidRPr="00D25812" w:rsidRDefault="00336F1A" w:rsidP="00336F1A">
            <w:pPr>
              <w:pStyle w:val="Tablehead"/>
              <w:spacing w:before="0"/>
              <w:ind w:left="-57" w:right="-57"/>
              <w:rPr>
                <w:rFonts w:cs="Calibri"/>
                <w:color w:val="FFFFFF"/>
                <w:lang w:val="ru-RU"/>
              </w:rPr>
            </w:pPr>
            <w:r w:rsidRPr="00D25812">
              <w:rPr>
                <w:lang w:val="ru-RU"/>
              </w:rPr>
              <w:t>2017 г.</w:t>
            </w:r>
          </w:p>
        </w:tc>
        <w:tc>
          <w:tcPr>
            <w:tcW w:w="386" w:type="pct"/>
            <w:tcBorders>
              <w:top w:val="single" w:sz="8" w:space="0" w:color="auto"/>
              <w:left w:val="nil"/>
              <w:bottom w:val="nil"/>
              <w:right w:val="nil"/>
            </w:tcBorders>
            <w:shd w:val="clear" w:color="000000" w:fill="000000"/>
            <w:noWrap/>
            <w:vAlign w:val="center"/>
            <w:hideMark/>
          </w:tcPr>
          <w:p w14:paraId="2E0D4757" w14:textId="77777777" w:rsidR="00336F1A" w:rsidRPr="00D25812" w:rsidRDefault="00336F1A" w:rsidP="00336F1A">
            <w:pPr>
              <w:pStyle w:val="Tablehead"/>
              <w:spacing w:before="0"/>
              <w:ind w:left="-57" w:right="-57"/>
              <w:rPr>
                <w:rFonts w:cs="Calibri"/>
                <w:color w:val="FFFFFF"/>
                <w:lang w:val="ru-RU"/>
              </w:rPr>
            </w:pPr>
            <w:r w:rsidRPr="00D25812">
              <w:rPr>
                <w:lang w:val="ru-RU"/>
              </w:rPr>
              <w:t>2018 г.</w:t>
            </w:r>
          </w:p>
        </w:tc>
        <w:tc>
          <w:tcPr>
            <w:tcW w:w="386" w:type="pct"/>
            <w:tcBorders>
              <w:top w:val="single" w:sz="8" w:space="0" w:color="auto"/>
              <w:left w:val="nil"/>
              <w:bottom w:val="nil"/>
              <w:right w:val="nil"/>
            </w:tcBorders>
            <w:shd w:val="clear" w:color="000000" w:fill="000000"/>
            <w:noWrap/>
            <w:vAlign w:val="center"/>
            <w:hideMark/>
          </w:tcPr>
          <w:p w14:paraId="4E7691D2" w14:textId="77777777" w:rsidR="00336F1A" w:rsidRPr="00D25812" w:rsidRDefault="00336F1A" w:rsidP="00336F1A">
            <w:pPr>
              <w:pStyle w:val="Tablehead"/>
              <w:spacing w:before="0"/>
              <w:ind w:left="-57" w:right="-57"/>
              <w:rPr>
                <w:rFonts w:cs="Calibri"/>
                <w:color w:val="FFFFFF"/>
                <w:lang w:val="ru-RU"/>
              </w:rPr>
            </w:pPr>
            <w:r w:rsidRPr="00D25812">
              <w:rPr>
                <w:lang w:val="ru-RU"/>
              </w:rPr>
              <w:t>2019 г.</w:t>
            </w:r>
          </w:p>
        </w:tc>
        <w:tc>
          <w:tcPr>
            <w:tcW w:w="386" w:type="pct"/>
            <w:tcBorders>
              <w:top w:val="single" w:sz="8" w:space="0" w:color="auto"/>
              <w:left w:val="nil"/>
              <w:bottom w:val="nil"/>
              <w:right w:val="nil"/>
            </w:tcBorders>
            <w:shd w:val="clear" w:color="000000" w:fill="000000"/>
            <w:noWrap/>
            <w:vAlign w:val="center"/>
            <w:hideMark/>
          </w:tcPr>
          <w:p w14:paraId="35C50E7D" w14:textId="77777777" w:rsidR="00336F1A" w:rsidRPr="00D25812" w:rsidRDefault="00336F1A" w:rsidP="00336F1A">
            <w:pPr>
              <w:pStyle w:val="Tablehead"/>
              <w:spacing w:before="0"/>
              <w:ind w:left="-57" w:right="-57"/>
              <w:rPr>
                <w:rFonts w:cs="Calibri"/>
                <w:color w:val="FFFFFF"/>
                <w:lang w:val="ru-RU"/>
              </w:rPr>
            </w:pPr>
            <w:r w:rsidRPr="00D25812">
              <w:rPr>
                <w:lang w:val="ru-RU"/>
              </w:rPr>
              <w:t>2020 г.</w:t>
            </w:r>
          </w:p>
        </w:tc>
        <w:tc>
          <w:tcPr>
            <w:tcW w:w="386" w:type="pct"/>
            <w:tcBorders>
              <w:top w:val="single" w:sz="8" w:space="0" w:color="auto"/>
              <w:left w:val="nil"/>
              <w:bottom w:val="nil"/>
              <w:right w:val="nil"/>
            </w:tcBorders>
            <w:shd w:val="clear" w:color="000000" w:fill="000000"/>
            <w:noWrap/>
            <w:vAlign w:val="center"/>
            <w:hideMark/>
          </w:tcPr>
          <w:p w14:paraId="63C9AC25" w14:textId="77777777" w:rsidR="00336F1A" w:rsidRPr="00D25812" w:rsidRDefault="00336F1A" w:rsidP="00336F1A">
            <w:pPr>
              <w:pStyle w:val="Tablehead"/>
              <w:spacing w:before="0"/>
              <w:ind w:left="-57" w:right="-57"/>
              <w:rPr>
                <w:rFonts w:cs="Calibri"/>
                <w:color w:val="FFFFFF"/>
                <w:lang w:val="ru-RU"/>
              </w:rPr>
            </w:pPr>
            <w:r w:rsidRPr="00D25812">
              <w:rPr>
                <w:lang w:val="ru-RU"/>
              </w:rPr>
              <w:t>2021 г.</w:t>
            </w:r>
          </w:p>
        </w:tc>
        <w:tc>
          <w:tcPr>
            <w:tcW w:w="386" w:type="pct"/>
            <w:tcBorders>
              <w:top w:val="single" w:sz="8" w:space="0" w:color="auto"/>
              <w:left w:val="nil"/>
              <w:bottom w:val="nil"/>
              <w:right w:val="nil"/>
            </w:tcBorders>
            <w:shd w:val="clear" w:color="000000" w:fill="000000"/>
            <w:noWrap/>
            <w:vAlign w:val="center"/>
            <w:hideMark/>
          </w:tcPr>
          <w:p w14:paraId="4ADE065F" w14:textId="77777777" w:rsidR="00336F1A" w:rsidRPr="00D25812" w:rsidRDefault="00336F1A" w:rsidP="00336F1A">
            <w:pPr>
              <w:pStyle w:val="Tablehead"/>
              <w:spacing w:before="0"/>
              <w:ind w:left="-57" w:right="-57"/>
              <w:rPr>
                <w:rFonts w:cs="Calibri"/>
                <w:color w:val="FFFFFF"/>
                <w:lang w:val="ru-RU"/>
              </w:rPr>
            </w:pPr>
            <w:r w:rsidRPr="00D25812">
              <w:rPr>
                <w:lang w:val="ru-RU"/>
              </w:rPr>
              <w:t>2022 г.</w:t>
            </w:r>
          </w:p>
        </w:tc>
        <w:tc>
          <w:tcPr>
            <w:tcW w:w="386" w:type="pct"/>
            <w:tcBorders>
              <w:top w:val="single" w:sz="8" w:space="0" w:color="auto"/>
              <w:left w:val="nil"/>
              <w:bottom w:val="nil"/>
              <w:right w:val="nil"/>
            </w:tcBorders>
            <w:shd w:val="clear" w:color="000000" w:fill="000000"/>
            <w:noWrap/>
            <w:vAlign w:val="center"/>
            <w:hideMark/>
          </w:tcPr>
          <w:p w14:paraId="42A738D0" w14:textId="77777777" w:rsidR="00336F1A" w:rsidRPr="00D25812" w:rsidRDefault="00336F1A" w:rsidP="00336F1A">
            <w:pPr>
              <w:pStyle w:val="Tablehead"/>
              <w:spacing w:before="0"/>
              <w:ind w:left="-57" w:right="-57"/>
              <w:rPr>
                <w:rFonts w:cs="Calibri"/>
                <w:color w:val="FFFFFF"/>
                <w:lang w:val="ru-RU"/>
              </w:rPr>
            </w:pPr>
            <w:r w:rsidRPr="00D25812">
              <w:rPr>
                <w:lang w:val="ru-RU"/>
              </w:rPr>
              <w:t>2023 г.</w:t>
            </w:r>
          </w:p>
        </w:tc>
        <w:tc>
          <w:tcPr>
            <w:tcW w:w="362" w:type="pct"/>
            <w:tcBorders>
              <w:top w:val="single" w:sz="8" w:space="0" w:color="auto"/>
              <w:left w:val="nil"/>
              <w:bottom w:val="nil"/>
              <w:right w:val="single" w:sz="8" w:space="0" w:color="auto"/>
            </w:tcBorders>
            <w:shd w:val="clear" w:color="000000" w:fill="000000"/>
            <w:noWrap/>
            <w:vAlign w:val="center"/>
            <w:hideMark/>
          </w:tcPr>
          <w:p w14:paraId="243B5649" w14:textId="77777777" w:rsidR="00336F1A" w:rsidRPr="00D25812" w:rsidRDefault="00336F1A" w:rsidP="00336F1A">
            <w:pPr>
              <w:pStyle w:val="Tablehead"/>
              <w:spacing w:before="0"/>
              <w:ind w:left="-57" w:right="-57"/>
              <w:rPr>
                <w:rFonts w:cs="Calibri"/>
                <w:color w:val="FFFFFF"/>
                <w:lang w:val="ru-RU"/>
              </w:rPr>
            </w:pPr>
            <w:r w:rsidRPr="00D25812">
              <w:rPr>
                <w:lang w:val="ru-RU"/>
              </w:rPr>
              <w:t xml:space="preserve">Всего </w:t>
            </w:r>
          </w:p>
        </w:tc>
      </w:tr>
      <w:tr w:rsidR="00336F1A" w:rsidRPr="00D25812" w14:paraId="7F9C0A03" w14:textId="77777777" w:rsidTr="007D126F">
        <w:trPr>
          <w:trHeight w:val="288"/>
        </w:trPr>
        <w:tc>
          <w:tcPr>
            <w:tcW w:w="1554" w:type="pct"/>
            <w:tcBorders>
              <w:top w:val="single" w:sz="8" w:space="0" w:color="auto"/>
              <w:left w:val="single" w:sz="8" w:space="0" w:color="auto"/>
              <w:bottom w:val="single" w:sz="4" w:space="0" w:color="auto"/>
              <w:right w:val="single" w:sz="4" w:space="0" w:color="auto"/>
            </w:tcBorders>
            <w:shd w:val="clear" w:color="auto" w:fill="auto"/>
            <w:noWrap/>
            <w:hideMark/>
          </w:tcPr>
          <w:p w14:paraId="631DA221" w14:textId="21771C31" w:rsidR="00336F1A" w:rsidRPr="00D25812" w:rsidRDefault="00336F1A" w:rsidP="00D47F77">
            <w:pPr>
              <w:pStyle w:val="Tabletext"/>
              <w:rPr>
                <w:rFonts w:cs="Calibri"/>
                <w:color w:val="000000"/>
                <w:lang w:val="ru-RU"/>
              </w:rPr>
            </w:pPr>
            <w:r w:rsidRPr="00D25812">
              <w:rPr>
                <w:lang w:val="ru-RU"/>
              </w:rPr>
              <w:t>Число отчетов/</w:t>
            </w:r>
            <w:r w:rsidR="00D25812">
              <w:rPr>
                <w:lang w:val="ru-RU"/>
              </w:rPr>
              <w:br/>
            </w:r>
            <w:r w:rsidRPr="00D25812">
              <w:rPr>
                <w:lang w:val="ru-RU"/>
              </w:rPr>
              <w:t>записок об аудите</w:t>
            </w:r>
          </w:p>
        </w:tc>
        <w:tc>
          <w:tcPr>
            <w:tcW w:w="385" w:type="pct"/>
            <w:tcBorders>
              <w:top w:val="single" w:sz="8" w:space="0" w:color="auto"/>
              <w:left w:val="nil"/>
              <w:bottom w:val="single" w:sz="4" w:space="0" w:color="auto"/>
              <w:right w:val="single" w:sz="4" w:space="0" w:color="auto"/>
            </w:tcBorders>
            <w:shd w:val="clear" w:color="auto" w:fill="auto"/>
            <w:noWrap/>
            <w:hideMark/>
          </w:tcPr>
          <w:p w14:paraId="02E1C35A" w14:textId="77777777" w:rsidR="00336F1A" w:rsidRPr="00D25812" w:rsidRDefault="00336F1A" w:rsidP="00D25812">
            <w:pPr>
              <w:pStyle w:val="Tabletext"/>
              <w:ind w:left="-57" w:right="-57"/>
              <w:jc w:val="right"/>
              <w:rPr>
                <w:rFonts w:cs="Calibri"/>
                <w:color w:val="000000"/>
                <w:lang w:val="ru-RU"/>
              </w:rPr>
            </w:pPr>
            <w:r w:rsidRPr="00D25812">
              <w:rPr>
                <w:lang w:val="ru-RU"/>
              </w:rPr>
              <w:t>4</w:t>
            </w:r>
          </w:p>
        </w:tc>
        <w:tc>
          <w:tcPr>
            <w:tcW w:w="386" w:type="pct"/>
            <w:tcBorders>
              <w:top w:val="single" w:sz="8" w:space="0" w:color="auto"/>
              <w:left w:val="nil"/>
              <w:bottom w:val="single" w:sz="4" w:space="0" w:color="auto"/>
              <w:right w:val="single" w:sz="4" w:space="0" w:color="auto"/>
            </w:tcBorders>
            <w:shd w:val="clear" w:color="auto" w:fill="auto"/>
            <w:noWrap/>
            <w:hideMark/>
          </w:tcPr>
          <w:p w14:paraId="2A1014BC" w14:textId="77777777" w:rsidR="00336F1A" w:rsidRPr="00D25812" w:rsidRDefault="00336F1A" w:rsidP="00D25812">
            <w:pPr>
              <w:pStyle w:val="Tabletext"/>
              <w:ind w:left="-57" w:right="-57"/>
              <w:jc w:val="right"/>
              <w:rPr>
                <w:rFonts w:cs="Calibri"/>
                <w:color w:val="000000"/>
                <w:lang w:val="ru-RU"/>
              </w:rPr>
            </w:pPr>
            <w:r w:rsidRPr="00D25812">
              <w:rPr>
                <w:lang w:val="ru-RU"/>
              </w:rPr>
              <w:t>6</w:t>
            </w:r>
          </w:p>
        </w:tc>
        <w:tc>
          <w:tcPr>
            <w:tcW w:w="386" w:type="pct"/>
            <w:tcBorders>
              <w:top w:val="single" w:sz="8" w:space="0" w:color="auto"/>
              <w:left w:val="nil"/>
              <w:bottom w:val="single" w:sz="4" w:space="0" w:color="auto"/>
              <w:right w:val="single" w:sz="4" w:space="0" w:color="auto"/>
            </w:tcBorders>
            <w:shd w:val="clear" w:color="auto" w:fill="auto"/>
            <w:noWrap/>
            <w:hideMark/>
          </w:tcPr>
          <w:p w14:paraId="45F83D40" w14:textId="77777777" w:rsidR="00336F1A" w:rsidRPr="00D25812" w:rsidRDefault="00336F1A" w:rsidP="00D25812">
            <w:pPr>
              <w:pStyle w:val="Tabletext"/>
              <w:ind w:left="-57" w:right="-57"/>
              <w:jc w:val="right"/>
              <w:rPr>
                <w:rFonts w:cs="Calibri"/>
                <w:color w:val="000000"/>
                <w:lang w:val="ru-RU"/>
              </w:rPr>
            </w:pPr>
            <w:r w:rsidRPr="00D25812">
              <w:rPr>
                <w:lang w:val="ru-RU"/>
              </w:rPr>
              <w:t>4</w:t>
            </w:r>
          </w:p>
        </w:tc>
        <w:tc>
          <w:tcPr>
            <w:tcW w:w="386" w:type="pct"/>
            <w:tcBorders>
              <w:top w:val="single" w:sz="8" w:space="0" w:color="auto"/>
              <w:left w:val="nil"/>
              <w:bottom w:val="single" w:sz="4" w:space="0" w:color="auto"/>
              <w:right w:val="single" w:sz="4" w:space="0" w:color="auto"/>
            </w:tcBorders>
            <w:shd w:val="clear" w:color="auto" w:fill="auto"/>
            <w:noWrap/>
            <w:hideMark/>
          </w:tcPr>
          <w:p w14:paraId="5F529FA2" w14:textId="77777777" w:rsidR="00336F1A" w:rsidRPr="00D25812" w:rsidRDefault="00336F1A" w:rsidP="00D25812">
            <w:pPr>
              <w:pStyle w:val="Tabletext"/>
              <w:ind w:left="-57" w:right="-57"/>
              <w:jc w:val="right"/>
              <w:rPr>
                <w:rFonts w:cs="Calibri"/>
                <w:color w:val="000000"/>
                <w:lang w:val="ru-RU"/>
              </w:rPr>
            </w:pPr>
            <w:r w:rsidRPr="00D25812">
              <w:rPr>
                <w:lang w:val="ru-RU"/>
              </w:rPr>
              <w:t>2</w:t>
            </w:r>
          </w:p>
        </w:tc>
        <w:tc>
          <w:tcPr>
            <w:tcW w:w="386" w:type="pct"/>
            <w:tcBorders>
              <w:top w:val="single" w:sz="8" w:space="0" w:color="auto"/>
              <w:left w:val="nil"/>
              <w:bottom w:val="single" w:sz="4" w:space="0" w:color="auto"/>
              <w:right w:val="single" w:sz="4" w:space="0" w:color="auto"/>
            </w:tcBorders>
            <w:shd w:val="clear" w:color="auto" w:fill="auto"/>
            <w:noWrap/>
            <w:hideMark/>
          </w:tcPr>
          <w:p w14:paraId="7FC2EC74" w14:textId="77777777" w:rsidR="00336F1A" w:rsidRPr="00D25812" w:rsidRDefault="00336F1A" w:rsidP="00D25812">
            <w:pPr>
              <w:pStyle w:val="Tabletext"/>
              <w:ind w:left="-57" w:right="-57"/>
              <w:jc w:val="right"/>
              <w:rPr>
                <w:rFonts w:cs="Calibri"/>
                <w:color w:val="000000"/>
                <w:lang w:val="ru-RU"/>
              </w:rPr>
            </w:pPr>
            <w:r w:rsidRPr="00D25812">
              <w:rPr>
                <w:lang w:val="ru-RU"/>
              </w:rPr>
              <w:t>2</w:t>
            </w:r>
          </w:p>
        </w:tc>
        <w:tc>
          <w:tcPr>
            <w:tcW w:w="386" w:type="pct"/>
            <w:tcBorders>
              <w:top w:val="single" w:sz="8" w:space="0" w:color="auto"/>
              <w:left w:val="nil"/>
              <w:bottom w:val="single" w:sz="4" w:space="0" w:color="auto"/>
              <w:right w:val="single" w:sz="4" w:space="0" w:color="auto"/>
            </w:tcBorders>
            <w:shd w:val="clear" w:color="auto" w:fill="auto"/>
            <w:noWrap/>
            <w:hideMark/>
          </w:tcPr>
          <w:p w14:paraId="73F61FD7" w14:textId="77777777" w:rsidR="00336F1A" w:rsidRPr="00D25812" w:rsidRDefault="00336F1A" w:rsidP="00D25812">
            <w:pPr>
              <w:pStyle w:val="Tabletext"/>
              <w:ind w:left="-57" w:right="-57"/>
              <w:jc w:val="right"/>
              <w:rPr>
                <w:rFonts w:cs="Calibri"/>
                <w:color w:val="000000"/>
                <w:lang w:val="ru-RU"/>
              </w:rPr>
            </w:pPr>
            <w:r w:rsidRPr="00D25812">
              <w:rPr>
                <w:lang w:val="ru-RU"/>
              </w:rPr>
              <w:t>2</w:t>
            </w:r>
          </w:p>
        </w:tc>
        <w:tc>
          <w:tcPr>
            <w:tcW w:w="386" w:type="pct"/>
            <w:tcBorders>
              <w:top w:val="single" w:sz="8" w:space="0" w:color="auto"/>
              <w:left w:val="nil"/>
              <w:bottom w:val="single" w:sz="4" w:space="0" w:color="auto"/>
              <w:right w:val="single" w:sz="4" w:space="0" w:color="auto"/>
            </w:tcBorders>
            <w:shd w:val="clear" w:color="auto" w:fill="auto"/>
            <w:noWrap/>
            <w:hideMark/>
          </w:tcPr>
          <w:p w14:paraId="44306521" w14:textId="77777777" w:rsidR="00336F1A" w:rsidRPr="00D25812" w:rsidRDefault="00336F1A" w:rsidP="00D25812">
            <w:pPr>
              <w:pStyle w:val="Tabletext"/>
              <w:ind w:left="-57" w:right="-57"/>
              <w:jc w:val="right"/>
              <w:rPr>
                <w:rFonts w:cs="Calibri"/>
                <w:color w:val="000000"/>
                <w:lang w:val="ru-RU"/>
              </w:rPr>
            </w:pPr>
            <w:r w:rsidRPr="00D25812">
              <w:rPr>
                <w:lang w:val="ru-RU"/>
              </w:rPr>
              <w:t>3</w:t>
            </w:r>
          </w:p>
        </w:tc>
        <w:tc>
          <w:tcPr>
            <w:tcW w:w="386" w:type="pct"/>
            <w:tcBorders>
              <w:top w:val="single" w:sz="8" w:space="0" w:color="auto"/>
              <w:left w:val="nil"/>
              <w:bottom w:val="single" w:sz="4" w:space="0" w:color="auto"/>
              <w:right w:val="single" w:sz="4" w:space="0" w:color="auto"/>
            </w:tcBorders>
            <w:shd w:val="clear" w:color="auto" w:fill="auto"/>
            <w:noWrap/>
            <w:hideMark/>
          </w:tcPr>
          <w:p w14:paraId="0FA47DBB" w14:textId="7777777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2</w:t>
            </w:r>
          </w:p>
        </w:tc>
        <w:tc>
          <w:tcPr>
            <w:tcW w:w="362" w:type="pct"/>
            <w:tcBorders>
              <w:top w:val="single" w:sz="8" w:space="0" w:color="auto"/>
              <w:left w:val="nil"/>
              <w:bottom w:val="nil"/>
              <w:right w:val="single" w:sz="8" w:space="0" w:color="auto"/>
            </w:tcBorders>
            <w:shd w:val="clear" w:color="auto" w:fill="auto"/>
            <w:noWrap/>
            <w:hideMark/>
          </w:tcPr>
          <w:p w14:paraId="34782123" w14:textId="77777777" w:rsidR="00336F1A" w:rsidRPr="00D25812" w:rsidRDefault="00336F1A" w:rsidP="00D25812">
            <w:pPr>
              <w:pStyle w:val="Tabletext"/>
              <w:ind w:left="-57" w:right="-57"/>
              <w:jc w:val="right"/>
              <w:rPr>
                <w:rFonts w:cs="Calibri"/>
                <w:color w:val="000000"/>
                <w:lang w:val="ru-RU"/>
              </w:rPr>
            </w:pPr>
            <w:r w:rsidRPr="00D25812">
              <w:rPr>
                <w:lang w:val="ru-RU"/>
              </w:rPr>
              <w:t>25</w:t>
            </w:r>
          </w:p>
        </w:tc>
      </w:tr>
      <w:tr w:rsidR="00336F1A" w:rsidRPr="00D25812" w14:paraId="78BD3003"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20390E2D" w14:textId="77777777" w:rsidR="00336F1A" w:rsidRPr="00D25812" w:rsidRDefault="00336F1A" w:rsidP="00D47F77">
            <w:pPr>
              <w:pStyle w:val="Tabletext"/>
              <w:rPr>
                <w:rFonts w:cs="Calibri"/>
                <w:b/>
                <w:bCs/>
                <w:color w:val="000000"/>
                <w:lang w:val="ru-RU"/>
              </w:rPr>
            </w:pPr>
            <w:r w:rsidRPr="00D25812">
              <w:rPr>
                <w:b/>
                <w:bCs/>
                <w:lang w:val="ru-RU"/>
              </w:rPr>
              <w:t>Рек.</w:t>
            </w:r>
            <w:r w:rsidRPr="00D25812">
              <w:rPr>
                <w:lang w:val="ru-RU"/>
              </w:rPr>
              <w:t xml:space="preserve"> </w:t>
            </w:r>
            <w:r w:rsidRPr="00D25812">
              <w:rPr>
                <w:b/>
                <w:bCs/>
                <w:lang w:val="ru-RU"/>
              </w:rPr>
              <w:t>– всего</w:t>
            </w:r>
          </w:p>
        </w:tc>
        <w:tc>
          <w:tcPr>
            <w:tcW w:w="385" w:type="pct"/>
            <w:tcBorders>
              <w:top w:val="nil"/>
              <w:left w:val="nil"/>
              <w:bottom w:val="single" w:sz="4" w:space="0" w:color="auto"/>
              <w:right w:val="single" w:sz="4" w:space="0" w:color="auto"/>
            </w:tcBorders>
            <w:shd w:val="clear" w:color="auto" w:fill="auto"/>
            <w:noWrap/>
            <w:hideMark/>
          </w:tcPr>
          <w:p w14:paraId="47E19C34"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15</w:t>
            </w:r>
          </w:p>
        </w:tc>
        <w:tc>
          <w:tcPr>
            <w:tcW w:w="386" w:type="pct"/>
            <w:tcBorders>
              <w:top w:val="nil"/>
              <w:left w:val="nil"/>
              <w:bottom w:val="single" w:sz="4" w:space="0" w:color="auto"/>
              <w:right w:val="single" w:sz="4" w:space="0" w:color="auto"/>
            </w:tcBorders>
            <w:shd w:val="clear" w:color="auto" w:fill="auto"/>
            <w:noWrap/>
            <w:hideMark/>
          </w:tcPr>
          <w:p w14:paraId="35325826"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46</w:t>
            </w:r>
          </w:p>
        </w:tc>
        <w:tc>
          <w:tcPr>
            <w:tcW w:w="386" w:type="pct"/>
            <w:tcBorders>
              <w:top w:val="nil"/>
              <w:left w:val="nil"/>
              <w:bottom w:val="single" w:sz="4" w:space="0" w:color="auto"/>
              <w:right w:val="single" w:sz="4" w:space="0" w:color="auto"/>
            </w:tcBorders>
            <w:shd w:val="clear" w:color="auto" w:fill="auto"/>
            <w:noWrap/>
            <w:hideMark/>
          </w:tcPr>
          <w:p w14:paraId="676C7ACD"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26</w:t>
            </w:r>
          </w:p>
        </w:tc>
        <w:tc>
          <w:tcPr>
            <w:tcW w:w="386" w:type="pct"/>
            <w:tcBorders>
              <w:top w:val="nil"/>
              <w:left w:val="nil"/>
              <w:bottom w:val="single" w:sz="4" w:space="0" w:color="auto"/>
              <w:right w:val="single" w:sz="4" w:space="0" w:color="auto"/>
            </w:tcBorders>
            <w:shd w:val="clear" w:color="auto" w:fill="auto"/>
            <w:noWrap/>
            <w:hideMark/>
          </w:tcPr>
          <w:p w14:paraId="47AFF1E0"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15</w:t>
            </w:r>
          </w:p>
        </w:tc>
        <w:tc>
          <w:tcPr>
            <w:tcW w:w="386" w:type="pct"/>
            <w:tcBorders>
              <w:top w:val="nil"/>
              <w:left w:val="nil"/>
              <w:bottom w:val="single" w:sz="4" w:space="0" w:color="auto"/>
              <w:right w:val="single" w:sz="4" w:space="0" w:color="auto"/>
            </w:tcBorders>
            <w:shd w:val="clear" w:color="auto" w:fill="auto"/>
            <w:noWrap/>
            <w:hideMark/>
          </w:tcPr>
          <w:p w14:paraId="43DEEB54"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9</w:t>
            </w:r>
          </w:p>
        </w:tc>
        <w:tc>
          <w:tcPr>
            <w:tcW w:w="386" w:type="pct"/>
            <w:tcBorders>
              <w:top w:val="nil"/>
              <w:left w:val="nil"/>
              <w:bottom w:val="single" w:sz="4" w:space="0" w:color="auto"/>
              <w:right w:val="single" w:sz="4" w:space="0" w:color="auto"/>
            </w:tcBorders>
            <w:shd w:val="clear" w:color="auto" w:fill="auto"/>
            <w:noWrap/>
            <w:hideMark/>
          </w:tcPr>
          <w:p w14:paraId="59F6BDE5"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19</w:t>
            </w:r>
          </w:p>
        </w:tc>
        <w:tc>
          <w:tcPr>
            <w:tcW w:w="386" w:type="pct"/>
            <w:tcBorders>
              <w:top w:val="nil"/>
              <w:left w:val="nil"/>
              <w:bottom w:val="single" w:sz="4" w:space="0" w:color="auto"/>
              <w:right w:val="single" w:sz="4" w:space="0" w:color="auto"/>
            </w:tcBorders>
            <w:shd w:val="clear" w:color="auto" w:fill="auto"/>
            <w:noWrap/>
            <w:hideMark/>
          </w:tcPr>
          <w:p w14:paraId="69DFE5DC" w14:textId="77777777" w:rsidR="00336F1A" w:rsidRPr="00D25812" w:rsidRDefault="00336F1A" w:rsidP="00D25812">
            <w:pPr>
              <w:pStyle w:val="Tabletext"/>
              <w:ind w:left="-57" w:right="-57"/>
              <w:jc w:val="right"/>
              <w:rPr>
                <w:rFonts w:cs="Calibri"/>
                <w:b/>
                <w:bCs/>
                <w:color w:val="000000"/>
                <w:lang w:val="ru-RU"/>
              </w:rPr>
            </w:pPr>
            <w:r w:rsidRPr="00D25812">
              <w:rPr>
                <w:b/>
                <w:bCs/>
                <w:lang w:val="ru-RU"/>
              </w:rPr>
              <w:t>38</w:t>
            </w:r>
          </w:p>
        </w:tc>
        <w:tc>
          <w:tcPr>
            <w:tcW w:w="386" w:type="pct"/>
            <w:tcBorders>
              <w:top w:val="nil"/>
              <w:left w:val="nil"/>
              <w:bottom w:val="single" w:sz="4" w:space="0" w:color="auto"/>
              <w:right w:val="single" w:sz="4" w:space="0" w:color="auto"/>
            </w:tcBorders>
            <w:shd w:val="clear" w:color="auto" w:fill="auto"/>
            <w:noWrap/>
            <w:hideMark/>
          </w:tcPr>
          <w:p w14:paraId="4D8229CC" w14:textId="77777777" w:rsidR="00336F1A" w:rsidRPr="00D25812" w:rsidRDefault="00336F1A" w:rsidP="008B6B59">
            <w:pPr>
              <w:pStyle w:val="Tabletext"/>
              <w:tabs>
                <w:tab w:val="clear" w:pos="284"/>
                <w:tab w:val="clear" w:pos="567"/>
              </w:tabs>
              <w:ind w:left="-57" w:right="-57"/>
              <w:jc w:val="right"/>
              <w:rPr>
                <w:rFonts w:cs="Calibri"/>
                <w:b/>
                <w:bCs/>
                <w:color w:val="000000"/>
                <w:lang w:val="ru-RU"/>
              </w:rPr>
            </w:pPr>
            <w:r w:rsidRPr="00D25812">
              <w:rPr>
                <w:b/>
                <w:bCs/>
                <w:lang w:val="ru-RU"/>
              </w:rPr>
              <w:t>42</w:t>
            </w:r>
          </w:p>
        </w:tc>
        <w:tc>
          <w:tcPr>
            <w:tcW w:w="362" w:type="pct"/>
            <w:tcBorders>
              <w:top w:val="single" w:sz="4" w:space="0" w:color="auto"/>
              <w:left w:val="nil"/>
              <w:bottom w:val="single" w:sz="4" w:space="0" w:color="auto"/>
              <w:right w:val="single" w:sz="8" w:space="0" w:color="auto"/>
            </w:tcBorders>
            <w:shd w:val="clear" w:color="auto" w:fill="auto"/>
            <w:noWrap/>
            <w:hideMark/>
          </w:tcPr>
          <w:p w14:paraId="158A6123" w14:textId="77777777" w:rsidR="00336F1A" w:rsidRPr="00D25812" w:rsidRDefault="00336F1A" w:rsidP="008B6B59">
            <w:pPr>
              <w:pStyle w:val="Tabletext"/>
              <w:tabs>
                <w:tab w:val="clear" w:pos="567"/>
              </w:tabs>
              <w:ind w:left="-57" w:right="-57"/>
              <w:jc w:val="right"/>
              <w:rPr>
                <w:rFonts w:cs="Calibri"/>
                <w:b/>
                <w:bCs/>
                <w:color w:val="000000"/>
                <w:lang w:val="ru-RU"/>
              </w:rPr>
            </w:pPr>
            <w:r w:rsidRPr="00D25812">
              <w:rPr>
                <w:b/>
                <w:bCs/>
                <w:lang w:val="ru-RU"/>
              </w:rPr>
              <w:t>210</w:t>
            </w:r>
          </w:p>
        </w:tc>
      </w:tr>
      <w:tr w:rsidR="00336F1A" w:rsidRPr="00D25812" w14:paraId="21D34366"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0CE7DB0E" w14:textId="62B96283" w:rsidR="00336F1A" w:rsidRPr="00D25812" w:rsidRDefault="00336F1A" w:rsidP="00D25812">
            <w:pPr>
              <w:pStyle w:val="Tabletext"/>
              <w:ind w:firstLine="164"/>
              <w:rPr>
                <w:rFonts w:cs="Calibri"/>
                <w:color w:val="000000"/>
                <w:lang w:val="ru-RU"/>
              </w:rPr>
            </w:pPr>
            <w:r w:rsidRPr="00D25812">
              <w:rPr>
                <w:lang w:val="ru-RU"/>
              </w:rPr>
              <w:t>В процессе выполнения</w:t>
            </w:r>
          </w:p>
        </w:tc>
        <w:tc>
          <w:tcPr>
            <w:tcW w:w="385" w:type="pct"/>
            <w:tcBorders>
              <w:top w:val="nil"/>
              <w:left w:val="nil"/>
              <w:bottom w:val="single" w:sz="4" w:space="0" w:color="auto"/>
              <w:right w:val="single" w:sz="4" w:space="0" w:color="auto"/>
            </w:tcBorders>
            <w:shd w:val="clear" w:color="auto" w:fill="auto"/>
            <w:noWrap/>
            <w:hideMark/>
          </w:tcPr>
          <w:p w14:paraId="35CB5438" w14:textId="77777777" w:rsidR="00336F1A" w:rsidRPr="00D25812" w:rsidRDefault="00336F1A" w:rsidP="00D25812">
            <w:pPr>
              <w:pStyle w:val="Tabletext"/>
              <w:ind w:left="-57" w:right="-57"/>
              <w:jc w:val="right"/>
              <w:rPr>
                <w:rFonts w:cs="Calibri"/>
                <w:color w:val="000000"/>
                <w:lang w:val="ru-RU"/>
              </w:rPr>
            </w:pPr>
            <w:r w:rsidRPr="00D25812">
              <w:rPr>
                <w:lang w:val="ru-RU"/>
              </w:rPr>
              <w:t>2</w:t>
            </w:r>
          </w:p>
        </w:tc>
        <w:tc>
          <w:tcPr>
            <w:tcW w:w="386" w:type="pct"/>
            <w:tcBorders>
              <w:top w:val="nil"/>
              <w:left w:val="nil"/>
              <w:bottom w:val="single" w:sz="4" w:space="0" w:color="auto"/>
              <w:right w:val="single" w:sz="4" w:space="0" w:color="auto"/>
            </w:tcBorders>
            <w:shd w:val="clear" w:color="auto" w:fill="auto"/>
            <w:noWrap/>
            <w:hideMark/>
          </w:tcPr>
          <w:p w14:paraId="546AC1A8" w14:textId="77777777" w:rsidR="00336F1A" w:rsidRPr="00D25812" w:rsidRDefault="00336F1A" w:rsidP="00D25812">
            <w:pPr>
              <w:pStyle w:val="Tabletext"/>
              <w:ind w:left="-57" w:right="-57"/>
              <w:jc w:val="right"/>
              <w:rPr>
                <w:rFonts w:cs="Calibri"/>
                <w:color w:val="000000"/>
                <w:lang w:val="ru-RU"/>
              </w:rPr>
            </w:pPr>
            <w:r w:rsidRPr="00D25812">
              <w:rPr>
                <w:lang w:val="ru-RU"/>
              </w:rPr>
              <w:t>5</w:t>
            </w:r>
          </w:p>
        </w:tc>
        <w:tc>
          <w:tcPr>
            <w:tcW w:w="386" w:type="pct"/>
            <w:tcBorders>
              <w:top w:val="nil"/>
              <w:left w:val="nil"/>
              <w:bottom w:val="single" w:sz="4" w:space="0" w:color="auto"/>
              <w:right w:val="single" w:sz="4" w:space="0" w:color="auto"/>
            </w:tcBorders>
            <w:shd w:val="clear" w:color="auto" w:fill="auto"/>
            <w:noWrap/>
            <w:hideMark/>
          </w:tcPr>
          <w:p w14:paraId="1E9437A7" w14:textId="77777777" w:rsidR="00336F1A" w:rsidRPr="00D25812" w:rsidRDefault="00336F1A" w:rsidP="00D25812">
            <w:pPr>
              <w:pStyle w:val="Tabletext"/>
              <w:ind w:left="-57" w:right="-57"/>
              <w:jc w:val="right"/>
              <w:rPr>
                <w:rFonts w:cs="Calibri"/>
                <w:color w:val="000000"/>
                <w:lang w:val="ru-RU"/>
              </w:rPr>
            </w:pPr>
            <w:r w:rsidRPr="00D25812">
              <w:rPr>
                <w:lang w:val="ru-RU"/>
              </w:rPr>
              <w:t>3</w:t>
            </w:r>
          </w:p>
        </w:tc>
        <w:tc>
          <w:tcPr>
            <w:tcW w:w="386" w:type="pct"/>
            <w:tcBorders>
              <w:top w:val="nil"/>
              <w:left w:val="nil"/>
              <w:bottom w:val="single" w:sz="4" w:space="0" w:color="auto"/>
              <w:right w:val="single" w:sz="4" w:space="0" w:color="auto"/>
            </w:tcBorders>
            <w:shd w:val="clear" w:color="auto" w:fill="auto"/>
            <w:noWrap/>
            <w:hideMark/>
          </w:tcPr>
          <w:p w14:paraId="3727D18B"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0D9E8D1A" w14:textId="77777777" w:rsidR="00336F1A" w:rsidRPr="00D25812" w:rsidRDefault="00336F1A" w:rsidP="00D25812">
            <w:pPr>
              <w:pStyle w:val="Tabletext"/>
              <w:ind w:left="-57" w:right="-57"/>
              <w:jc w:val="right"/>
              <w:rPr>
                <w:rFonts w:cs="Calibri"/>
                <w:color w:val="000000"/>
                <w:lang w:val="ru-RU"/>
              </w:rPr>
            </w:pPr>
            <w:r w:rsidRPr="00D25812">
              <w:rPr>
                <w:lang w:val="ru-RU"/>
              </w:rPr>
              <w:t>1</w:t>
            </w:r>
          </w:p>
        </w:tc>
        <w:tc>
          <w:tcPr>
            <w:tcW w:w="386" w:type="pct"/>
            <w:tcBorders>
              <w:top w:val="nil"/>
              <w:left w:val="nil"/>
              <w:bottom w:val="single" w:sz="4" w:space="0" w:color="auto"/>
              <w:right w:val="single" w:sz="4" w:space="0" w:color="auto"/>
            </w:tcBorders>
            <w:shd w:val="clear" w:color="auto" w:fill="auto"/>
            <w:noWrap/>
            <w:hideMark/>
          </w:tcPr>
          <w:p w14:paraId="1697DC7D" w14:textId="77777777" w:rsidR="00336F1A" w:rsidRPr="00D25812" w:rsidRDefault="00336F1A" w:rsidP="00D25812">
            <w:pPr>
              <w:pStyle w:val="Tabletext"/>
              <w:ind w:left="-57" w:right="-57"/>
              <w:jc w:val="right"/>
              <w:rPr>
                <w:rFonts w:cs="Calibri"/>
                <w:color w:val="000000"/>
                <w:lang w:val="ru-RU"/>
              </w:rPr>
            </w:pPr>
            <w:r w:rsidRPr="00D25812">
              <w:rPr>
                <w:lang w:val="ru-RU"/>
              </w:rPr>
              <w:t>12</w:t>
            </w:r>
          </w:p>
        </w:tc>
        <w:tc>
          <w:tcPr>
            <w:tcW w:w="386" w:type="pct"/>
            <w:tcBorders>
              <w:top w:val="nil"/>
              <w:left w:val="nil"/>
              <w:bottom w:val="single" w:sz="4" w:space="0" w:color="auto"/>
              <w:right w:val="single" w:sz="4" w:space="0" w:color="auto"/>
            </w:tcBorders>
            <w:shd w:val="clear" w:color="auto" w:fill="auto"/>
            <w:noWrap/>
            <w:hideMark/>
          </w:tcPr>
          <w:p w14:paraId="5AF26A2C" w14:textId="77777777" w:rsidR="00336F1A" w:rsidRPr="00D25812" w:rsidRDefault="00336F1A" w:rsidP="00D25812">
            <w:pPr>
              <w:pStyle w:val="Tabletext"/>
              <w:ind w:left="-57" w:right="-57"/>
              <w:jc w:val="right"/>
              <w:rPr>
                <w:rFonts w:cs="Calibri"/>
                <w:color w:val="000000"/>
                <w:lang w:val="ru-RU"/>
              </w:rPr>
            </w:pPr>
            <w:r w:rsidRPr="00D25812">
              <w:rPr>
                <w:lang w:val="ru-RU"/>
              </w:rPr>
              <w:t>15</w:t>
            </w:r>
          </w:p>
        </w:tc>
        <w:tc>
          <w:tcPr>
            <w:tcW w:w="386" w:type="pct"/>
            <w:tcBorders>
              <w:top w:val="nil"/>
              <w:left w:val="nil"/>
              <w:bottom w:val="single" w:sz="4" w:space="0" w:color="auto"/>
              <w:right w:val="single" w:sz="4" w:space="0" w:color="auto"/>
            </w:tcBorders>
            <w:shd w:val="clear" w:color="auto" w:fill="auto"/>
            <w:noWrap/>
            <w:hideMark/>
          </w:tcPr>
          <w:p w14:paraId="20DFEDC2" w14:textId="7777777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24</w:t>
            </w:r>
          </w:p>
        </w:tc>
        <w:tc>
          <w:tcPr>
            <w:tcW w:w="362" w:type="pct"/>
            <w:tcBorders>
              <w:top w:val="nil"/>
              <w:left w:val="nil"/>
              <w:bottom w:val="single" w:sz="4" w:space="0" w:color="auto"/>
              <w:right w:val="single" w:sz="8" w:space="0" w:color="auto"/>
            </w:tcBorders>
            <w:shd w:val="clear" w:color="auto" w:fill="auto"/>
            <w:noWrap/>
            <w:hideMark/>
          </w:tcPr>
          <w:p w14:paraId="49B0E1CD" w14:textId="77777777"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62</w:t>
            </w:r>
          </w:p>
        </w:tc>
      </w:tr>
      <w:tr w:rsidR="00336F1A" w:rsidRPr="00D25812" w14:paraId="34F5F878"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40CD764C" w14:textId="12EF0691" w:rsidR="00336F1A" w:rsidRPr="00D25812" w:rsidRDefault="00336F1A" w:rsidP="00D25812">
            <w:pPr>
              <w:pStyle w:val="Tabletext"/>
              <w:ind w:firstLine="164"/>
              <w:rPr>
                <w:rFonts w:cs="Calibri"/>
                <w:color w:val="000000"/>
                <w:lang w:val="ru-RU"/>
              </w:rPr>
            </w:pPr>
            <w:r w:rsidRPr="00D25812">
              <w:rPr>
                <w:lang w:val="ru-RU"/>
              </w:rPr>
              <w:t>Просрочено/не начато</w:t>
            </w:r>
          </w:p>
        </w:tc>
        <w:tc>
          <w:tcPr>
            <w:tcW w:w="385" w:type="pct"/>
            <w:tcBorders>
              <w:top w:val="nil"/>
              <w:left w:val="nil"/>
              <w:bottom w:val="single" w:sz="4" w:space="0" w:color="auto"/>
              <w:right w:val="single" w:sz="4" w:space="0" w:color="auto"/>
            </w:tcBorders>
            <w:shd w:val="clear" w:color="auto" w:fill="auto"/>
            <w:noWrap/>
            <w:hideMark/>
          </w:tcPr>
          <w:p w14:paraId="25401E13"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27CE77ED"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36DB7B57"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1D1793F2"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2C936E80"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2F02F832" w14:textId="7777777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1FF86BE2" w14:textId="77777777" w:rsidR="00336F1A" w:rsidRPr="00D25812" w:rsidRDefault="00336F1A" w:rsidP="00D25812">
            <w:pPr>
              <w:pStyle w:val="Tabletext"/>
              <w:ind w:left="-57" w:right="-57"/>
              <w:jc w:val="right"/>
              <w:rPr>
                <w:rFonts w:cs="Calibri"/>
                <w:color w:val="000000"/>
                <w:lang w:val="ru-RU"/>
              </w:rPr>
            </w:pPr>
            <w:r w:rsidRPr="00D25812">
              <w:rPr>
                <w:lang w:val="ru-RU"/>
              </w:rPr>
              <w:t>1</w:t>
            </w:r>
          </w:p>
        </w:tc>
        <w:tc>
          <w:tcPr>
            <w:tcW w:w="386" w:type="pct"/>
            <w:tcBorders>
              <w:top w:val="nil"/>
              <w:left w:val="nil"/>
              <w:bottom w:val="single" w:sz="4" w:space="0" w:color="auto"/>
              <w:right w:val="single" w:sz="4" w:space="0" w:color="auto"/>
            </w:tcBorders>
            <w:shd w:val="clear" w:color="auto" w:fill="auto"/>
            <w:noWrap/>
            <w:hideMark/>
          </w:tcPr>
          <w:p w14:paraId="184F8F27" w14:textId="7777777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4</w:t>
            </w:r>
          </w:p>
        </w:tc>
        <w:tc>
          <w:tcPr>
            <w:tcW w:w="362" w:type="pct"/>
            <w:tcBorders>
              <w:top w:val="nil"/>
              <w:left w:val="nil"/>
              <w:bottom w:val="single" w:sz="4" w:space="0" w:color="auto"/>
              <w:right w:val="single" w:sz="8" w:space="0" w:color="auto"/>
            </w:tcBorders>
            <w:shd w:val="clear" w:color="auto" w:fill="auto"/>
            <w:noWrap/>
            <w:hideMark/>
          </w:tcPr>
          <w:p w14:paraId="3F337AAC" w14:textId="77777777"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5</w:t>
            </w:r>
          </w:p>
        </w:tc>
      </w:tr>
      <w:tr w:rsidR="00336F1A" w:rsidRPr="00D25812" w14:paraId="5E2D35BB"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5B49E138" w14:textId="675CF193" w:rsidR="00336F1A" w:rsidRPr="00D25812" w:rsidRDefault="00336F1A" w:rsidP="00D25812">
            <w:pPr>
              <w:pStyle w:val="Tabletext"/>
              <w:ind w:firstLine="164"/>
              <w:rPr>
                <w:rFonts w:cs="Calibri"/>
                <w:color w:val="000000"/>
                <w:lang w:val="ru-RU"/>
              </w:rPr>
            </w:pPr>
            <w:r w:rsidRPr="00D25812">
              <w:rPr>
                <w:lang w:val="ru-RU"/>
              </w:rPr>
              <w:t>Выполнено</w:t>
            </w:r>
          </w:p>
        </w:tc>
        <w:tc>
          <w:tcPr>
            <w:tcW w:w="385" w:type="pct"/>
            <w:tcBorders>
              <w:top w:val="nil"/>
              <w:left w:val="nil"/>
              <w:bottom w:val="single" w:sz="4" w:space="0" w:color="auto"/>
              <w:right w:val="single" w:sz="4" w:space="0" w:color="auto"/>
            </w:tcBorders>
            <w:shd w:val="clear" w:color="auto" w:fill="auto"/>
            <w:noWrap/>
            <w:hideMark/>
          </w:tcPr>
          <w:p w14:paraId="3C520214" w14:textId="77777777" w:rsidR="00336F1A" w:rsidRPr="00D25812" w:rsidRDefault="00336F1A" w:rsidP="00D25812">
            <w:pPr>
              <w:pStyle w:val="Tabletext"/>
              <w:ind w:left="-57" w:right="-57"/>
              <w:jc w:val="right"/>
              <w:rPr>
                <w:rFonts w:cs="Calibri"/>
                <w:color w:val="000000"/>
                <w:lang w:val="ru-RU"/>
              </w:rPr>
            </w:pPr>
            <w:r w:rsidRPr="00D25812">
              <w:rPr>
                <w:lang w:val="ru-RU"/>
              </w:rPr>
              <w:t>13</w:t>
            </w:r>
          </w:p>
        </w:tc>
        <w:tc>
          <w:tcPr>
            <w:tcW w:w="386" w:type="pct"/>
            <w:tcBorders>
              <w:top w:val="nil"/>
              <w:left w:val="nil"/>
              <w:bottom w:val="single" w:sz="4" w:space="0" w:color="auto"/>
              <w:right w:val="single" w:sz="4" w:space="0" w:color="auto"/>
            </w:tcBorders>
            <w:shd w:val="clear" w:color="auto" w:fill="auto"/>
            <w:noWrap/>
            <w:hideMark/>
          </w:tcPr>
          <w:p w14:paraId="31267FD9" w14:textId="77777777" w:rsidR="00336F1A" w:rsidRPr="00D25812" w:rsidRDefault="00336F1A" w:rsidP="00D25812">
            <w:pPr>
              <w:pStyle w:val="Tabletext"/>
              <w:ind w:left="-57" w:right="-57"/>
              <w:jc w:val="right"/>
              <w:rPr>
                <w:rFonts w:cs="Calibri"/>
                <w:color w:val="000000"/>
                <w:lang w:val="ru-RU"/>
              </w:rPr>
            </w:pPr>
            <w:r w:rsidRPr="00D25812">
              <w:rPr>
                <w:lang w:val="ru-RU"/>
              </w:rPr>
              <w:t>41</w:t>
            </w:r>
          </w:p>
        </w:tc>
        <w:tc>
          <w:tcPr>
            <w:tcW w:w="386" w:type="pct"/>
            <w:tcBorders>
              <w:top w:val="nil"/>
              <w:left w:val="nil"/>
              <w:bottom w:val="single" w:sz="4" w:space="0" w:color="auto"/>
              <w:right w:val="single" w:sz="4" w:space="0" w:color="auto"/>
            </w:tcBorders>
            <w:shd w:val="clear" w:color="auto" w:fill="auto"/>
            <w:noWrap/>
            <w:hideMark/>
          </w:tcPr>
          <w:p w14:paraId="2D0385B8" w14:textId="77777777" w:rsidR="00336F1A" w:rsidRPr="00D25812" w:rsidRDefault="00336F1A" w:rsidP="00D25812">
            <w:pPr>
              <w:pStyle w:val="Tabletext"/>
              <w:ind w:left="-57" w:right="-57"/>
              <w:jc w:val="right"/>
              <w:rPr>
                <w:rFonts w:cs="Calibri"/>
                <w:color w:val="000000"/>
                <w:lang w:val="ru-RU"/>
              </w:rPr>
            </w:pPr>
            <w:r w:rsidRPr="00D25812">
              <w:rPr>
                <w:lang w:val="ru-RU"/>
              </w:rPr>
              <w:t>23</w:t>
            </w:r>
          </w:p>
        </w:tc>
        <w:tc>
          <w:tcPr>
            <w:tcW w:w="386" w:type="pct"/>
            <w:tcBorders>
              <w:top w:val="nil"/>
              <w:left w:val="nil"/>
              <w:bottom w:val="single" w:sz="4" w:space="0" w:color="auto"/>
              <w:right w:val="single" w:sz="4" w:space="0" w:color="auto"/>
            </w:tcBorders>
            <w:shd w:val="clear" w:color="auto" w:fill="auto"/>
            <w:noWrap/>
            <w:hideMark/>
          </w:tcPr>
          <w:p w14:paraId="7B2DAE2B" w14:textId="77777777" w:rsidR="00336F1A" w:rsidRPr="00D25812" w:rsidRDefault="00336F1A" w:rsidP="00D25812">
            <w:pPr>
              <w:pStyle w:val="Tabletext"/>
              <w:ind w:left="-57" w:right="-57"/>
              <w:jc w:val="right"/>
              <w:rPr>
                <w:rFonts w:cs="Calibri"/>
                <w:color w:val="000000"/>
                <w:lang w:val="ru-RU"/>
              </w:rPr>
            </w:pPr>
            <w:r w:rsidRPr="00D25812">
              <w:rPr>
                <w:lang w:val="ru-RU"/>
              </w:rPr>
              <w:t>15</w:t>
            </w:r>
          </w:p>
        </w:tc>
        <w:tc>
          <w:tcPr>
            <w:tcW w:w="386" w:type="pct"/>
            <w:tcBorders>
              <w:top w:val="nil"/>
              <w:left w:val="nil"/>
              <w:bottom w:val="single" w:sz="4" w:space="0" w:color="auto"/>
              <w:right w:val="single" w:sz="4" w:space="0" w:color="auto"/>
            </w:tcBorders>
            <w:shd w:val="clear" w:color="auto" w:fill="auto"/>
            <w:noWrap/>
            <w:hideMark/>
          </w:tcPr>
          <w:p w14:paraId="227FAF05" w14:textId="77777777" w:rsidR="00336F1A" w:rsidRPr="00D25812" w:rsidRDefault="00336F1A" w:rsidP="00D25812">
            <w:pPr>
              <w:pStyle w:val="Tabletext"/>
              <w:ind w:left="-57" w:right="-57"/>
              <w:jc w:val="right"/>
              <w:rPr>
                <w:rFonts w:cs="Calibri"/>
                <w:color w:val="000000"/>
                <w:lang w:val="ru-RU"/>
              </w:rPr>
            </w:pPr>
            <w:r w:rsidRPr="00D25812">
              <w:rPr>
                <w:lang w:val="ru-RU"/>
              </w:rPr>
              <w:t>8</w:t>
            </w:r>
          </w:p>
        </w:tc>
        <w:tc>
          <w:tcPr>
            <w:tcW w:w="386" w:type="pct"/>
            <w:tcBorders>
              <w:top w:val="nil"/>
              <w:left w:val="nil"/>
              <w:bottom w:val="single" w:sz="4" w:space="0" w:color="auto"/>
              <w:right w:val="single" w:sz="4" w:space="0" w:color="auto"/>
            </w:tcBorders>
            <w:shd w:val="clear" w:color="auto" w:fill="auto"/>
            <w:noWrap/>
            <w:hideMark/>
          </w:tcPr>
          <w:p w14:paraId="176A0EFD" w14:textId="77777777" w:rsidR="00336F1A" w:rsidRPr="00D25812" w:rsidRDefault="00336F1A" w:rsidP="00D25812">
            <w:pPr>
              <w:pStyle w:val="Tabletext"/>
              <w:ind w:left="-57" w:right="-57"/>
              <w:jc w:val="right"/>
              <w:rPr>
                <w:rFonts w:cs="Calibri"/>
                <w:color w:val="000000"/>
                <w:lang w:val="ru-RU"/>
              </w:rPr>
            </w:pPr>
            <w:r w:rsidRPr="00D25812">
              <w:rPr>
                <w:lang w:val="ru-RU"/>
              </w:rPr>
              <w:t>7</w:t>
            </w:r>
          </w:p>
        </w:tc>
        <w:tc>
          <w:tcPr>
            <w:tcW w:w="386" w:type="pct"/>
            <w:tcBorders>
              <w:top w:val="nil"/>
              <w:left w:val="nil"/>
              <w:bottom w:val="single" w:sz="4" w:space="0" w:color="auto"/>
              <w:right w:val="single" w:sz="4" w:space="0" w:color="auto"/>
            </w:tcBorders>
            <w:shd w:val="clear" w:color="auto" w:fill="auto"/>
            <w:noWrap/>
            <w:hideMark/>
          </w:tcPr>
          <w:p w14:paraId="5ACDADEA" w14:textId="77777777" w:rsidR="00336F1A" w:rsidRPr="00D25812" w:rsidRDefault="00336F1A" w:rsidP="00D25812">
            <w:pPr>
              <w:pStyle w:val="Tabletext"/>
              <w:ind w:left="-57" w:right="-57"/>
              <w:jc w:val="right"/>
              <w:rPr>
                <w:rFonts w:cs="Calibri"/>
                <w:color w:val="000000"/>
                <w:lang w:val="ru-RU"/>
              </w:rPr>
            </w:pPr>
            <w:r w:rsidRPr="00D25812">
              <w:rPr>
                <w:lang w:val="ru-RU"/>
              </w:rPr>
              <w:t>22</w:t>
            </w:r>
          </w:p>
        </w:tc>
        <w:tc>
          <w:tcPr>
            <w:tcW w:w="386" w:type="pct"/>
            <w:tcBorders>
              <w:top w:val="nil"/>
              <w:left w:val="nil"/>
              <w:bottom w:val="single" w:sz="4" w:space="0" w:color="auto"/>
              <w:right w:val="single" w:sz="4" w:space="0" w:color="auto"/>
            </w:tcBorders>
            <w:shd w:val="clear" w:color="auto" w:fill="auto"/>
            <w:noWrap/>
            <w:hideMark/>
          </w:tcPr>
          <w:p w14:paraId="1F95D814" w14:textId="7777777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14</w:t>
            </w:r>
          </w:p>
        </w:tc>
        <w:tc>
          <w:tcPr>
            <w:tcW w:w="362" w:type="pct"/>
            <w:tcBorders>
              <w:top w:val="nil"/>
              <w:left w:val="nil"/>
              <w:bottom w:val="single" w:sz="4" w:space="0" w:color="auto"/>
              <w:right w:val="single" w:sz="8" w:space="0" w:color="auto"/>
            </w:tcBorders>
            <w:shd w:val="clear" w:color="auto" w:fill="auto"/>
            <w:noWrap/>
            <w:hideMark/>
          </w:tcPr>
          <w:p w14:paraId="528F4A96" w14:textId="77777777"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143</w:t>
            </w:r>
          </w:p>
        </w:tc>
      </w:tr>
      <w:tr w:rsidR="00336F1A" w:rsidRPr="00D25812" w14:paraId="47C96ADD"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07732D97" w14:textId="77777777" w:rsidR="00336F1A" w:rsidRPr="00D25812" w:rsidRDefault="00336F1A" w:rsidP="00D47F77">
            <w:pPr>
              <w:pStyle w:val="Tabletext"/>
              <w:rPr>
                <w:rFonts w:cs="Calibri"/>
                <w:color w:val="000000"/>
                <w:lang w:val="ru-RU"/>
              </w:rPr>
            </w:pPr>
            <w:r w:rsidRPr="00D25812">
              <w:rPr>
                <w:lang w:val="ru-RU"/>
              </w:rPr>
              <w:t>% выполняемых рекомендаций</w:t>
            </w:r>
          </w:p>
        </w:tc>
        <w:tc>
          <w:tcPr>
            <w:tcW w:w="385" w:type="pct"/>
            <w:tcBorders>
              <w:top w:val="nil"/>
              <w:left w:val="nil"/>
              <w:bottom w:val="single" w:sz="4" w:space="0" w:color="auto"/>
              <w:right w:val="single" w:sz="4" w:space="0" w:color="auto"/>
            </w:tcBorders>
            <w:shd w:val="clear" w:color="auto" w:fill="auto"/>
            <w:noWrap/>
            <w:hideMark/>
          </w:tcPr>
          <w:p w14:paraId="68A8A77C" w14:textId="616B25AC" w:rsidR="00336F1A" w:rsidRPr="00D25812" w:rsidRDefault="00336F1A" w:rsidP="00D25812">
            <w:pPr>
              <w:pStyle w:val="Tabletext"/>
              <w:ind w:left="-57" w:right="-57"/>
              <w:jc w:val="right"/>
              <w:rPr>
                <w:rFonts w:cs="Calibri"/>
                <w:color w:val="000000"/>
                <w:lang w:val="ru-RU"/>
              </w:rPr>
            </w:pPr>
            <w:r w:rsidRPr="00D25812">
              <w:rPr>
                <w:lang w:val="ru-RU"/>
              </w:rPr>
              <w:t>13%</w:t>
            </w:r>
          </w:p>
        </w:tc>
        <w:tc>
          <w:tcPr>
            <w:tcW w:w="386" w:type="pct"/>
            <w:tcBorders>
              <w:top w:val="nil"/>
              <w:left w:val="nil"/>
              <w:bottom w:val="single" w:sz="4" w:space="0" w:color="auto"/>
              <w:right w:val="single" w:sz="4" w:space="0" w:color="auto"/>
            </w:tcBorders>
            <w:shd w:val="clear" w:color="auto" w:fill="auto"/>
            <w:noWrap/>
            <w:hideMark/>
          </w:tcPr>
          <w:p w14:paraId="292E31A4" w14:textId="4221A4B0" w:rsidR="00336F1A" w:rsidRPr="00D25812" w:rsidRDefault="00336F1A" w:rsidP="00D25812">
            <w:pPr>
              <w:pStyle w:val="Tabletext"/>
              <w:ind w:left="-57" w:right="-57"/>
              <w:jc w:val="right"/>
              <w:rPr>
                <w:rFonts w:cs="Calibri"/>
                <w:color w:val="000000"/>
                <w:lang w:val="ru-RU"/>
              </w:rPr>
            </w:pPr>
            <w:r w:rsidRPr="00D25812">
              <w:rPr>
                <w:lang w:val="ru-RU"/>
              </w:rPr>
              <w:t>11%</w:t>
            </w:r>
          </w:p>
        </w:tc>
        <w:tc>
          <w:tcPr>
            <w:tcW w:w="386" w:type="pct"/>
            <w:tcBorders>
              <w:top w:val="nil"/>
              <w:left w:val="nil"/>
              <w:bottom w:val="single" w:sz="4" w:space="0" w:color="auto"/>
              <w:right w:val="single" w:sz="4" w:space="0" w:color="auto"/>
            </w:tcBorders>
            <w:shd w:val="clear" w:color="auto" w:fill="auto"/>
            <w:noWrap/>
            <w:hideMark/>
          </w:tcPr>
          <w:p w14:paraId="6C332223" w14:textId="4B8904C4" w:rsidR="00336F1A" w:rsidRPr="00D25812" w:rsidRDefault="00336F1A" w:rsidP="00D25812">
            <w:pPr>
              <w:pStyle w:val="Tabletext"/>
              <w:ind w:left="-57" w:right="-57"/>
              <w:jc w:val="right"/>
              <w:rPr>
                <w:rFonts w:cs="Calibri"/>
                <w:color w:val="000000"/>
                <w:lang w:val="ru-RU"/>
              </w:rPr>
            </w:pPr>
            <w:r w:rsidRPr="00D25812">
              <w:rPr>
                <w:lang w:val="ru-RU"/>
              </w:rPr>
              <w:t>12%</w:t>
            </w:r>
          </w:p>
        </w:tc>
        <w:tc>
          <w:tcPr>
            <w:tcW w:w="386" w:type="pct"/>
            <w:tcBorders>
              <w:top w:val="nil"/>
              <w:left w:val="nil"/>
              <w:bottom w:val="single" w:sz="4" w:space="0" w:color="auto"/>
              <w:right w:val="single" w:sz="4" w:space="0" w:color="auto"/>
            </w:tcBorders>
            <w:shd w:val="clear" w:color="auto" w:fill="auto"/>
            <w:noWrap/>
            <w:hideMark/>
          </w:tcPr>
          <w:p w14:paraId="00B19673" w14:textId="6288A579"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37E56576" w14:textId="4D1CB682" w:rsidR="00336F1A" w:rsidRPr="00D25812" w:rsidRDefault="00336F1A" w:rsidP="00D25812">
            <w:pPr>
              <w:pStyle w:val="Tabletext"/>
              <w:ind w:left="-57" w:right="-57"/>
              <w:jc w:val="right"/>
              <w:rPr>
                <w:rFonts w:cs="Calibri"/>
                <w:color w:val="000000"/>
                <w:lang w:val="ru-RU"/>
              </w:rPr>
            </w:pPr>
            <w:r w:rsidRPr="00D25812">
              <w:rPr>
                <w:lang w:val="ru-RU"/>
              </w:rPr>
              <w:t>11%</w:t>
            </w:r>
          </w:p>
        </w:tc>
        <w:tc>
          <w:tcPr>
            <w:tcW w:w="386" w:type="pct"/>
            <w:tcBorders>
              <w:top w:val="nil"/>
              <w:left w:val="nil"/>
              <w:bottom w:val="single" w:sz="4" w:space="0" w:color="auto"/>
              <w:right w:val="single" w:sz="4" w:space="0" w:color="auto"/>
            </w:tcBorders>
            <w:shd w:val="clear" w:color="auto" w:fill="auto"/>
            <w:noWrap/>
            <w:hideMark/>
          </w:tcPr>
          <w:p w14:paraId="767235BC" w14:textId="6192789C" w:rsidR="00336F1A" w:rsidRPr="00D25812" w:rsidRDefault="00336F1A" w:rsidP="00D25812">
            <w:pPr>
              <w:pStyle w:val="Tabletext"/>
              <w:ind w:left="-57" w:right="-57"/>
              <w:jc w:val="right"/>
              <w:rPr>
                <w:rFonts w:cs="Calibri"/>
                <w:color w:val="000000"/>
                <w:lang w:val="ru-RU"/>
              </w:rPr>
            </w:pPr>
            <w:r w:rsidRPr="00D25812">
              <w:rPr>
                <w:lang w:val="ru-RU"/>
              </w:rPr>
              <w:t>63%</w:t>
            </w:r>
          </w:p>
        </w:tc>
        <w:tc>
          <w:tcPr>
            <w:tcW w:w="386" w:type="pct"/>
            <w:tcBorders>
              <w:top w:val="nil"/>
              <w:left w:val="nil"/>
              <w:bottom w:val="single" w:sz="4" w:space="0" w:color="auto"/>
              <w:right w:val="single" w:sz="4" w:space="0" w:color="auto"/>
            </w:tcBorders>
            <w:shd w:val="clear" w:color="auto" w:fill="auto"/>
            <w:noWrap/>
            <w:hideMark/>
          </w:tcPr>
          <w:p w14:paraId="168458BF" w14:textId="328E4ED2" w:rsidR="00336F1A" w:rsidRPr="00D25812" w:rsidRDefault="00336F1A" w:rsidP="00D25812">
            <w:pPr>
              <w:pStyle w:val="Tabletext"/>
              <w:ind w:left="-57" w:right="-57"/>
              <w:jc w:val="right"/>
              <w:rPr>
                <w:rFonts w:cs="Calibri"/>
                <w:color w:val="000000"/>
                <w:lang w:val="ru-RU"/>
              </w:rPr>
            </w:pPr>
            <w:r w:rsidRPr="00D25812">
              <w:rPr>
                <w:lang w:val="ru-RU"/>
              </w:rPr>
              <w:t>39%</w:t>
            </w:r>
          </w:p>
        </w:tc>
        <w:tc>
          <w:tcPr>
            <w:tcW w:w="386" w:type="pct"/>
            <w:tcBorders>
              <w:top w:val="nil"/>
              <w:left w:val="nil"/>
              <w:bottom w:val="single" w:sz="4" w:space="0" w:color="auto"/>
              <w:right w:val="single" w:sz="4" w:space="0" w:color="auto"/>
            </w:tcBorders>
            <w:shd w:val="clear" w:color="auto" w:fill="auto"/>
            <w:noWrap/>
            <w:hideMark/>
          </w:tcPr>
          <w:p w14:paraId="6E4D5D24" w14:textId="1872A05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57%</w:t>
            </w:r>
          </w:p>
        </w:tc>
        <w:tc>
          <w:tcPr>
            <w:tcW w:w="362" w:type="pct"/>
            <w:tcBorders>
              <w:top w:val="nil"/>
              <w:left w:val="nil"/>
              <w:bottom w:val="single" w:sz="4" w:space="0" w:color="auto"/>
              <w:right w:val="single" w:sz="8" w:space="0" w:color="auto"/>
            </w:tcBorders>
            <w:shd w:val="clear" w:color="auto" w:fill="auto"/>
            <w:noWrap/>
            <w:hideMark/>
          </w:tcPr>
          <w:p w14:paraId="28FB3267" w14:textId="7297555E"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30%</w:t>
            </w:r>
          </w:p>
        </w:tc>
      </w:tr>
      <w:tr w:rsidR="00336F1A" w:rsidRPr="00D25812" w14:paraId="0AEC6E1A" w14:textId="77777777" w:rsidTr="007D126F">
        <w:trPr>
          <w:trHeight w:val="288"/>
        </w:trPr>
        <w:tc>
          <w:tcPr>
            <w:tcW w:w="1554" w:type="pct"/>
            <w:tcBorders>
              <w:top w:val="nil"/>
              <w:left w:val="single" w:sz="8" w:space="0" w:color="auto"/>
              <w:bottom w:val="single" w:sz="4" w:space="0" w:color="auto"/>
              <w:right w:val="single" w:sz="4" w:space="0" w:color="auto"/>
            </w:tcBorders>
            <w:shd w:val="clear" w:color="auto" w:fill="auto"/>
            <w:noWrap/>
            <w:hideMark/>
          </w:tcPr>
          <w:p w14:paraId="15158B23" w14:textId="77777777" w:rsidR="00336F1A" w:rsidRPr="00D25812" w:rsidRDefault="00336F1A" w:rsidP="00D47F77">
            <w:pPr>
              <w:pStyle w:val="Tabletext"/>
              <w:rPr>
                <w:rFonts w:cs="Calibri"/>
                <w:color w:val="000000"/>
                <w:lang w:val="ru-RU"/>
              </w:rPr>
            </w:pPr>
            <w:r w:rsidRPr="00D25812">
              <w:rPr>
                <w:lang w:val="ru-RU"/>
              </w:rPr>
              <w:t>% просроченных рекомендаций</w:t>
            </w:r>
          </w:p>
        </w:tc>
        <w:tc>
          <w:tcPr>
            <w:tcW w:w="385" w:type="pct"/>
            <w:tcBorders>
              <w:top w:val="nil"/>
              <w:left w:val="nil"/>
              <w:bottom w:val="single" w:sz="4" w:space="0" w:color="auto"/>
              <w:right w:val="single" w:sz="4" w:space="0" w:color="auto"/>
            </w:tcBorders>
            <w:shd w:val="clear" w:color="auto" w:fill="auto"/>
            <w:noWrap/>
            <w:hideMark/>
          </w:tcPr>
          <w:p w14:paraId="768771F0" w14:textId="66911E95"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452AF52E" w14:textId="77777777" w:rsidR="00336F1A" w:rsidRPr="00D25812" w:rsidRDefault="00336F1A" w:rsidP="00D25812">
            <w:pPr>
              <w:pStyle w:val="Tabletext"/>
              <w:ind w:left="-57" w:right="-57"/>
              <w:jc w:val="right"/>
              <w:rPr>
                <w:rFonts w:cs="Calibri"/>
                <w:color w:val="000000"/>
                <w:lang w:val="ru-RU"/>
              </w:rPr>
            </w:pPr>
            <w:r w:rsidRPr="00D25812">
              <w:rPr>
                <w:lang w:val="ru-RU"/>
              </w:rPr>
              <w:t>0 %</w:t>
            </w:r>
          </w:p>
        </w:tc>
        <w:tc>
          <w:tcPr>
            <w:tcW w:w="386" w:type="pct"/>
            <w:tcBorders>
              <w:top w:val="nil"/>
              <w:left w:val="nil"/>
              <w:bottom w:val="single" w:sz="4" w:space="0" w:color="auto"/>
              <w:right w:val="single" w:sz="4" w:space="0" w:color="auto"/>
            </w:tcBorders>
            <w:shd w:val="clear" w:color="auto" w:fill="auto"/>
            <w:noWrap/>
            <w:hideMark/>
          </w:tcPr>
          <w:p w14:paraId="1C0CBC41" w14:textId="42803549"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2F9EDB96" w14:textId="2F40FDBB"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7C5AD863" w14:textId="20F4097D"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442C586F" w14:textId="4B29DB47" w:rsidR="00336F1A" w:rsidRPr="00D25812" w:rsidRDefault="00336F1A" w:rsidP="00D25812">
            <w:pPr>
              <w:pStyle w:val="Tabletext"/>
              <w:ind w:left="-57" w:right="-57"/>
              <w:jc w:val="right"/>
              <w:rPr>
                <w:rFonts w:cs="Calibri"/>
                <w:color w:val="000000"/>
                <w:lang w:val="ru-RU"/>
              </w:rPr>
            </w:pPr>
            <w:r w:rsidRPr="00D25812">
              <w:rPr>
                <w:lang w:val="ru-RU"/>
              </w:rPr>
              <w:t>0%</w:t>
            </w:r>
          </w:p>
        </w:tc>
        <w:tc>
          <w:tcPr>
            <w:tcW w:w="386" w:type="pct"/>
            <w:tcBorders>
              <w:top w:val="nil"/>
              <w:left w:val="nil"/>
              <w:bottom w:val="single" w:sz="4" w:space="0" w:color="auto"/>
              <w:right w:val="single" w:sz="4" w:space="0" w:color="auto"/>
            </w:tcBorders>
            <w:shd w:val="clear" w:color="auto" w:fill="auto"/>
            <w:noWrap/>
            <w:hideMark/>
          </w:tcPr>
          <w:p w14:paraId="74496793" w14:textId="224E57E2" w:rsidR="00336F1A" w:rsidRPr="00D25812" w:rsidRDefault="00336F1A" w:rsidP="00D25812">
            <w:pPr>
              <w:pStyle w:val="Tabletext"/>
              <w:ind w:left="-57" w:right="-57"/>
              <w:jc w:val="right"/>
              <w:rPr>
                <w:rFonts w:cs="Calibri"/>
                <w:color w:val="000000"/>
                <w:lang w:val="ru-RU"/>
              </w:rPr>
            </w:pPr>
            <w:r w:rsidRPr="00D25812">
              <w:rPr>
                <w:lang w:val="ru-RU"/>
              </w:rPr>
              <w:t>3%</w:t>
            </w:r>
          </w:p>
        </w:tc>
        <w:tc>
          <w:tcPr>
            <w:tcW w:w="386" w:type="pct"/>
            <w:tcBorders>
              <w:top w:val="nil"/>
              <w:left w:val="nil"/>
              <w:bottom w:val="single" w:sz="4" w:space="0" w:color="auto"/>
              <w:right w:val="single" w:sz="4" w:space="0" w:color="auto"/>
            </w:tcBorders>
            <w:shd w:val="clear" w:color="auto" w:fill="auto"/>
            <w:noWrap/>
            <w:hideMark/>
          </w:tcPr>
          <w:p w14:paraId="3F1756A8" w14:textId="007DD91D"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10%</w:t>
            </w:r>
          </w:p>
        </w:tc>
        <w:tc>
          <w:tcPr>
            <w:tcW w:w="362" w:type="pct"/>
            <w:tcBorders>
              <w:top w:val="nil"/>
              <w:left w:val="nil"/>
              <w:bottom w:val="single" w:sz="4" w:space="0" w:color="auto"/>
              <w:right w:val="single" w:sz="8" w:space="0" w:color="auto"/>
            </w:tcBorders>
            <w:shd w:val="clear" w:color="auto" w:fill="auto"/>
            <w:noWrap/>
            <w:hideMark/>
          </w:tcPr>
          <w:p w14:paraId="7D64465E" w14:textId="32DD65CE"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2%</w:t>
            </w:r>
          </w:p>
        </w:tc>
      </w:tr>
      <w:tr w:rsidR="00336F1A" w:rsidRPr="00D25812" w14:paraId="4D241D24" w14:textId="77777777" w:rsidTr="007D126F">
        <w:trPr>
          <w:trHeight w:val="300"/>
        </w:trPr>
        <w:tc>
          <w:tcPr>
            <w:tcW w:w="1554" w:type="pct"/>
            <w:tcBorders>
              <w:top w:val="nil"/>
              <w:left w:val="single" w:sz="8" w:space="0" w:color="auto"/>
              <w:bottom w:val="single" w:sz="8" w:space="0" w:color="auto"/>
              <w:right w:val="single" w:sz="4" w:space="0" w:color="auto"/>
            </w:tcBorders>
            <w:shd w:val="clear" w:color="auto" w:fill="auto"/>
            <w:noWrap/>
            <w:hideMark/>
          </w:tcPr>
          <w:p w14:paraId="2B4888EE" w14:textId="77777777" w:rsidR="00336F1A" w:rsidRPr="00D25812" w:rsidRDefault="00336F1A" w:rsidP="00D47F77">
            <w:pPr>
              <w:pStyle w:val="Tabletext"/>
              <w:rPr>
                <w:rFonts w:cs="Calibri"/>
                <w:color w:val="000000"/>
                <w:lang w:val="ru-RU"/>
              </w:rPr>
            </w:pPr>
            <w:r w:rsidRPr="00D25812">
              <w:rPr>
                <w:lang w:val="ru-RU"/>
              </w:rPr>
              <w:t>% выполненных рекомендаций</w:t>
            </w:r>
          </w:p>
        </w:tc>
        <w:tc>
          <w:tcPr>
            <w:tcW w:w="385" w:type="pct"/>
            <w:tcBorders>
              <w:top w:val="nil"/>
              <w:left w:val="nil"/>
              <w:bottom w:val="single" w:sz="8" w:space="0" w:color="auto"/>
              <w:right w:val="single" w:sz="4" w:space="0" w:color="auto"/>
            </w:tcBorders>
            <w:shd w:val="clear" w:color="auto" w:fill="auto"/>
            <w:noWrap/>
            <w:hideMark/>
          </w:tcPr>
          <w:p w14:paraId="18B9CFC1" w14:textId="684F37EE" w:rsidR="00336F1A" w:rsidRPr="00D25812" w:rsidRDefault="00336F1A" w:rsidP="00D25812">
            <w:pPr>
              <w:pStyle w:val="Tabletext"/>
              <w:ind w:left="-57" w:right="-57"/>
              <w:jc w:val="right"/>
              <w:rPr>
                <w:rFonts w:cs="Calibri"/>
                <w:color w:val="000000"/>
                <w:lang w:val="ru-RU"/>
              </w:rPr>
            </w:pPr>
            <w:r w:rsidRPr="00D25812">
              <w:rPr>
                <w:lang w:val="ru-RU"/>
              </w:rPr>
              <w:t>87%</w:t>
            </w:r>
          </w:p>
        </w:tc>
        <w:tc>
          <w:tcPr>
            <w:tcW w:w="386" w:type="pct"/>
            <w:tcBorders>
              <w:top w:val="nil"/>
              <w:left w:val="nil"/>
              <w:bottom w:val="single" w:sz="8" w:space="0" w:color="auto"/>
              <w:right w:val="single" w:sz="4" w:space="0" w:color="auto"/>
            </w:tcBorders>
            <w:shd w:val="clear" w:color="auto" w:fill="auto"/>
            <w:noWrap/>
            <w:hideMark/>
          </w:tcPr>
          <w:p w14:paraId="2B63E8EB" w14:textId="1FB7DE1D" w:rsidR="00336F1A" w:rsidRPr="00D25812" w:rsidRDefault="00336F1A" w:rsidP="00D25812">
            <w:pPr>
              <w:pStyle w:val="Tabletext"/>
              <w:ind w:left="-57" w:right="-57"/>
              <w:jc w:val="right"/>
              <w:rPr>
                <w:rFonts w:cs="Calibri"/>
                <w:color w:val="000000"/>
                <w:lang w:val="ru-RU"/>
              </w:rPr>
            </w:pPr>
            <w:r w:rsidRPr="00D25812">
              <w:rPr>
                <w:lang w:val="ru-RU"/>
              </w:rPr>
              <w:t>89%</w:t>
            </w:r>
          </w:p>
        </w:tc>
        <w:tc>
          <w:tcPr>
            <w:tcW w:w="386" w:type="pct"/>
            <w:tcBorders>
              <w:top w:val="nil"/>
              <w:left w:val="nil"/>
              <w:bottom w:val="single" w:sz="8" w:space="0" w:color="auto"/>
              <w:right w:val="single" w:sz="4" w:space="0" w:color="auto"/>
            </w:tcBorders>
            <w:shd w:val="clear" w:color="auto" w:fill="auto"/>
            <w:noWrap/>
            <w:hideMark/>
          </w:tcPr>
          <w:p w14:paraId="32EB55FD" w14:textId="6BD0C0C5" w:rsidR="00336F1A" w:rsidRPr="00D25812" w:rsidRDefault="00336F1A" w:rsidP="00D25812">
            <w:pPr>
              <w:pStyle w:val="Tabletext"/>
              <w:ind w:left="-57" w:right="-57"/>
              <w:jc w:val="right"/>
              <w:rPr>
                <w:rFonts w:cs="Calibri"/>
                <w:color w:val="000000"/>
                <w:lang w:val="ru-RU"/>
              </w:rPr>
            </w:pPr>
            <w:r w:rsidRPr="00D25812">
              <w:rPr>
                <w:lang w:val="ru-RU"/>
              </w:rPr>
              <w:t>88%</w:t>
            </w:r>
          </w:p>
        </w:tc>
        <w:tc>
          <w:tcPr>
            <w:tcW w:w="386" w:type="pct"/>
            <w:tcBorders>
              <w:top w:val="nil"/>
              <w:left w:val="nil"/>
              <w:bottom w:val="single" w:sz="8" w:space="0" w:color="auto"/>
              <w:right w:val="single" w:sz="4" w:space="0" w:color="auto"/>
            </w:tcBorders>
            <w:shd w:val="clear" w:color="auto" w:fill="auto"/>
            <w:noWrap/>
            <w:hideMark/>
          </w:tcPr>
          <w:p w14:paraId="094EA3DB" w14:textId="6B52C28D" w:rsidR="00336F1A" w:rsidRPr="00D25812" w:rsidRDefault="00336F1A" w:rsidP="00D25812">
            <w:pPr>
              <w:pStyle w:val="Tabletext"/>
              <w:ind w:left="-57" w:right="-57"/>
              <w:jc w:val="right"/>
              <w:rPr>
                <w:rFonts w:cs="Calibri"/>
                <w:color w:val="000000"/>
                <w:lang w:val="ru-RU"/>
              </w:rPr>
            </w:pPr>
            <w:r w:rsidRPr="00D25812">
              <w:rPr>
                <w:lang w:val="ru-RU"/>
              </w:rPr>
              <w:t>100%</w:t>
            </w:r>
          </w:p>
        </w:tc>
        <w:tc>
          <w:tcPr>
            <w:tcW w:w="386" w:type="pct"/>
            <w:tcBorders>
              <w:top w:val="nil"/>
              <w:left w:val="nil"/>
              <w:bottom w:val="single" w:sz="8" w:space="0" w:color="auto"/>
              <w:right w:val="single" w:sz="4" w:space="0" w:color="auto"/>
            </w:tcBorders>
            <w:shd w:val="clear" w:color="auto" w:fill="auto"/>
            <w:noWrap/>
            <w:hideMark/>
          </w:tcPr>
          <w:p w14:paraId="28F0ACFA" w14:textId="60FE9055" w:rsidR="00336F1A" w:rsidRPr="00D25812" w:rsidRDefault="00336F1A" w:rsidP="00D25812">
            <w:pPr>
              <w:pStyle w:val="Tabletext"/>
              <w:ind w:left="-57" w:right="-57"/>
              <w:jc w:val="right"/>
              <w:rPr>
                <w:rFonts w:cs="Calibri"/>
                <w:color w:val="000000"/>
                <w:lang w:val="ru-RU"/>
              </w:rPr>
            </w:pPr>
            <w:r w:rsidRPr="00D25812">
              <w:rPr>
                <w:lang w:val="ru-RU"/>
              </w:rPr>
              <w:t>89%</w:t>
            </w:r>
          </w:p>
        </w:tc>
        <w:tc>
          <w:tcPr>
            <w:tcW w:w="386" w:type="pct"/>
            <w:tcBorders>
              <w:top w:val="nil"/>
              <w:left w:val="nil"/>
              <w:bottom w:val="single" w:sz="8" w:space="0" w:color="auto"/>
              <w:right w:val="single" w:sz="4" w:space="0" w:color="auto"/>
            </w:tcBorders>
            <w:shd w:val="clear" w:color="auto" w:fill="auto"/>
            <w:noWrap/>
            <w:hideMark/>
          </w:tcPr>
          <w:p w14:paraId="3428B0F0" w14:textId="1FCE0E22" w:rsidR="00336F1A" w:rsidRPr="00D25812" w:rsidRDefault="00336F1A" w:rsidP="00D25812">
            <w:pPr>
              <w:pStyle w:val="Tabletext"/>
              <w:ind w:left="-57" w:right="-57"/>
              <w:jc w:val="right"/>
              <w:rPr>
                <w:rFonts w:cs="Calibri"/>
                <w:color w:val="000000"/>
                <w:lang w:val="ru-RU"/>
              </w:rPr>
            </w:pPr>
            <w:r w:rsidRPr="00D25812">
              <w:rPr>
                <w:lang w:val="ru-RU"/>
              </w:rPr>
              <w:t>37%</w:t>
            </w:r>
          </w:p>
        </w:tc>
        <w:tc>
          <w:tcPr>
            <w:tcW w:w="386" w:type="pct"/>
            <w:tcBorders>
              <w:top w:val="nil"/>
              <w:left w:val="nil"/>
              <w:bottom w:val="single" w:sz="8" w:space="0" w:color="auto"/>
              <w:right w:val="single" w:sz="4" w:space="0" w:color="auto"/>
            </w:tcBorders>
            <w:shd w:val="clear" w:color="auto" w:fill="auto"/>
            <w:noWrap/>
            <w:hideMark/>
          </w:tcPr>
          <w:p w14:paraId="1818B0EB" w14:textId="3F00F1F0" w:rsidR="00336F1A" w:rsidRPr="00D25812" w:rsidRDefault="00336F1A" w:rsidP="00D25812">
            <w:pPr>
              <w:pStyle w:val="Tabletext"/>
              <w:ind w:left="-57" w:right="-57"/>
              <w:jc w:val="right"/>
              <w:rPr>
                <w:rFonts w:cs="Calibri"/>
                <w:color w:val="000000"/>
                <w:lang w:val="ru-RU"/>
              </w:rPr>
            </w:pPr>
            <w:r w:rsidRPr="00D25812">
              <w:rPr>
                <w:lang w:val="ru-RU"/>
              </w:rPr>
              <w:t>58%</w:t>
            </w:r>
          </w:p>
        </w:tc>
        <w:tc>
          <w:tcPr>
            <w:tcW w:w="386" w:type="pct"/>
            <w:tcBorders>
              <w:top w:val="nil"/>
              <w:left w:val="nil"/>
              <w:bottom w:val="single" w:sz="8" w:space="0" w:color="auto"/>
              <w:right w:val="single" w:sz="4" w:space="0" w:color="auto"/>
            </w:tcBorders>
            <w:shd w:val="clear" w:color="auto" w:fill="auto"/>
            <w:noWrap/>
            <w:hideMark/>
          </w:tcPr>
          <w:p w14:paraId="0647F706" w14:textId="76FEE727" w:rsidR="00336F1A" w:rsidRPr="00D25812" w:rsidRDefault="00336F1A" w:rsidP="008B6B59">
            <w:pPr>
              <w:pStyle w:val="Tabletext"/>
              <w:tabs>
                <w:tab w:val="clear" w:pos="284"/>
                <w:tab w:val="clear" w:pos="567"/>
              </w:tabs>
              <w:ind w:left="-57" w:right="-57"/>
              <w:jc w:val="right"/>
              <w:rPr>
                <w:rFonts w:cs="Calibri"/>
                <w:color w:val="000000"/>
                <w:lang w:val="ru-RU"/>
              </w:rPr>
            </w:pPr>
            <w:r w:rsidRPr="00D25812">
              <w:rPr>
                <w:lang w:val="ru-RU"/>
              </w:rPr>
              <w:t>33%</w:t>
            </w:r>
          </w:p>
        </w:tc>
        <w:tc>
          <w:tcPr>
            <w:tcW w:w="362" w:type="pct"/>
            <w:tcBorders>
              <w:top w:val="nil"/>
              <w:left w:val="nil"/>
              <w:bottom w:val="single" w:sz="8" w:space="0" w:color="auto"/>
              <w:right w:val="single" w:sz="8" w:space="0" w:color="auto"/>
            </w:tcBorders>
            <w:shd w:val="clear" w:color="auto" w:fill="auto"/>
            <w:noWrap/>
            <w:hideMark/>
          </w:tcPr>
          <w:p w14:paraId="11DC57E1" w14:textId="2BF6B729" w:rsidR="00336F1A" w:rsidRPr="00D25812" w:rsidRDefault="00336F1A" w:rsidP="008B6B59">
            <w:pPr>
              <w:pStyle w:val="Tabletext"/>
              <w:tabs>
                <w:tab w:val="clear" w:pos="567"/>
              </w:tabs>
              <w:ind w:left="-57" w:right="-57"/>
              <w:jc w:val="right"/>
              <w:rPr>
                <w:rFonts w:cs="Calibri"/>
                <w:color w:val="000000"/>
                <w:lang w:val="ru-RU"/>
              </w:rPr>
            </w:pPr>
            <w:r w:rsidRPr="00D25812">
              <w:rPr>
                <w:lang w:val="ru-RU"/>
              </w:rPr>
              <w:t>68%</w:t>
            </w:r>
          </w:p>
        </w:tc>
      </w:tr>
    </w:tbl>
    <w:p w14:paraId="2163694F" w14:textId="3F3F2BB4" w:rsidR="00796BD3" w:rsidRPr="00D25812" w:rsidRDefault="00336F1A" w:rsidP="00336F1A">
      <w:pPr>
        <w:pStyle w:val="Tablelegend"/>
        <w:rPr>
          <w:lang w:val="ru-RU"/>
        </w:rPr>
      </w:pPr>
      <w:r w:rsidRPr="00D25812">
        <w:rPr>
          <w:lang w:val="ru-RU"/>
        </w:rPr>
        <w:t>*</w:t>
      </w:r>
      <w:r w:rsidRPr="00D25812">
        <w:rPr>
          <w:lang w:val="ru-RU"/>
        </w:rPr>
        <w:tab/>
      </w:r>
      <w:r w:rsidRPr="00D25812">
        <w:rPr>
          <w:lang w:val="ru-RU"/>
        </w:rPr>
        <w:t>Все рекомендации, выпущенные до 2016 года, были выполнены.</w:t>
      </w:r>
    </w:p>
    <w:p w14:paraId="0FECFAD0" w14:textId="77777777" w:rsidR="00336F1A" w:rsidRPr="00D25812" w:rsidRDefault="00336F1A" w:rsidP="00336F1A">
      <w:pPr>
        <w:spacing w:before="720"/>
        <w:jc w:val="center"/>
        <w:rPr>
          <w:lang w:val="ru-RU"/>
        </w:rPr>
      </w:pPr>
      <w:r w:rsidRPr="00D25812">
        <w:rPr>
          <w:lang w:val="ru-RU"/>
        </w:rPr>
        <w:t>______________</w:t>
      </w:r>
    </w:p>
    <w:sectPr w:rsidR="00336F1A" w:rsidRPr="00D25812" w:rsidSect="005F0A2B">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7517" w14:textId="77777777" w:rsidR="00336F1A" w:rsidRDefault="00336F1A">
      <w:r>
        <w:separator/>
      </w:r>
    </w:p>
  </w:endnote>
  <w:endnote w:type="continuationSeparator" w:id="0">
    <w:p w14:paraId="2CC4878B" w14:textId="77777777" w:rsidR="00336F1A" w:rsidRDefault="0033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490416F" w14:textId="77777777" w:rsidTr="00E31DCE">
      <w:trPr>
        <w:jc w:val="center"/>
      </w:trPr>
      <w:tc>
        <w:tcPr>
          <w:tcW w:w="1803" w:type="dxa"/>
          <w:vAlign w:val="center"/>
        </w:tcPr>
        <w:p w14:paraId="6CA46F9A" w14:textId="0B6AE214" w:rsidR="00672F8A" w:rsidRPr="00336F1A" w:rsidRDefault="00672F8A" w:rsidP="00672F8A">
          <w:pPr>
            <w:pStyle w:val="Header"/>
            <w:jc w:val="left"/>
            <w:rPr>
              <w:noProof/>
              <w:lang w:val="ru-RU"/>
            </w:rPr>
          </w:pPr>
        </w:p>
      </w:tc>
      <w:tc>
        <w:tcPr>
          <w:tcW w:w="8261" w:type="dxa"/>
        </w:tcPr>
        <w:p w14:paraId="7B5A5C34" w14:textId="3835B951"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336F1A">
            <w:rPr>
              <w:bCs/>
            </w:rPr>
            <w:t>44</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3D2B139E"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363DB319" w14:textId="77777777" w:rsidTr="00E31DCE">
      <w:trPr>
        <w:jc w:val="center"/>
      </w:trPr>
      <w:tc>
        <w:tcPr>
          <w:tcW w:w="1803" w:type="dxa"/>
          <w:vAlign w:val="center"/>
        </w:tcPr>
        <w:p w14:paraId="1A804A60" w14:textId="77777777" w:rsidR="00672F8A" w:rsidRDefault="00672F8A" w:rsidP="00672F8A">
          <w:pPr>
            <w:pStyle w:val="Header"/>
            <w:jc w:val="left"/>
            <w:rPr>
              <w:noProof/>
            </w:rPr>
          </w:pPr>
          <w:r w:rsidRPr="00660449">
            <w:rPr>
              <w:color w:val="0563C1"/>
              <w:szCs w:val="14"/>
            </w:rPr>
            <w:t>www.itu.int/council</w:t>
          </w:r>
        </w:p>
      </w:tc>
      <w:tc>
        <w:tcPr>
          <w:tcW w:w="8261" w:type="dxa"/>
        </w:tcPr>
        <w:p w14:paraId="46B20384" w14:textId="3544356F"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336F1A">
            <w:rPr>
              <w:bCs/>
            </w:rPr>
            <w:t>44</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80C9F3E"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C091" w14:textId="77777777" w:rsidR="00336F1A" w:rsidRDefault="00336F1A">
      <w:r>
        <w:t>____________________</w:t>
      </w:r>
    </w:p>
  </w:footnote>
  <w:footnote w:type="continuationSeparator" w:id="0">
    <w:p w14:paraId="28C6A334" w14:textId="77777777" w:rsidR="00336F1A" w:rsidRDefault="00336F1A">
      <w:r>
        <w:continuationSeparator/>
      </w:r>
    </w:p>
  </w:footnote>
  <w:footnote w:id="1">
    <w:p w14:paraId="4756BF62" w14:textId="77777777" w:rsidR="00336F1A" w:rsidRPr="00053BD1" w:rsidRDefault="00336F1A" w:rsidP="00336F1A">
      <w:pPr>
        <w:pStyle w:val="FootnoteText"/>
        <w:tabs>
          <w:tab w:val="clear" w:pos="255"/>
        </w:tabs>
        <w:spacing w:before="0"/>
        <w:rPr>
          <w:lang w:val="ru-RU"/>
        </w:rPr>
      </w:pPr>
      <w:r>
        <w:rPr>
          <w:rStyle w:val="FootnoteReference"/>
          <w:lang w:val="ru-RU"/>
        </w:rPr>
        <w:footnoteRef/>
      </w:r>
      <w:r>
        <w:rPr>
          <w:lang w:val="ru-RU"/>
        </w:rPr>
        <w:t xml:space="preserve"> </w:t>
      </w:r>
      <w:r>
        <w:rPr>
          <w:lang w:val="ru-RU"/>
        </w:rPr>
        <w:tab/>
        <w:t>Служебный приказ 13/09, изданный ГС 27 июня 2013 года, – все еще действует до принятия нового Устава Подразделения по надзору.</w:t>
      </w:r>
    </w:p>
  </w:footnote>
  <w:footnote w:id="2">
    <w:p w14:paraId="6B2B91B7" w14:textId="77777777" w:rsidR="00336F1A" w:rsidRPr="00053BD1" w:rsidRDefault="00336F1A" w:rsidP="00336F1A">
      <w:pPr>
        <w:pStyle w:val="FootnoteText"/>
        <w:tabs>
          <w:tab w:val="clear" w:pos="255"/>
        </w:tabs>
        <w:spacing w:before="0"/>
        <w:rPr>
          <w:sz w:val="16"/>
          <w:szCs w:val="16"/>
          <w:lang w:val="ru-RU"/>
        </w:rPr>
      </w:pPr>
      <w:r w:rsidRPr="00040E17">
        <w:rPr>
          <w:rStyle w:val="FootnoteReference"/>
          <w:szCs w:val="16"/>
          <w:lang w:val="ru-RU"/>
        </w:rPr>
        <w:footnoteRef/>
      </w:r>
      <w:r>
        <w:rPr>
          <w:lang w:val="ru-RU"/>
        </w:rPr>
        <w:t xml:space="preserve"> </w:t>
      </w:r>
      <w:r>
        <w:rPr>
          <w:lang w:val="ru-RU"/>
        </w:rPr>
        <w:tab/>
        <w:t xml:space="preserve">Институт внутренних аудиторов, </w:t>
      </w:r>
      <w:hyperlink r:id="rId1" w:history="1">
        <w:r w:rsidRPr="00DC609F">
          <w:rPr>
            <w:rStyle w:val="Hyperlink"/>
          </w:rPr>
          <w:t>www</w:t>
        </w:r>
        <w:r w:rsidRPr="00DC609F">
          <w:rPr>
            <w:rStyle w:val="Hyperlink"/>
            <w:lang w:val="ru-RU"/>
          </w:rPr>
          <w:t>.</w:t>
        </w:r>
        <w:r w:rsidRPr="00DC609F">
          <w:rPr>
            <w:rStyle w:val="Hyperlink"/>
          </w:rPr>
          <w:t>theiia</w:t>
        </w:r>
        <w:r w:rsidRPr="00DC609F">
          <w:rPr>
            <w:rStyle w:val="Hyperlink"/>
            <w:lang w:val="ru-RU"/>
          </w:rPr>
          <w:t>.</w:t>
        </w:r>
        <w:r w:rsidRPr="00DC609F">
          <w:rPr>
            <w:rStyle w:val="Hyperlink"/>
          </w:rPr>
          <w:t>org</w:t>
        </w:r>
      </w:hyperlink>
      <w:r>
        <w:rPr>
          <w:lang w:val="ru-RU"/>
        </w:rPr>
        <w:t>.</w:t>
      </w:r>
    </w:p>
  </w:footnote>
  <w:footnote w:id="3">
    <w:p w14:paraId="4975BD0A" w14:textId="77777777" w:rsidR="00336F1A" w:rsidRPr="00053BD1" w:rsidRDefault="00336F1A" w:rsidP="00336F1A">
      <w:pPr>
        <w:pStyle w:val="FootnoteText"/>
        <w:tabs>
          <w:tab w:val="clear" w:pos="255"/>
        </w:tabs>
        <w:spacing w:before="0"/>
        <w:rPr>
          <w:rFonts w:asciiTheme="minorHAnsi" w:hAnsiTheme="minorHAnsi" w:cstheme="minorHAnsi"/>
          <w:sz w:val="18"/>
          <w:szCs w:val="18"/>
          <w:lang w:val="ru-RU"/>
        </w:rPr>
      </w:pPr>
      <w:r w:rsidRPr="00371775">
        <w:rPr>
          <w:rStyle w:val="FootnoteReference"/>
          <w:rFonts w:asciiTheme="minorHAnsi" w:hAnsiTheme="minorHAnsi" w:cstheme="minorHAnsi"/>
          <w:szCs w:val="16"/>
          <w:lang w:val="ru-RU"/>
        </w:rPr>
        <w:footnoteRef/>
      </w:r>
      <w:r>
        <w:rPr>
          <w:lang w:val="ru-RU"/>
        </w:rPr>
        <w:t xml:space="preserve"> </w:t>
      </w:r>
      <w:r>
        <w:rPr>
          <w:lang w:val="ru-RU"/>
        </w:rPr>
        <w:tab/>
        <w:t>2500. A1 – Главный исполнительный сотрудник по аудиту должен организовать процесс принятия последующих мер для осуществления контроля и обеспечения эффективной реализации мер по управлению или же согласия руководства высшего звена на риск в случае непринятия мер.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204FF1CA" w14:textId="77777777" w:rsidTr="00E31DCE">
      <w:trPr>
        <w:trHeight w:val="1104"/>
        <w:jc w:val="center"/>
      </w:trPr>
      <w:tc>
        <w:tcPr>
          <w:tcW w:w="4390" w:type="dxa"/>
          <w:vAlign w:val="center"/>
        </w:tcPr>
        <w:p w14:paraId="663AB4F0" w14:textId="77777777" w:rsidR="00796BD3" w:rsidRPr="009621F8" w:rsidRDefault="00660449" w:rsidP="00796BD3">
          <w:pPr>
            <w:pStyle w:val="Header"/>
            <w:jc w:val="left"/>
            <w:rPr>
              <w:rFonts w:ascii="Arial" w:hAnsi="Arial" w:cs="Arial"/>
              <w:b/>
              <w:bCs/>
              <w:color w:val="009CD6"/>
              <w:sz w:val="36"/>
              <w:szCs w:val="36"/>
            </w:rPr>
          </w:pPr>
          <w:bookmarkStart w:id="8" w:name="_Hlk133422111"/>
          <w:r>
            <w:rPr>
              <w:noProof/>
            </w:rPr>
            <w:drawing>
              <wp:inline distT="0" distB="0" distL="0" distR="0" wp14:anchorId="4D34C941" wp14:editId="7D19A9F0">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753C5A6A" w14:textId="77777777" w:rsidR="00796BD3" w:rsidRDefault="00796BD3" w:rsidP="00796BD3">
          <w:pPr>
            <w:pStyle w:val="Header"/>
            <w:jc w:val="right"/>
            <w:rPr>
              <w:rFonts w:ascii="Arial" w:hAnsi="Arial" w:cs="Arial"/>
              <w:b/>
              <w:bCs/>
              <w:color w:val="009CD6"/>
              <w:szCs w:val="18"/>
            </w:rPr>
          </w:pPr>
        </w:p>
        <w:p w14:paraId="27657EAF" w14:textId="77777777" w:rsidR="00796BD3" w:rsidRDefault="00796BD3" w:rsidP="00796BD3">
          <w:pPr>
            <w:pStyle w:val="Header"/>
            <w:jc w:val="right"/>
            <w:rPr>
              <w:rFonts w:ascii="Arial" w:hAnsi="Arial" w:cs="Arial"/>
              <w:b/>
              <w:bCs/>
              <w:color w:val="009CD6"/>
              <w:szCs w:val="18"/>
            </w:rPr>
          </w:pPr>
        </w:p>
        <w:p w14:paraId="7BB9C1E2"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35FBA16F"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994888" wp14:editId="7F807C6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42670"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E568E"/>
    <w:rsid w:val="0014734F"/>
    <w:rsid w:val="0015710D"/>
    <w:rsid w:val="00163A32"/>
    <w:rsid w:val="00165D06"/>
    <w:rsid w:val="00192B41"/>
    <w:rsid w:val="001B7B09"/>
    <w:rsid w:val="001E6719"/>
    <w:rsid w:val="001E7F50"/>
    <w:rsid w:val="00225368"/>
    <w:rsid w:val="00227FF0"/>
    <w:rsid w:val="00291EB6"/>
    <w:rsid w:val="002D2F57"/>
    <w:rsid w:val="002D48C5"/>
    <w:rsid w:val="0033025A"/>
    <w:rsid w:val="00336F1A"/>
    <w:rsid w:val="003F099E"/>
    <w:rsid w:val="003F235E"/>
    <w:rsid w:val="004023E0"/>
    <w:rsid w:val="00403DD8"/>
    <w:rsid w:val="00442515"/>
    <w:rsid w:val="0045686C"/>
    <w:rsid w:val="004918C4"/>
    <w:rsid w:val="00497703"/>
    <w:rsid w:val="004A0374"/>
    <w:rsid w:val="004A45B5"/>
    <w:rsid w:val="004D0129"/>
    <w:rsid w:val="005010B2"/>
    <w:rsid w:val="005A64D5"/>
    <w:rsid w:val="005B3DEC"/>
    <w:rsid w:val="005F0A2B"/>
    <w:rsid w:val="00601994"/>
    <w:rsid w:val="00660449"/>
    <w:rsid w:val="00672F8A"/>
    <w:rsid w:val="006C43D3"/>
    <w:rsid w:val="006E2D42"/>
    <w:rsid w:val="00703676"/>
    <w:rsid w:val="00707304"/>
    <w:rsid w:val="00732269"/>
    <w:rsid w:val="00762555"/>
    <w:rsid w:val="00785ABD"/>
    <w:rsid w:val="00796BD3"/>
    <w:rsid w:val="007A2DD4"/>
    <w:rsid w:val="007D126F"/>
    <w:rsid w:val="007D38B5"/>
    <w:rsid w:val="007E7EA0"/>
    <w:rsid w:val="00807255"/>
    <w:rsid w:val="0081023E"/>
    <w:rsid w:val="008173AA"/>
    <w:rsid w:val="00840A14"/>
    <w:rsid w:val="008B62B4"/>
    <w:rsid w:val="008B6B59"/>
    <w:rsid w:val="008D2D7B"/>
    <w:rsid w:val="008E0737"/>
    <w:rsid w:val="008F7C2C"/>
    <w:rsid w:val="00940E96"/>
    <w:rsid w:val="009B0BAE"/>
    <w:rsid w:val="009C1C89"/>
    <w:rsid w:val="009F3448"/>
    <w:rsid w:val="00A01CF9"/>
    <w:rsid w:val="00A71773"/>
    <w:rsid w:val="00AE2C85"/>
    <w:rsid w:val="00B12A37"/>
    <w:rsid w:val="00B407DC"/>
    <w:rsid w:val="00B41837"/>
    <w:rsid w:val="00B63EF2"/>
    <w:rsid w:val="00BA7D89"/>
    <w:rsid w:val="00BC0D39"/>
    <w:rsid w:val="00BC7BC0"/>
    <w:rsid w:val="00BD57B7"/>
    <w:rsid w:val="00BE63E2"/>
    <w:rsid w:val="00C96752"/>
    <w:rsid w:val="00CD2009"/>
    <w:rsid w:val="00CF629C"/>
    <w:rsid w:val="00D25812"/>
    <w:rsid w:val="00D47F77"/>
    <w:rsid w:val="00D92EEA"/>
    <w:rsid w:val="00DA5D4E"/>
    <w:rsid w:val="00E176BA"/>
    <w:rsid w:val="00E423EC"/>
    <w:rsid w:val="00E55121"/>
    <w:rsid w:val="00EB4FCB"/>
    <w:rsid w:val="00EC6BC5"/>
    <w:rsid w:val="00F23AAB"/>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3F7C0"/>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7DC"/>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B407DC"/>
    <w:pPr>
      <w:keepNext/>
      <w:keepLines/>
      <w:spacing w:before="480"/>
      <w:ind w:left="794" w:hanging="794"/>
      <w:outlineLvl w:val="0"/>
    </w:pPr>
    <w:rPr>
      <w:b/>
      <w:sz w:val="26"/>
    </w:rPr>
  </w:style>
  <w:style w:type="paragraph" w:styleId="Heading2">
    <w:name w:val="heading 2"/>
    <w:basedOn w:val="Heading1"/>
    <w:next w:val="Normal"/>
    <w:qFormat/>
    <w:rsid w:val="00B407DC"/>
    <w:pPr>
      <w:spacing w:before="320"/>
      <w:outlineLvl w:val="1"/>
    </w:pPr>
    <w:rPr>
      <w:sz w:val="22"/>
    </w:rPr>
  </w:style>
  <w:style w:type="paragraph" w:styleId="Heading3">
    <w:name w:val="heading 3"/>
    <w:basedOn w:val="Heading1"/>
    <w:next w:val="Normal"/>
    <w:qFormat/>
    <w:rsid w:val="00B407DC"/>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B407DC"/>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B407DC"/>
    <w:pPr>
      <w:outlineLvl w:val="4"/>
    </w:pPr>
  </w:style>
  <w:style w:type="paragraph" w:styleId="Heading6">
    <w:name w:val="heading 6"/>
    <w:basedOn w:val="Heading4"/>
    <w:next w:val="Normal"/>
    <w:qFormat/>
    <w:rsid w:val="00B407DC"/>
    <w:pPr>
      <w:outlineLvl w:val="5"/>
    </w:pPr>
  </w:style>
  <w:style w:type="paragraph" w:styleId="Heading7">
    <w:name w:val="heading 7"/>
    <w:basedOn w:val="Heading6"/>
    <w:next w:val="Normal"/>
    <w:qFormat/>
    <w:rsid w:val="00B407DC"/>
    <w:pPr>
      <w:outlineLvl w:val="6"/>
    </w:pPr>
  </w:style>
  <w:style w:type="paragraph" w:styleId="Heading8">
    <w:name w:val="heading 8"/>
    <w:basedOn w:val="Heading6"/>
    <w:next w:val="Normal"/>
    <w:qFormat/>
    <w:rsid w:val="00B407DC"/>
    <w:pPr>
      <w:outlineLvl w:val="7"/>
    </w:pPr>
  </w:style>
  <w:style w:type="paragraph" w:styleId="Heading9">
    <w:name w:val="heading 9"/>
    <w:basedOn w:val="Heading6"/>
    <w:next w:val="Normal"/>
    <w:qFormat/>
    <w:rsid w:val="00B407DC"/>
    <w:pPr>
      <w:outlineLvl w:val="8"/>
    </w:pPr>
  </w:style>
  <w:style w:type="character" w:default="1" w:styleId="DefaultParagraphFont">
    <w:name w:val="Default Paragraph Font"/>
    <w:uiPriority w:val="1"/>
    <w:semiHidden/>
    <w:unhideWhenUsed/>
    <w:rsid w:val="00B407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07DC"/>
  </w:style>
  <w:style w:type="paragraph" w:styleId="TOC8">
    <w:name w:val="toc 8"/>
    <w:basedOn w:val="TOC4"/>
    <w:rsid w:val="00B407DC"/>
  </w:style>
  <w:style w:type="paragraph" w:styleId="TOC4">
    <w:name w:val="toc 4"/>
    <w:basedOn w:val="TOC3"/>
    <w:rsid w:val="00B407DC"/>
    <w:pPr>
      <w:spacing w:before="80"/>
    </w:pPr>
  </w:style>
  <w:style w:type="paragraph" w:styleId="TOC3">
    <w:name w:val="toc 3"/>
    <w:basedOn w:val="TOC2"/>
    <w:rsid w:val="00B407DC"/>
  </w:style>
  <w:style w:type="paragraph" w:styleId="TOC2">
    <w:name w:val="toc 2"/>
    <w:basedOn w:val="TOC1"/>
    <w:rsid w:val="00B407DC"/>
    <w:pPr>
      <w:spacing w:before="160"/>
    </w:pPr>
  </w:style>
  <w:style w:type="paragraph" w:styleId="TOC1">
    <w:name w:val="toc 1"/>
    <w:basedOn w:val="Normal"/>
    <w:rsid w:val="00B407DC"/>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B407DC"/>
  </w:style>
  <w:style w:type="paragraph" w:styleId="TOC6">
    <w:name w:val="toc 6"/>
    <w:basedOn w:val="TOC4"/>
    <w:rsid w:val="00B407DC"/>
  </w:style>
  <w:style w:type="paragraph" w:styleId="TOC5">
    <w:name w:val="toc 5"/>
    <w:basedOn w:val="TOC4"/>
    <w:rsid w:val="00B407DC"/>
  </w:style>
  <w:style w:type="paragraph" w:styleId="Index7">
    <w:name w:val="index 7"/>
    <w:basedOn w:val="Normal"/>
    <w:next w:val="Normal"/>
    <w:rsid w:val="00B407DC"/>
    <w:pPr>
      <w:ind w:left="1698"/>
    </w:pPr>
  </w:style>
  <w:style w:type="paragraph" w:styleId="Index6">
    <w:name w:val="index 6"/>
    <w:basedOn w:val="Normal"/>
    <w:next w:val="Normal"/>
    <w:rsid w:val="00B407DC"/>
    <w:pPr>
      <w:ind w:left="1415"/>
    </w:pPr>
  </w:style>
  <w:style w:type="paragraph" w:styleId="Index5">
    <w:name w:val="index 5"/>
    <w:basedOn w:val="Normal"/>
    <w:next w:val="Normal"/>
    <w:rsid w:val="00B407DC"/>
    <w:pPr>
      <w:ind w:left="1132"/>
    </w:pPr>
  </w:style>
  <w:style w:type="paragraph" w:styleId="Index4">
    <w:name w:val="index 4"/>
    <w:basedOn w:val="Normal"/>
    <w:next w:val="Normal"/>
    <w:rsid w:val="00B407DC"/>
    <w:pPr>
      <w:ind w:left="849"/>
    </w:pPr>
  </w:style>
  <w:style w:type="paragraph" w:styleId="Index3">
    <w:name w:val="index 3"/>
    <w:basedOn w:val="Normal"/>
    <w:next w:val="Normal"/>
    <w:rsid w:val="00B407DC"/>
    <w:pPr>
      <w:ind w:left="566"/>
    </w:pPr>
  </w:style>
  <w:style w:type="paragraph" w:styleId="Index2">
    <w:name w:val="index 2"/>
    <w:basedOn w:val="Normal"/>
    <w:next w:val="Normal"/>
    <w:rsid w:val="00B407DC"/>
    <w:pPr>
      <w:ind w:left="283"/>
    </w:pPr>
  </w:style>
  <w:style w:type="paragraph" w:styleId="Index1">
    <w:name w:val="index 1"/>
    <w:basedOn w:val="Normal"/>
    <w:next w:val="Normal"/>
    <w:rsid w:val="00B407DC"/>
  </w:style>
  <w:style w:type="character" w:styleId="LineNumber">
    <w:name w:val="line number"/>
    <w:basedOn w:val="DefaultParagraphFont"/>
    <w:rsid w:val="00B407DC"/>
  </w:style>
  <w:style w:type="paragraph" w:styleId="IndexHeading">
    <w:name w:val="index heading"/>
    <w:basedOn w:val="Normal"/>
    <w:next w:val="Index1"/>
    <w:rsid w:val="00B407DC"/>
  </w:style>
  <w:style w:type="paragraph" w:styleId="Footer">
    <w:name w:val="footer"/>
    <w:basedOn w:val="Normal"/>
    <w:rsid w:val="00B407DC"/>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407DC"/>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B407DC"/>
    <w:rPr>
      <w:position w:val="6"/>
      <w:sz w:val="16"/>
    </w:rPr>
  </w:style>
  <w:style w:type="paragraph" w:styleId="FootnoteText">
    <w:name w:val="footnote text"/>
    <w:basedOn w:val="Normal"/>
    <w:link w:val="FootnoteTextChar"/>
    <w:uiPriority w:val="99"/>
    <w:rsid w:val="00B407DC"/>
    <w:pPr>
      <w:keepLines/>
      <w:tabs>
        <w:tab w:val="left" w:pos="255"/>
      </w:tabs>
      <w:spacing w:before="60"/>
      <w:ind w:left="284" w:hanging="284"/>
    </w:pPr>
    <w:rPr>
      <w:sz w:val="20"/>
    </w:rPr>
  </w:style>
  <w:style w:type="paragraph" w:styleId="NormalIndent">
    <w:name w:val="Normal Indent"/>
    <w:basedOn w:val="Normal"/>
    <w:rsid w:val="00B407DC"/>
    <w:pPr>
      <w:ind w:left="794"/>
    </w:pPr>
  </w:style>
  <w:style w:type="paragraph" w:customStyle="1" w:styleId="enumlev1">
    <w:name w:val="enumlev1"/>
    <w:basedOn w:val="Normal"/>
    <w:link w:val="enumlev1Char"/>
    <w:rsid w:val="00B407DC"/>
    <w:pPr>
      <w:tabs>
        <w:tab w:val="left" w:pos="2608"/>
        <w:tab w:val="left" w:pos="3345"/>
      </w:tabs>
      <w:spacing w:before="80"/>
      <w:ind w:left="794" w:hanging="794"/>
    </w:pPr>
  </w:style>
  <w:style w:type="paragraph" w:customStyle="1" w:styleId="enumlev2">
    <w:name w:val="enumlev2"/>
    <w:basedOn w:val="enumlev1"/>
    <w:rsid w:val="00B407DC"/>
    <w:pPr>
      <w:ind w:left="1191" w:hanging="397"/>
    </w:pPr>
  </w:style>
  <w:style w:type="paragraph" w:customStyle="1" w:styleId="enumlev3">
    <w:name w:val="enumlev3"/>
    <w:basedOn w:val="enumlev2"/>
    <w:rsid w:val="00B407DC"/>
    <w:pPr>
      <w:ind w:left="1588"/>
    </w:pPr>
  </w:style>
  <w:style w:type="paragraph" w:customStyle="1" w:styleId="Normalaftertitle">
    <w:name w:val="Normal after title"/>
    <w:basedOn w:val="Normal"/>
    <w:next w:val="Normal"/>
    <w:link w:val="NormalaftertitleChar"/>
    <w:rsid w:val="00B407DC"/>
    <w:pPr>
      <w:spacing w:before="320"/>
    </w:pPr>
  </w:style>
  <w:style w:type="paragraph" w:customStyle="1" w:styleId="Equation">
    <w:name w:val="Equation"/>
    <w:basedOn w:val="Normal"/>
    <w:rsid w:val="00B407DC"/>
    <w:pPr>
      <w:tabs>
        <w:tab w:val="clear" w:pos="1191"/>
        <w:tab w:val="clear" w:pos="1588"/>
        <w:tab w:val="clear" w:pos="1985"/>
        <w:tab w:val="center" w:pos="4820"/>
        <w:tab w:val="right" w:pos="9639"/>
      </w:tabs>
    </w:pPr>
  </w:style>
  <w:style w:type="paragraph" w:customStyle="1" w:styleId="Head">
    <w:name w:val="Head"/>
    <w:basedOn w:val="Normal"/>
    <w:rsid w:val="00B407DC"/>
    <w:pPr>
      <w:tabs>
        <w:tab w:val="left" w:pos="6663"/>
      </w:tabs>
      <w:overflowPunct/>
      <w:autoSpaceDE/>
      <w:autoSpaceDN/>
      <w:adjustRightInd/>
      <w:spacing w:before="0"/>
      <w:textAlignment w:val="auto"/>
    </w:pPr>
  </w:style>
  <w:style w:type="paragraph" w:customStyle="1" w:styleId="toc0">
    <w:name w:val="toc 0"/>
    <w:basedOn w:val="Normal"/>
    <w:next w:val="TOC1"/>
    <w:rsid w:val="00B407DC"/>
    <w:pPr>
      <w:tabs>
        <w:tab w:val="clear" w:pos="1191"/>
        <w:tab w:val="clear" w:pos="1588"/>
        <w:tab w:val="clear" w:pos="1985"/>
        <w:tab w:val="center" w:pos="8789"/>
      </w:tabs>
    </w:pPr>
    <w:rPr>
      <w:b/>
    </w:rPr>
  </w:style>
  <w:style w:type="paragraph" w:styleId="List">
    <w:name w:val="List"/>
    <w:basedOn w:val="Normal"/>
    <w:rsid w:val="00B407DC"/>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B407DC"/>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B407DC"/>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B407DC"/>
    <w:pPr>
      <w:spacing w:before="480"/>
      <w:jc w:val="center"/>
    </w:pPr>
    <w:rPr>
      <w:b/>
      <w:sz w:val="26"/>
    </w:rPr>
  </w:style>
  <w:style w:type="paragraph" w:customStyle="1" w:styleId="meeting">
    <w:name w:val="meeting"/>
    <w:basedOn w:val="Head"/>
    <w:next w:val="Head"/>
    <w:rsid w:val="00B407DC"/>
    <w:pPr>
      <w:tabs>
        <w:tab w:val="left" w:pos="7371"/>
      </w:tabs>
      <w:spacing w:after="567"/>
    </w:pPr>
  </w:style>
  <w:style w:type="paragraph" w:customStyle="1" w:styleId="Subject">
    <w:name w:val="Subject"/>
    <w:basedOn w:val="Normal"/>
    <w:next w:val="Source"/>
    <w:rsid w:val="00B407DC"/>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B407DC"/>
  </w:style>
  <w:style w:type="paragraph" w:customStyle="1" w:styleId="Data">
    <w:name w:val="Data"/>
    <w:basedOn w:val="Subject"/>
    <w:next w:val="Subject"/>
    <w:rsid w:val="00B407DC"/>
  </w:style>
  <w:style w:type="paragraph" w:customStyle="1" w:styleId="Reasons">
    <w:name w:val="Reasons"/>
    <w:basedOn w:val="Normal"/>
    <w:qFormat/>
    <w:rsid w:val="00B407DC"/>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407DC"/>
    <w:rPr>
      <w:color w:val="0000FF"/>
      <w:u w:val="single"/>
    </w:rPr>
  </w:style>
  <w:style w:type="paragraph" w:customStyle="1" w:styleId="FirstFooter">
    <w:name w:val="FirstFooter"/>
    <w:basedOn w:val="Footer"/>
    <w:rsid w:val="00B407DC"/>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B407DC"/>
    <w:pPr>
      <w:tabs>
        <w:tab w:val="clear" w:pos="794"/>
        <w:tab w:val="clear" w:pos="1191"/>
        <w:tab w:val="clear" w:pos="1588"/>
        <w:tab w:val="clear" w:pos="1985"/>
      </w:tabs>
      <w:spacing w:before="80"/>
    </w:pPr>
  </w:style>
  <w:style w:type="paragraph" w:styleId="TOC9">
    <w:name w:val="toc 9"/>
    <w:basedOn w:val="TOC4"/>
    <w:rsid w:val="00B407DC"/>
  </w:style>
  <w:style w:type="paragraph" w:customStyle="1" w:styleId="Headingb">
    <w:name w:val="Heading_b"/>
    <w:basedOn w:val="Heading3"/>
    <w:next w:val="Normal"/>
    <w:rsid w:val="00B407DC"/>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B407DC"/>
    <w:rPr>
      <w:color w:val="800080"/>
      <w:u w:val="single"/>
    </w:rPr>
  </w:style>
  <w:style w:type="paragraph" w:customStyle="1" w:styleId="Title1">
    <w:name w:val="Title 1"/>
    <w:basedOn w:val="Source"/>
    <w:next w:val="Title2"/>
    <w:rsid w:val="00B407D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B407DC"/>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B407DC"/>
    <w:pPr>
      <w:spacing w:before="240"/>
    </w:pPr>
    <w:rPr>
      <w:caps w:val="0"/>
    </w:rPr>
  </w:style>
  <w:style w:type="paragraph" w:customStyle="1" w:styleId="Title4">
    <w:name w:val="Title 4"/>
    <w:basedOn w:val="Title3"/>
    <w:next w:val="Heading1"/>
    <w:rsid w:val="00B407DC"/>
    <w:rPr>
      <w:b/>
    </w:rPr>
  </w:style>
  <w:style w:type="paragraph" w:customStyle="1" w:styleId="dnum">
    <w:name w:val="dnum"/>
    <w:basedOn w:val="Normal"/>
    <w:rsid w:val="00B407D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B407D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B407D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B407DC"/>
    <w:pPr>
      <w:keepNext/>
      <w:keepLines/>
      <w:spacing w:before="480" w:after="80"/>
      <w:jc w:val="center"/>
    </w:pPr>
    <w:rPr>
      <w:caps/>
      <w:sz w:val="26"/>
    </w:rPr>
  </w:style>
  <w:style w:type="paragraph" w:customStyle="1" w:styleId="Annextitle">
    <w:name w:val="Annex_title"/>
    <w:basedOn w:val="Normal"/>
    <w:next w:val="Annexref"/>
    <w:link w:val="AnnextitleChar"/>
    <w:rsid w:val="00B407DC"/>
    <w:pPr>
      <w:keepNext/>
      <w:keepLines/>
      <w:spacing w:before="240" w:after="280"/>
      <w:jc w:val="center"/>
    </w:pPr>
    <w:rPr>
      <w:b/>
      <w:sz w:val="26"/>
    </w:rPr>
  </w:style>
  <w:style w:type="paragraph" w:customStyle="1" w:styleId="Annexref">
    <w:name w:val="Annex_ref"/>
    <w:basedOn w:val="Normal"/>
    <w:next w:val="Normalaftertitle"/>
    <w:rsid w:val="00B407DC"/>
    <w:pPr>
      <w:keepNext/>
      <w:keepLines/>
      <w:spacing w:after="280"/>
      <w:jc w:val="center"/>
    </w:pPr>
  </w:style>
  <w:style w:type="paragraph" w:customStyle="1" w:styleId="AppendixNo">
    <w:name w:val="Appendix_No"/>
    <w:basedOn w:val="AnnexNo"/>
    <w:next w:val="Appendixtitle"/>
    <w:rsid w:val="00B407DC"/>
  </w:style>
  <w:style w:type="paragraph" w:customStyle="1" w:styleId="Appendixtitle">
    <w:name w:val="Appendix_title"/>
    <w:basedOn w:val="Annextitle"/>
    <w:next w:val="Appendixref"/>
    <w:rsid w:val="00B407DC"/>
  </w:style>
  <w:style w:type="paragraph" w:customStyle="1" w:styleId="Appendixref">
    <w:name w:val="Appendix_ref"/>
    <w:basedOn w:val="Annexref"/>
    <w:next w:val="Normalaftertitle"/>
    <w:rsid w:val="00B407DC"/>
  </w:style>
  <w:style w:type="paragraph" w:customStyle="1" w:styleId="Call">
    <w:name w:val="Call"/>
    <w:basedOn w:val="Normal"/>
    <w:next w:val="Normal"/>
    <w:link w:val="CallChar"/>
    <w:rsid w:val="00B407DC"/>
    <w:pPr>
      <w:keepNext/>
      <w:keepLines/>
      <w:spacing w:before="160"/>
      <w:ind w:left="794"/>
    </w:pPr>
    <w:rPr>
      <w:i/>
    </w:rPr>
  </w:style>
  <w:style w:type="character" w:styleId="EndnoteReference">
    <w:name w:val="endnote reference"/>
    <w:basedOn w:val="DefaultParagraphFont"/>
    <w:rsid w:val="00B407DC"/>
    <w:rPr>
      <w:vertAlign w:val="superscript"/>
    </w:rPr>
  </w:style>
  <w:style w:type="paragraph" w:customStyle="1" w:styleId="Equationlegend">
    <w:name w:val="Equation_legend"/>
    <w:basedOn w:val="Normal"/>
    <w:rsid w:val="00B407D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B407DC"/>
    <w:pPr>
      <w:keepNext/>
      <w:keepLines/>
      <w:spacing w:after="120"/>
      <w:jc w:val="center"/>
    </w:pPr>
  </w:style>
  <w:style w:type="paragraph" w:customStyle="1" w:styleId="Figuretitle">
    <w:name w:val="Figure_title"/>
    <w:basedOn w:val="Tabletitle"/>
    <w:next w:val="Normalaftertitle"/>
    <w:rsid w:val="00B407DC"/>
    <w:pPr>
      <w:spacing w:before="240" w:after="480"/>
    </w:pPr>
  </w:style>
  <w:style w:type="paragraph" w:customStyle="1" w:styleId="Tabletitle">
    <w:name w:val="Table_title"/>
    <w:basedOn w:val="TableNo"/>
    <w:next w:val="Tabletext"/>
    <w:rsid w:val="00B407DC"/>
    <w:pPr>
      <w:spacing w:before="0"/>
    </w:pPr>
    <w:rPr>
      <w:b/>
      <w:caps w:val="0"/>
    </w:rPr>
  </w:style>
  <w:style w:type="paragraph" w:customStyle="1" w:styleId="TableNo">
    <w:name w:val="Table_No"/>
    <w:basedOn w:val="Normal"/>
    <w:next w:val="Tabletitle"/>
    <w:rsid w:val="00B407DC"/>
    <w:pPr>
      <w:keepNext/>
      <w:spacing w:before="360" w:after="120"/>
      <w:jc w:val="center"/>
    </w:pPr>
    <w:rPr>
      <w:caps/>
    </w:rPr>
  </w:style>
  <w:style w:type="paragraph" w:customStyle="1" w:styleId="Tabletext">
    <w:name w:val="Table_text"/>
    <w:basedOn w:val="Normal"/>
    <w:rsid w:val="00B407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B407D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407DC"/>
    <w:pPr>
      <w:keepNext/>
      <w:keepLines/>
      <w:spacing w:before="240" w:after="120"/>
      <w:jc w:val="center"/>
    </w:pPr>
    <w:rPr>
      <w:caps/>
    </w:rPr>
  </w:style>
  <w:style w:type="paragraph" w:customStyle="1" w:styleId="Figurewithouttitle">
    <w:name w:val="Figure_without_title"/>
    <w:basedOn w:val="Figure"/>
    <w:next w:val="Normalaftertitle"/>
    <w:rsid w:val="00B407DC"/>
    <w:pPr>
      <w:keepNext w:val="0"/>
      <w:spacing w:after="240"/>
    </w:pPr>
  </w:style>
  <w:style w:type="paragraph" w:customStyle="1" w:styleId="Headingi">
    <w:name w:val="Heading_i"/>
    <w:basedOn w:val="Heading3"/>
    <w:next w:val="Normal"/>
    <w:rsid w:val="00B407DC"/>
    <w:pPr>
      <w:spacing w:before="160"/>
    </w:pPr>
    <w:rPr>
      <w:rFonts w:ascii="Calibri" w:hAnsi="Calibri"/>
      <w:b w:val="0"/>
    </w:rPr>
  </w:style>
  <w:style w:type="character" w:styleId="PageNumber">
    <w:name w:val="page number"/>
    <w:basedOn w:val="DefaultParagraphFont"/>
    <w:rsid w:val="00B407DC"/>
    <w:rPr>
      <w:rFonts w:ascii="Calibri" w:hAnsi="Calibri"/>
    </w:rPr>
  </w:style>
  <w:style w:type="paragraph" w:customStyle="1" w:styleId="PartNo">
    <w:name w:val="Part_No"/>
    <w:basedOn w:val="AnnexNo"/>
    <w:next w:val="Parttitle"/>
    <w:rsid w:val="00B407DC"/>
  </w:style>
  <w:style w:type="paragraph" w:customStyle="1" w:styleId="Parttitle">
    <w:name w:val="Part_title"/>
    <w:basedOn w:val="Annextitle"/>
    <w:next w:val="Partref"/>
    <w:rsid w:val="00B407DC"/>
  </w:style>
  <w:style w:type="paragraph" w:customStyle="1" w:styleId="Partref">
    <w:name w:val="Part_ref"/>
    <w:basedOn w:val="Annexref"/>
    <w:next w:val="Normalaftertitle"/>
    <w:rsid w:val="00B407DC"/>
  </w:style>
  <w:style w:type="paragraph" w:customStyle="1" w:styleId="RecNo">
    <w:name w:val="Rec_No"/>
    <w:basedOn w:val="Normal"/>
    <w:next w:val="Rectitle"/>
    <w:rsid w:val="00B407DC"/>
    <w:pPr>
      <w:keepNext/>
      <w:keepLines/>
      <w:spacing w:before="480"/>
      <w:jc w:val="center"/>
    </w:pPr>
    <w:rPr>
      <w:caps/>
      <w:sz w:val="26"/>
    </w:rPr>
  </w:style>
  <w:style w:type="paragraph" w:customStyle="1" w:styleId="Rectitle">
    <w:name w:val="Rec_title"/>
    <w:basedOn w:val="RecNo"/>
    <w:next w:val="Recref"/>
    <w:rsid w:val="00B407DC"/>
    <w:pPr>
      <w:spacing w:before="240"/>
    </w:pPr>
    <w:rPr>
      <w:b/>
      <w:caps w:val="0"/>
    </w:rPr>
  </w:style>
  <w:style w:type="paragraph" w:customStyle="1" w:styleId="Recref">
    <w:name w:val="Rec_ref"/>
    <w:basedOn w:val="Rectitle"/>
    <w:next w:val="Recdate"/>
    <w:rsid w:val="00B407DC"/>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B407DC"/>
    <w:pPr>
      <w:jc w:val="right"/>
    </w:pPr>
    <w:rPr>
      <w:sz w:val="22"/>
    </w:rPr>
  </w:style>
  <w:style w:type="paragraph" w:customStyle="1" w:styleId="Questiondate">
    <w:name w:val="Question_date"/>
    <w:basedOn w:val="Recdate"/>
    <w:next w:val="Normalaftertitle"/>
    <w:rsid w:val="00B407DC"/>
  </w:style>
  <w:style w:type="paragraph" w:customStyle="1" w:styleId="QuestionNo">
    <w:name w:val="Question_No"/>
    <w:basedOn w:val="RecNo"/>
    <w:next w:val="Questiontitle"/>
    <w:rsid w:val="00B407DC"/>
  </w:style>
  <w:style w:type="paragraph" w:customStyle="1" w:styleId="Questionref">
    <w:name w:val="Question_ref"/>
    <w:basedOn w:val="Recref"/>
    <w:next w:val="Questiondate"/>
    <w:rsid w:val="00B407DC"/>
  </w:style>
  <w:style w:type="paragraph" w:customStyle="1" w:styleId="Questiontitle">
    <w:name w:val="Question_title"/>
    <w:basedOn w:val="Rectitle"/>
    <w:next w:val="Questionref"/>
    <w:rsid w:val="00B407DC"/>
  </w:style>
  <w:style w:type="paragraph" w:customStyle="1" w:styleId="Reftext">
    <w:name w:val="Ref_text"/>
    <w:basedOn w:val="Normal"/>
    <w:rsid w:val="00B407DC"/>
    <w:pPr>
      <w:ind w:left="794" w:hanging="794"/>
    </w:pPr>
  </w:style>
  <w:style w:type="paragraph" w:customStyle="1" w:styleId="Reftitle">
    <w:name w:val="Ref_title"/>
    <w:basedOn w:val="Normal"/>
    <w:next w:val="Reftext"/>
    <w:rsid w:val="00B407DC"/>
    <w:pPr>
      <w:spacing w:before="480"/>
      <w:jc w:val="center"/>
    </w:pPr>
    <w:rPr>
      <w:caps/>
    </w:rPr>
  </w:style>
  <w:style w:type="paragraph" w:customStyle="1" w:styleId="Repdate">
    <w:name w:val="Rep_date"/>
    <w:basedOn w:val="Recdate"/>
    <w:next w:val="Normalaftertitle"/>
    <w:rsid w:val="00B407DC"/>
  </w:style>
  <w:style w:type="paragraph" w:customStyle="1" w:styleId="RepNo">
    <w:name w:val="Rep_No"/>
    <w:basedOn w:val="RecNo"/>
    <w:next w:val="Reptitle"/>
    <w:rsid w:val="00B407DC"/>
  </w:style>
  <w:style w:type="paragraph" w:customStyle="1" w:styleId="Reptitle">
    <w:name w:val="Rep_title"/>
    <w:basedOn w:val="Rectitle"/>
    <w:next w:val="Repref"/>
    <w:rsid w:val="00B407DC"/>
  </w:style>
  <w:style w:type="paragraph" w:customStyle="1" w:styleId="Repref">
    <w:name w:val="Rep_ref"/>
    <w:basedOn w:val="Recref"/>
    <w:next w:val="Repdate"/>
    <w:rsid w:val="00B407DC"/>
  </w:style>
  <w:style w:type="paragraph" w:customStyle="1" w:styleId="Resdate">
    <w:name w:val="Res_date"/>
    <w:basedOn w:val="Recdate"/>
    <w:next w:val="Normalaftertitle"/>
    <w:rsid w:val="00B407DC"/>
  </w:style>
  <w:style w:type="paragraph" w:customStyle="1" w:styleId="ResNo">
    <w:name w:val="Res_No"/>
    <w:basedOn w:val="RecNo"/>
    <w:next w:val="Restitle"/>
    <w:link w:val="ResNoChar"/>
    <w:rsid w:val="00B407DC"/>
  </w:style>
  <w:style w:type="paragraph" w:customStyle="1" w:styleId="Restitle">
    <w:name w:val="Res_title"/>
    <w:basedOn w:val="Rectitle"/>
    <w:next w:val="Resref"/>
    <w:link w:val="RestitleChar"/>
    <w:rsid w:val="00B407DC"/>
  </w:style>
  <w:style w:type="paragraph" w:customStyle="1" w:styleId="Resref">
    <w:name w:val="Res_ref"/>
    <w:basedOn w:val="Recref"/>
    <w:next w:val="Resdate"/>
    <w:rsid w:val="00B407DC"/>
  </w:style>
  <w:style w:type="paragraph" w:customStyle="1" w:styleId="SectionNo">
    <w:name w:val="Section_No"/>
    <w:basedOn w:val="AnnexNo"/>
    <w:next w:val="Sectiontitle"/>
    <w:rsid w:val="00B407DC"/>
  </w:style>
  <w:style w:type="paragraph" w:customStyle="1" w:styleId="Sectiontitle">
    <w:name w:val="Section_title"/>
    <w:basedOn w:val="Normal"/>
    <w:next w:val="Normalaftertitle"/>
    <w:rsid w:val="00B407DC"/>
    <w:rPr>
      <w:sz w:val="26"/>
    </w:rPr>
  </w:style>
  <w:style w:type="paragraph" w:customStyle="1" w:styleId="SpecialFooter">
    <w:name w:val="Special Footer"/>
    <w:basedOn w:val="Footer"/>
    <w:rsid w:val="00B407D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407DC"/>
    <w:pPr>
      <w:keepNext/>
      <w:spacing w:before="80" w:after="80"/>
      <w:jc w:val="center"/>
    </w:pPr>
    <w:rPr>
      <w:b/>
    </w:rPr>
  </w:style>
  <w:style w:type="paragraph" w:customStyle="1" w:styleId="Tablelegend">
    <w:name w:val="Table_legend"/>
    <w:basedOn w:val="Tabletext"/>
    <w:rsid w:val="00B407DC"/>
    <w:pPr>
      <w:spacing w:before="120"/>
    </w:pPr>
  </w:style>
  <w:style w:type="paragraph" w:customStyle="1" w:styleId="Tableref">
    <w:name w:val="Table_ref"/>
    <w:basedOn w:val="Normal"/>
    <w:next w:val="Tabletitle"/>
    <w:rsid w:val="00B407DC"/>
    <w:pPr>
      <w:keepNext/>
      <w:spacing w:before="567"/>
      <w:jc w:val="center"/>
    </w:pPr>
  </w:style>
  <w:style w:type="paragraph" w:customStyle="1" w:styleId="Artheading">
    <w:name w:val="Art_heading"/>
    <w:basedOn w:val="Normal"/>
    <w:next w:val="Normalaftertitle"/>
    <w:rsid w:val="00B407DC"/>
    <w:pPr>
      <w:spacing w:before="480"/>
      <w:jc w:val="center"/>
    </w:pPr>
    <w:rPr>
      <w:rFonts w:ascii="Times New Roman Bold" w:hAnsi="Times New Roman Bold"/>
      <w:b/>
      <w:sz w:val="26"/>
    </w:rPr>
  </w:style>
  <w:style w:type="paragraph" w:customStyle="1" w:styleId="ArtNo">
    <w:name w:val="Art_No"/>
    <w:basedOn w:val="Normal"/>
    <w:next w:val="Normal"/>
    <w:rsid w:val="00B407DC"/>
    <w:pPr>
      <w:keepNext/>
      <w:keepLines/>
      <w:spacing w:before="480"/>
      <w:jc w:val="center"/>
    </w:pPr>
    <w:rPr>
      <w:caps/>
      <w:sz w:val="26"/>
    </w:rPr>
  </w:style>
  <w:style w:type="paragraph" w:customStyle="1" w:styleId="Arttitle">
    <w:name w:val="Art_title"/>
    <w:basedOn w:val="Normal"/>
    <w:next w:val="Normalaftertitle"/>
    <w:rsid w:val="00B407DC"/>
    <w:pPr>
      <w:keepNext/>
      <w:keepLines/>
      <w:spacing w:before="240"/>
      <w:jc w:val="center"/>
    </w:pPr>
    <w:rPr>
      <w:b/>
      <w:sz w:val="26"/>
    </w:rPr>
  </w:style>
  <w:style w:type="paragraph" w:customStyle="1" w:styleId="ChapNo">
    <w:name w:val="Chap_No"/>
    <w:basedOn w:val="ArtNo"/>
    <w:next w:val="Chaptitle"/>
    <w:rsid w:val="00B407DC"/>
    <w:rPr>
      <w:b/>
    </w:rPr>
  </w:style>
  <w:style w:type="paragraph" w:customStyle="1" w:styleId="Chaptitle">
    <w:name w:val="Chap_title"/>
    <w:basedOn w:val="Arttitle"/>
    <w:next w:val="Normalaftertitle"/>
    <w:rsid w:val="00B407DC"/>
  </w:style>
  <w:style w:type="character" w:customStyle="1" w:styleId="HeaderChar">
    <w:name w:val="Header Char"/>
    <w:basedOn w:val="DefaultParagraphFont"/>
    <w:link w:val="Header"/>
    <w:uiPriority w:val="99"/>
    <w:rsid w:val="00B407DC"/>
    <w:rPr>
      <w:rFonts w:ascii="Calibri" w:hAnsi="Calibri"/>
      <w:sz w:val="18"/>
      <w:lang w:val="fr-FR" w:eastAsia="en-US"/>
    </w:rPr>
  </w:style>
  <w:style w:type="table" w:styleId="TableGrid">
    <w:name w:val="Table Grid"/>
    <w:basedOn w:val="TableNormal"/>
    <w:uiPriority w:val="39"/>
    <w:rsid w:val="00B407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B407DC"/>
    <w:pPr>
      <w:framePr w:hSpace="180" w:wrap="around" w:hAnchor="page" w:x="1821" w:y="2317"/>
      <w:spacing w:before="120" w:after="160"/>
      <w:jc w:val="left"/>
    </w:pPr>
    <w:rPr>
      <w:caps w:val="0"/>
      <w:sz w:val="34"/>
    </w:rPr>
  </w:style>
  <w:style w:type="paragraph" w:styleId="ListParagraph">
    <w:name w:val="List Paragraph"/>
    <w:aliases w:val="titre,Listenabsatz Standard"/>
    <w:basedOn w:val="Normal"/>
    <w:link w:val="ListParagraphChar"/>
    <w:uiPriority w:val="34"/>
    <w:qFormat/>
    <w:rsid w:val="00B407DC"/>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customStyle="1" w:styleId="ListParagraphChar">
    <w:name w:val="List Paragraph Char"/>
    <w:aliases w:val="titre Char,Listenabsatz Standard Char"/>
    <w:basedOn w:val="DefaultParagraphFont"/>
    <w:link w:val="ListParagraph"/>
    <w:uiPriority w:val="34"/>
    <w:locked/>
    <w:rsid w:val="00B407DC"/>
    <w:rPr>
      <w:rFonts w:ascii="Calibri" w:hAnsi="Calibri"/>
      <w:sz w:val="24"/>
      <w:lang w:val="en-GB" w:eastAsia="en-US"/>
    </w:rPr>
  </w:style>
  <w:style w:type="table" w:customStyle="1" w:styleId="TableGrid1">
    <w:name w:val="Table Grid1"/>
    <w:basedOn w:val="TableNormal"/>
    <w:next w:val="TableGrid"/>
    <w:uiPriority w:val="39"/>
    <w:rsid w:val="00336F1A"/>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B407DC"/>
    <w:rPr>
      <w:rFonts w:ascii="Calibri" w:hAnsi="Calibri"/>
      <w:lang w:val="en-GB" w:eastAsia="en-US"/>
    </w:rPr>
  </w:style>
  <w:style w:type="character" w:customStyle="1" w:styleId="AnnextitleChar">
    <w:name w:val="Annex_title Char"/>
    <w:basedOn w:val="DefaultParagraphFont"/>
    <w:link w:val="Annextitle"/>
    <w:locked/>
    <w:rsid w:val="00B407DC"/>
    <w:rPr>
      <w:rFonts w:ascii="Calibri" w:hAnsi="Calibri"/>
      <w:b/>
      <w:sz w:val="26"/>
      <w:lang w:val="en-GB" w:eastAsia="en-US"/>
    </w:rPr>
  </w:style>
  <w:style w:type="character" w:customStyle="1" w:styleId="CallChar">
    <w:name w:val="Call Char"/>
    <w:basedOn w:val="DefaultParagraphFont"/>
    <w:link w:val="Call"/>
    <w:locked/>
    <w:rsid w:val="00B407DC"/>
    <w:rPr>
      <w:rFonts w:ascii="Calibri" w:hAnsi="Calibri"/>
      <w:i/>
      <w:sz w:val="22"/>
      <w:lang w:val="en-GB" w:eastAsia="en-US"/>
    </w:rPr>
  </w:style>
  <w:style w:type="character" w:styleId="CommentReference">
    <w:name w:val="annotation reference"/>
    <w:basedOn w:val="DefaultParagraphFont"/>
    <w:semiHidden/>
    <w:unhideWhenUsed/>
    <w:rsid w:val="00B407DC"/>
    <w:rPr>
      <w:sz w:val="16"/>
      <w:szCs w:val="16"/>
    </w:rPr>
  </w:style>
  <w:style w:type="paragraph" w:styleId="CommentText">
    <w:name w:val="annotation text"/>
    <w:basedOn w:val="Normal"/>
    <w:link w:val="CommentTextChar"/>
    <w:unhideWhenUsed/>
    <w:rsid w:val="00B407DC"/>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B407DC"/>
    <w:rPr>
      <w:rFonts w:ascii="Calibri" w:hAnsi="Calibri"/>
      <w:lang w:val="en-GB" w:eastAsia="en-US"/>
    </w:rPr>
  </w:style>
  <w:style w:type="paragraph" w:styleId="CommentSubject">
    <w:name w:val="annotation subject"/>
    <w:basedOn w:val="CommentText"/>
    <w:next w:val="CommentText"/>
    <w:link w:val="CommentSubjectChar"/>
    <w:semiHidden/>
    <w:unhideWhenUsed/>
    <w:rsid w:val="00B407DC"/>
    <w:rPr>
      <w:b/>
      <w:bCs/>
    </w:rPr>
  </w:style>
  <w:style w:type="character" w:customStyle="1" w:styleId="CommentSubjectChar">
    <w:name w:val="Comment Subject Char"/>
    <w:basedOn w:val="CommentTextChar"/>
    <w:link w:val="CommentSubject"/>
    <w:semiHidden/>
    <w:rsid w:val="00B407DC"/>
    <w:rPr>
      <w:rFonts w:ascii="Calibri" w:hAnsi="Calibri"/>
      <w:b/>
      <w:bCs/>
      <w:lang w:val="en-GB" w:eastAsia="en-US"/>
    </w:rPr>
  </w:style>
  <w:style w:type="character" w:customStyle="1" w:styleId="enumlev1Char">
    <w:name w:val="enumlev1 Char"/>
    <w:basedOn w:val="DefaultParagraphFont"/>
    <w:link w:val="enumlev1"/>
    <w:locked/>
    <w:rsid w:val="00B407DC"/>
    <w:rPr>
      <w:rFonts w:ascii="Calibri" w:hAnsi="Calibri"/>
      <w:sz w:val="22"/>
      <w:lang w:val="en-GB" w:eastAsia="en-US"/>
    </w:rPr>
  </w:style>
  <w:style w:type="character" w:customStyle="1" w:styleId="eop">
    <w:name w:val="eop"/>
    <w:basedOn w:val="DefaultParagraphFont"/>
    <w:rsid w:val="00B407DC"/>
  </w:style>
  <w:style w:type="character" w:customStyle="1" w:styleId="NormalaftertitleChar">
    <w:name w:val="Normal after title Char"/>
    <w:basedOn w:val="DefaultParagraphFont"/>
    <w:link w:val="Normalaftertitle"/>
    <w:locked/>
    <w:rsid w:val="00B407DC"/>
    <w:rPr>
      <w:rFonts w:ascii="Calibri" w:hAnsi="Calibri"/>
      <w:sz w:val="22"/>
      <w:lang w:val="en-GB" w:eastAsia="en-US"/>
    </w:rPr>
  </w:style>
  <w:style w:type="character" w:customStyle="1" w:styleId="normaltextrun">
    <w:name w:val="normaltextrun"/>
    <w:basedOn w:val="DefaultParagraphFont"/>
    <w:rsid w:val="00B407DC"/>
  </w:style>
  <w:style w:type="character" w:customStyle="1" w:styleId="ResNoChar">
    <w:name w:val="Res_No Char"/>
    <w:basedOn w:val="DefaultParagraphFont"/>
    <w:link w:val="ResNo"/>
    <w:locked/>
    <w:rsid w:val="00B407DC"/>
    <w:rPr>
      <w:rFonts w:ascii="Calibri" w:hAnsi="Calibri"/>
      <w:caps/>
      <w:sz w:val="26"/>
      <w:lang w:val="en-GB" w:eastAsia="en-US"/>
    </w:rPr>
  </w:style>
  <w:style w:type="character" w:customStyle="1" w:styleId="RestitleChar">
    <w:name w:val="Res_title Char"/>
    <w:basedOn w:val="DefaultParagraphFont"/>
    <w:link w:val="Restitle"/>
    <w:locked/>
    <w:rsid w:val="00B407DC"/>
    <w:rPr>
      <w:rFonts w:ascii="Calibri" w:hAnsi="Calibri"/>
      <w:b/>
      <w:sz w:val="26"/>
      <w:lang w:val="en-GB" w:eastAsia="en-US"/>
    </w:rPr>
  </w:style>
  <w:style w:type="character" w:styleId="UnresolvedMention">
    <w:name w:val="Unresolved Mention"/>
    <w:basedOn w:val="DefaultParagraphFont"/>
    <w:uiPriority w:val="99"/>
    <w:semiHidden/>
    <w:unhideWhenUsed/>
    <w:rsid w:val="00B4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ties/Documents/Financial-regulations/S-GEN-REG_RGTFIN-2022-PDF-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tu.int/md/S23-CL-C-0053/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WGFHR15-C-0003/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4-CL-INF-0005/en" TargetMode="External"/><Relationship Id="rId4" Type="http://schemas.openxmlformats.org/officeDocument/2006/relationships/webSettings" Target="webSettings.xml"/><Relationship Id="rId9" Type="http://schemas.openxmlformats.org/officeDocument/2006/relationships/hyperlink" Target="https://www.itu.int/en/council/Pages/form-internal-audit.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35</TotalTime>
  <Pages>7</Pages>
  <Words>2070</Words>
  <Characters>14418</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16456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Sikacheva, Violetta</dc:creator>
  <cp:keywords>C2024, C24, Council-24</cp:keywords>
  <dc:description/>
  <cp:lastModifiedBy>Sikacheva, Violetta</cp:lastModifiedBy>
  <cp:revision>8</cp:revision>
  <cp:lastPrinted>2006-03-28T16:12:00Z</cp:lastPrinted>
  <dcterms:created xsi:type="dcterms:W3CDTF">2024-05-27T08:11:00Z</dcterms:created>
  <dcterms:modified xsi:type="dcterms:W3CDTF">2024-05-27T08:53:00Z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