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5BD63DEC" w14:textId="77777777" w:rsidTr="00F363FE">
        <w:tc>
          <w:tcPr>
            <w:tcW w:w="6512" w:type="dxa"/>
          </w:tcPr>
          <w:p w14:paraId="779E845C" w14:textId="55270861"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D375BA">
              <w:rPr>
                <w:rFonts w:hint="cs"/>
                <w:b/>
                <w:bCs/>
                <w:rtl/>
                <w:lang w:bidi="ar-EG"/>
              </w:rPr>
              <w:t xml:space="preserve"> </w:t>
            </w:r>
            <w:r w:rsidR="00D375BA">
              <w:rPr>
                <w:b/>
                <w:bCs/>
                <w:lang w:bidi="ar-EG"/>
              </w:rPr>
              <w:t>ADM 2</w:t>
            </w:r>
          </w:p>
        </w:tc>
        <w:tc>
          <w:tcPr>
            <w:tcW w:w="3117" w:type="dxa"/>
          </w:tcPr>
          <w:p w14:paraId="1748B862" w14:textId="56D5CBBF"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D375BA">
              <w:rPr>
                <w:b/>
                <w:bCs/>
                <w:lang w:bidi="ar-EG"/>
              </w:rPr>
              <w:t>44</w:t>
            </w:r>
            <w:r w:rsidRPr="007B0AA0">
              <w:rPr>
                <w:b/>
                <w:bCs/>
                <w:lang w:bidi="ar-EG"/>
              </w:rPr>
              <w:t>-A</w:t>
            </w:r>
          </w:p>
        </w:tc>
      </w:tr>
      <w:tr w:rsidR="007B0AA0" w14:paraId="1E53EAB3" w14:textId="77777777" w:rsidTr="00F363FE">
        <w:tc>
          <w:tcPr>
            <w:tcW w:w="6512" w:type="dxa"/>
          </w:tcPr>
          <w:p w14:paraId="45127B06" w14:textId="77777777" w:rsidR="007B0AA0" w:rsidRPr="007B0AA0" w:rsidRDefault="007B0AA0" w:rsidP="00F363FE">
            <w:pPr>
              <w:spacing w:before="60" w:after="60" w:line="260" w:lineRule="exact"/>
              <w:rPr>
                <w:b/>
                <w:bCs/>
                <w:rtl/>
                <w:lang w:bidi="ar-EG"/>
              </w:rPr>
            </w:pPr>
          </w:p>
        </w:tc>
        <w:tc>
          <w:tcPr>
            <w:tcW w:w="3117" w:type="dxa"/>
          </w:tcPr>
          <w:p w14:paraId="71066B6B" w14:textId="64EE953A" w:rsidR="007B0AA0" w:rsidRPr="007B0AA0" w:rsidRDefault="00D375BA" w:rsidP="00F363FE">
            <w:pPr>
              <w:spacing w:before="60" w:after="60" w:line="260" w:lineRule="exact"/>
              <w:rPr>
                <w:b/>
                <w:bCs/>
                <w:rtl/>
                <w:lang w:bidi="ar-EG"/>
              </w:rPr>
            </w:pPr>
            <w:r>
              <w:rPr>
                <w:b/>
                <w:bCs/>
                <w:lang w:bidi="ar-EG"/>
              </w:rPr>
              <w:t>3</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76C466D9" w14:textId="77777777" w:rsidTr="00F363FE">
        <w:tc>
          <w:tcPr>
            <w:tcW w:w="6512" w:type="dxa"/>
          </w:tcPr>
          <w:p w14:paraId="145F8E33" w14:textId="77777777" w:rsidR="007B0AA0" w:rsidRPr="007B0AA0" w:rsidRDefault="007B0AA0" w:rsidP="00F363FE">
            <w:pPr>
              <w:spacing w:before="60" w:after="60" w:line="260" w:lineRule="exact"/>
              <w:rPr>
                <w:b/>
                <w:bCs/>
                <w:rtl/>
                <w:lang w:bidi="ar-EG"/>
              </w:rPr>
            </w:pPr>
          </w:p>
        </w:tc>
        <w:tc>
          <w:tcPr>
            <w:tcW w:w="3117" w:type="dxa"/>
          </w:tcPr>
          <w:p w14:paraId="30DF04B5" w14:textId="430E4ACB"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D375BA">
              <w:rPr>
                <w:rFonts w:hint="cs"/>
                <w:b/>
                <w:bCs/>
                <w:rtl/>
                <w:lang w:bidi="ar-EG"/>
              </w:rPr>
              <w:t>بالإنكليزية</w:t>
            </w:r>
          </w:p>
        </w:tc>
      </w:tr>
      <w:tr w:rsidR="007B0AA0" w14:paraId="6915ED51" w14:textId="77777777" w:rsidTr="00F363FE">
        <w:tc>
          <w:tcPr>
            <w:tcW w:w="6512" w:type="dxa"/>
          </w:tcPr>
          <w:p w14:paraId="67AA7D87" w14:textId="77777777" w:rsidR="007B0AA0" w:rsidRDefault="007B0AA0" w:rsidP="00F363FE">
            <w:pPr>
              <w:spacing w:before="60" w:after="60" w:line="260" w:lineRule="exact"/>
              <w:rPr>
                <w:lang w:bidi="ar-EG"/>
              </w:rPr>
            </w:pPr>
          </w:p>
        </w:tc>
        <w:tc>
          <w:tcPr>
            <w:tcW w:w="3117" w:type="dxa"/>
          </w:tcPr>
          <w:p w14:paraId="129E9710" w14:textId="77777777" w:rsidR="007B0AA0" w:rsidRDefault="007B0AA0" w:rsidP="00F363FE">
            <w:pPr>
              <w:spacing w:before="60" w:after="60" w:line="260" w:lineRule="exact"/>
              <w:rPr>
                <w:rtl/>
                <w:lang w:bidi="ar-EG"/>
              </w:rPr>
            </w:pPr>
          </w:p>
        </w:tc>
      </w:tr>
      <w:tr w:rsidR="007B0AA0" w14:paraId="330D8525" w14:textId="77777777" w:rsidTr="00EE7446">
        <w:tc>
          <w:tcPr>
            <w:tcW w:w="9629" w:type="dxa"/>
            <w:gridSpan w:val="2"/>
          </w:tcPr>
          <w:p w14:paraId="093E3896" w14:textId="3A76C0E3" w:rsidR="007B0AA0" w:rsidRDefault="00D375BA" w:rsidP="007B0AA0">
            <w:pPr>
              <w:pStyle w:val="Source"/>
              <w:jc w:val="left"/>
              <w:rPr>
                <w:rtl/>
                <w:lang w:bidi="ar-EG"/>
              </w:rPr>
            </w:pPr>
            <w:r w:rsidRPr="00057204">
              <w:rPr>
                <w:rFonts w:hint="cs"/>
                <w:rtl/>
                <w:lang w:bidi="ar-EG"/>
              </w:rPr>
              <w:t>تقرير من الأمينة العامة</w:t>
            </w:r>
          </w:p>
        </w:tc>
      </w:tr>
      <w:tr w:rsidR="007B0AA0" w14:paraId="765C47CB" w14:textId="77777777" w:rsidTr="007B0AA0">
        <w:tc>
          <w:tcPr>
            <w:tcW w:w="9629" w:type="dxa"/>
            <w:gridSpan w:val="2"/>
            <w:tcBorders>
              <w:bottom w:val="single" w:sz="4" w:space="0" w:color="auto"/>
            </w:tcBorders>
          </w:tcPr>
          <w:p w14:paraId="28B9AE31" w14:textId="5839FF2B" w:rsidR="007B0AA0" w:rsidRPr="00EE622F" w:rsidRDefault="00D375BA" w:rsidP="00EE622F">
            <w:pPr>
              <w:pStyle w:val="Subtitle0"/>
            </w:pPr>
            <w:r w:rsidRPr="00EE622F">
              <w:rPr>
                <w:rFonts w:hint="cs"/>
                <w:rtl/>
              </w:rPr>
              <w:t>تقرير وحدة الرقابة بشأن أنشطة المراجعة الداخلية</w:t>
            </w:r>
          </w:p>
        </w:tc>
      </w:tr>
      <w:tr w:rsidR="007B0AA0" w14:paraId="49385B24" w14:textId="77777777" w:rsidTr="007B0AA0">
        <w:tc>
          <w:tcPr>
            <w:tcW w:w="9629" w:type="dxa"/>
            <w:gridSpan w:val="2"/>
            <w:tcBorders>
              <w:top w:val="single" w:sz="4" w:space="0" w:color="auto"/>
              <w:bottom w:val="single" w:sz="4" w:space="0" w:color="auto"/>
            </w:tcBorders>
          </w:tcPr>
          <w:p w14:paraId="4D3B2737" w14:textId="51399398" w:rsidR="007B0AA0" w:rsidRPr="007B0AA0" w:rsidRDefault="007B0AA0" w:rsidP="007B0AA0">
            <w:pPr>
              <w:rPr>
                <w:b/>
                <w:bCs/>
                <w:rtl/>
              </w:rPr>
            </w:pPr>
            <w:r w:rsidRPr="007B0AA0">
              <w:rPr>
                <w:rFonts w:hint="cs"/>
                <w:b/>
                <w:bCs/>
                <w:rtl/>
              </w:rPr>
              <w:t>الغرض</w:t>
            </w:r>
          </w:p>
          <w:p w14:paraId="715C352E" w14:textId="18B1BFD3" w:rsidR="007B0AA0" w:rsidRDefault="00D375BA" w:rsidP="007B0AA0">
            <w:pPr>
              <w:rPr>
                <w:rtl/>
              </w:rPr>
            </w:pPr>
            <w:r w:rsidRPr="00057204">
              <w:rPr>
                <w:rFonts w:hint="cs"/>
                <w:rtl/>
              </w:rPr>
              <w:t xml:space="preserve">يشمل هذا التقرير </w:t>
            </w:r>
            <w:r w:rsidRPr="00057204">
              <w:rPr>
                <w:rFonts w:hint="cs"/>
                <w:rtl/>
                <w:lang w:bidi="ar-EG"/>
              </w:rPr>
              <w:t>أنشطة المراجعة الداخلية</w:t>
            </w:r>
            <w:r w:rsidRPr="00057204">
              <w:rPr>
                <w:rFonts w:hint="cs"/>
                <w:rtl/>
              </w:rPr>
              <w:t xml:space="preserve"> في الفترة من </w:t>
            </w:r>
            <w:r>
              <w:rPr>
                <w:rFonts w:hint="cs"/>
                <w:rtl/>
              </w:rPr>
              <w:t>مايو</w:t>
            </w:r>
            <w:r w:rsidRPr="00057204">
              <w:rPr>
                <w:rFonts w:hint="cs"/>
                <w:rtl/>
              </w:rPr>
              <w:t xml:space="preserve"> </w:t>
            </w:r>
            <w:r>
              <w:t>2023</w:t>
            </w:r>
            <w:r w:rsidRPr="00057204">
              <w:rPr>
                <w:rFonts w:hint="cs"/>
                <w:rtl/>
              </w:rPr>
              <w:t xml:space="preserve"> إلى </w:t>
            </w:r>
            <w:r w:rsidRPr="00057204">
              <w:rPr>
                <w:rFonts w:hint="cs"/>
                <w:rtl/>
                <w:lang w:bidi="ar-EG"/>
              </w:rPr>
              <w:t xml:space="preserve">أبريل </w:t>
            </w:r>
            <w:r>
              <w:rPr>
                <w:lang w:bidi="ar-EG"/>
              </w:rPr>
              <w:t>2024</w:t>
            </w:r>
            <w:r w:rsidRPr="00057204">
              <w:rPr>
                <w:rFonts w:hint="cs"/>
                <w:rtl/>
              </w:rPr>
              <w:t>.</w:t>
            </w:r>
          </w:p>
          <w:p w14:paraId="79711B7F" w14:textId="77777777" w:rsidR="007B0AA0" w:rsidRPr="007B0AA0" w:rsidRDefault="007B0AA0" w:rsidP="007B0AA0">
            <w:pPr>
              <w:rPr>
                <w:b/>
                <w:bCs/>
                <w:rtl/>
              </w:rPr>
            </w:pPr>
            <w:r w:rsidRPr="007B0AA0">
              <w:rPr>
                <w:rFonts w:hint="cs"/>
                <w:b/>
                <w:bCs/>
                <w:rtl/>
              </w:rPr>
              <w:t>الإجراء المطلوب من المجلس</w:t>
            </w:r>
          </w:p>
          <w:p w14:paraId="6CC8A1D8" w14:textId="77777777" w:rsidR="00D375BA" w:rsidRPr="00057204" w:rsidRDefault="00D375BA" w:rsidP="00D375BA">
            <w:pPr>
              <w:rPr>
                <w:rtl/>
              </w:rPr>
            </w:pPr>
            <w:r w:rsidRPr="00057204">
              <w:rPr>
                <w:rFonts w:hint="cs"/>
                <w:rtl/>
                <w:lang w:bidi="ar-EG"/>
              </w:rPr>
              <w:t xml:space="preserve">يدعى </w:t>
            </w:r>
            <w:r w:rsidRPr="00057204">
              <w:rPr>
                <w:rFonts w:hint="cs"/>
                <w:rtl/>
              </w:rPr>
              <w:t xml:space="preserve">مجلس الاتحاد إلى أن </w:t>
            </w:r>
            <w:r>
              <w:rPr>
                <w:rFonts w:hint="cs"/>
                <w:b/>
                <w:bCs/>
                <w:rtl/>
              </w:rPr>
              <w:t>يأخذ</w:t>
            </w:r>
            <w:r w:rsidRPr="00057204">
              <w:rPr>
                <w:rFonts w:hint="cs"/>
                <w:b/>
                <w:bCs/>
                <w:rtl/>
              </w:rPr>
              <w:t xml:space="preserve"> علماً</w:t>
            </w:r>
            <w:r w:rsidRPr="00057204">
              <w:rPr>
                <w:rFonts w:hint="cs"/>
                <w:rtl/>
              </w:rPr>
              <w:t xml:space="preserve"> بالتقرير.</w:t>
            </w:r>
          </w:p>
          <w:p w14:paraId="67F5CE7B" w14:textId="77777777" w:rsidR="00D375BA" w:rsidRPr="00057204" w:rsidRDefault="00D375BA" w:rsidP="00D375BA">
            <w:pPr>
              <w:rPr>
                <w:b/>
                <w:bCs/>
                <w:rtl/>
              </w:rPr>
            </w:pPr>
            <w:r w:rsidRPr="00057204">
              <w:rPr>
                <w:b/>
                <w:bCs/>
                <w:rtl/>
              </w:rPr>
              <w:t>الصلة بالخطة ال</w:t>
            </w:r>
            <w:r w:rsidRPr="00057204">
              <w:rPr>
                <w:rFonts w:hint="cs"/>
                <w:b/>
                <w:bCs/>
                <w:rtl/>
              </w:rPr>
              <w:t>ا</w:t>
            </w:r>
            <w:r w:rsidRPr="00057204">
              <w:rPr>
                <w:b/>
                <w:bCs/>
                <w:rtl/>
              </w:rPr>
              <w:t>ستراتيجية</w:t>
            </w:r>
          </w:p>
          <w:p w14:paraId="5BFF3DFE" w14:textId="77777777" w:rsidR="00D375BA" w:rsidRPr="00057204" w:rsidRDefault="00D375BA" w:rsidP="00D375BA">
            <w:pPr>
              <w:rPr>
                <w:rtl/>
              </w:rPr>
            </w:pPr>
            <w:r w:rsidRPr="00057204">
              <w:rPr>
                <w:rtl/>
              </w:rPr>
              <w:t>التميز في مجال الموارد البشرية والابتكار التنظيمي</w:t>
            </w:r>
            <w:r w:rsidRPr="00057204">
              <w:rPr>
                <w:rFonts w:hint="cs"/>
                <w:rtl/>
              </w:rPr>
              <w:t>.</w:t>
            </w:r>
          </w:p>
          <w:p w14:paraId="69FA1608" w14:textId="77777777" w:rsidR="00D375BA" w:rsidRPr="00057204" w:rsidRDefault="00D375BA" w:rsidP="00D375BA">
            <w:pPr>
              <w:rPr>
                <w:b/>
                <w:bCs/>
                <w:rtl/>
              </w:rPr>
            </w:pPr>
            <w:r w:rsidRPr="00057204">
              <w:rPr>
                <w:rFonts w:hint="cs"/>
                <w:b/>
                <w:bCs/>
                <w:rtl/>
              </w:rPr>
              <w:t>الآثار المالية</w:t>
            </w:r>
          </w:p>
          <w:p w14:paraId="3A2C2C2A" w14:textId="15833076" w:rsidR="00D375BA" w:rsidRDefault="00D375BA" w:rsidP="00D375BA">
            <w:pPr>
              <w:rPr>
                <w:rtl/>
                <w:lang w:bidi="ar-SY"/>
              </w:rPr>
            </w:pPr>
            <w:r>
              <w:rPr>
                <w:rFonts w:hint="cs"/>
                <w:rtl/>
              </w:rPr>
              <w:t xml:space="preserve">ضمن الميزانية المخصصة للفترة </w:t>
            </w:r>
            <w:r>
              <w:t>2025-2024</w:t>
            </w:r>
            <w:r w:rsidR="00EE622F">
              <w:rPr>
                <w:rFonts w:hint="cs"/>
                <w:rtl/>
                <w:lang w:bidi="ar-SY"/>
              </w:rPr>
              <w:t>.</w:t>
            </w:r>
          </w:p>
          <w:p w14:paraId="340394E0"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08731CDD" w14:textId="77777777" w:rsidR="007B0AA0" w:rsidRPr="007B0AA0" w:rsidRDefault="007B0AA0" w:rsidP="007B0AA0">
            <w:pPr>
              <w:rPr>
                <w:b/>
                <w:bCs/>
                <w:rtl/>
              </w:rPr>
            </w:pPr>
            <w:r w:rsidRPr="007B0AA0">
              <w:rPr>
                <w:rFonts w:hint="cs"/>
                <w:b/>
                <w:bCs/>
                <w:rtl/>
              </w:rPr>
              <w:t>المراجع</w:t>
            </w:r>
          </w:p>
          <w:p w14:paraId="4326F957" w14:textId="53921154" w:rsidR="007B0AA0" w:rsidRDefault="00D375BA" w:rsidP="00510CBA">
            <w:pPr>
              <w:spacing w:after="120"/>
              <w:rPr>
                <w:rtl/>
              </w:rPr>
            </w:pPr>
            <w:r w:rsidRPr="001137E6">
              <w:rPr>
                <w:rFonts w:hint="cs"/>
                <w:i/>
                <w:iCs/>
                <w:rtl/>
              </w:rPr>
              <w:t xml:space="preserve">الوثيقة </w:t>
            </w:r>
            <w:hyperlink r:id="rId8" w:history="1">
              <w:r w:rsidRPr="001137E6">
                <w:rPr>
                  <w:rStyle w:val="Hyperlink"/>
                  <w:i/>
                  <w:iCs/>
                </w:rPr>
                <w:t>C23/53</w:t>
              </w:r>
            </w:hyperlink>
            <w:r w:rsidRPr="001137E6">
              <w:rPr>
                <w:rFonts w:hint="cs"/>
                <w:i/>
                <w:iCs/>
                <w:rtl/>
              </w:rPr>
              <w:t xml:space="preserve">، </w:t>
            </w:r>
            <w:hyperlink r:id="rId9" w:history="1">
              <w:bookmarkStart w:id="0" w:name="lt_pId021"/>
              <w:r w:rsidRPr="001137E6">
                <w:rPr>
                  <w:rStyle w:val="Hyperlink"/>
                  <w:i/>
                  <w:iCs/>
                  <w:rtl/>
                </w:rPr>
                <w:t>ال</w:t>
              </w:r>
              <w:r>
                <w:rPr>
                  <w:rStyle w:val="Hyperlink"/>
                  <w:rFonts w:hint="cs"/>
                  <w:i/>
                  <w:iCs/>
                  <w:rtl/>
                </w:rPr>
                <w:t>مادة 29 من ال</w:t>
              </w:r>
              <w:r w:rsidRPr="001137E6">
                <w:rPr>
                  <w:rStyle w:val="Hyperlink"/>
                  <w:i/>
                  <w:iCs/>
                  <w:rtl/>
                </w:rPr>
                <w:t>لوائح المالية والقواعد المالية للاتحاد (</w:t>
              </w:r>
              <w:r w:rsidRPr="001137E6">
                <w:rPr>
                  <w:rStyle w:val="Hyperlink"/>
                  <w:i/>
                  <w:iCs/>
                </w:rPr>
                <w:t>2022</w:t>
              </w:r>
              <w:r w:rsidRPr="001137E6">
                <w:rPr>
                  <w:rStyle w:val="Hyperlink"/>
                  <w:i/>
                  <w:iCs/>
                  <w:rtl/>
                </w:rPr>
                <w:t xml:space="preserve">) </w:t>
              </w:r>
              <w:bookmarkEnd w:id="0"/>
            </w:hyperlink>
          </w:p>
        </w:tc>
      </w:tr>
    </w:tbl>
    <w:p w14:paraId="120D5A6F" w14:textId="77777777" w:rsidR="00E61BE8" w:rsidRDefault="00E61BE8" w:rsidP="00E61BE8">
      <w:pPr>
        <w:rPr>
          <w:rtl/>
          <w:lang w:bidi="ar-EG"/>
        </w:rPr>
      </w:pPr>
    </w:p>
    <w:p w14:paraId="25530C73" w14:textId="77777777" w:rsidR="00F50E3F" w:rsidRDefault="00F50E3F">
      <w:pPr>
        <w:tabs>
          <w:tab w:val="clear" w:pos="794"/>
        </w:tabs>
        <w:bidi w:val="0"/>
        <w:spacing w:before="0" w:after="160" w:line="259" w:lineRule="auto"/>
        <w:jc w:val="left"/>
        <w:rPr>
          <w:rtl/>
          <w:lang w:bidi="ar-EG"/>
        </w:rPr>
      </w:pPr>
      <w:r>
        <w:rPr>
          <w:rtl/>
          <w:lang w:bidi="ar-EG"/>
        </w:rPr>
        <w:br w:type="page"/>
      </w:r>
    </w:p>
    <w:p w14:paraId="0E20F362" w14:textId="77777777" w:rsidR="00D375BA" w:rsidRPr="006B7D7C" w:rsidRDefault="00D375BA" w:rsidP="00EE622F">
      <w:pPr>
        <w:pStyle w:val="Headingb"/>
        <w:rPr>
          <w:rtl/>
          <w:lang w:bidi="ar-SY"/>
        </w:rPr>
      </w:pPr>
      <w:r w:rsidRPr="00EE622F">
        <w:rPr>
          <w:rFonts w:hint="cs"/>
          <w:rtl/>
        </w:rPr>
        <w:lastRenderedPageBreak/>
        <w:t>مقدمة</w:t>
      </w:r>
    </w:p>
    <w:p w14:paraId="2125A5CF" w14:textId="77777777" w:rsidR="00D375BA" w:rsidRDefault="00D375BA" w:rsidP="00D375BA">
      <w:r>
        <w:rPr>
          <w:lang w:bidi="ar-SY"/>
        </w:rPr>
        <w:t>1</w:t>
      </w:r>
      <w:r>
        <w:rPr>
          <w:rFonts w:hint="cs"/>
          <w:rtl/>
        </w:rPr>
        <w:tab/>
        <w:t xml:space="preserve">يُحال هذا </w:t>
      </w:r>
      <w:r w:rsidRPr="00745E04">
        <w:rPr>
          <w:rFonts w:hint="cs"/>
          <w:rtl/>
        </w:rPr>
        <w:t>التقرير</w:t>
      </w:r>
      <w:r>
        <w:rPr>
          <w:rFonts w:hint="cs"/>
          <w:rtl/>
        </w:rPr>
        <w:t xml:space="preserve"> إلى</w:t>
      </w:r>
      <w:r>
        <w:rPr>
          <w:rFonts w:hint="cs"/>
        </w:rPr>
        <w:t xml:space="preserve"> </w:t>
      </w:r>
      <w:r>
        <w:rPr>
          <w:rFonts w:hint="cs"/>
          <w:rtl/>
        </w:rPr>
        <w:t>مجلس</w:t>
      </w:r>
      <w:r>
        <w:rPr>
          <w:rFonts w:hint="cs"/>
          <w:rtl/>
          <w:lang w:bidi="ar-EG"/>
        </w:rPr>
        <w:t xml:space="preserve"> الاتحاد</w:t>
      </w:r>
      <w:r>
        <w:rPr>
          <w:rFonts w:hint="cs"/>
          <w:rtl/>
        </w:rPr>
        <w:t>، وهو يمتثل لأحكام المادة </w:t>
      </w:r>
      <w:r>
        <w:rPr>
          <w:lang w:bidi="ar-SY"/>
        </w:rPr>
        <w:t>29</w:t>
      </w:r>
      <w:r>
        <w:rPr>
          <w:rFonts w:hint="cs"/>
          <w:rtl/>
        </w:rPr>
        <w:t xml:space="preserve"> من اللوائح المالية والقواعد المالية للاتحاد </w:t>
      </w:r>
      <w:r>
        <w:rPr>
          <w:lang w:bidi="ar-SY"/>
        </w:rPr>
        <w:t>(2022)</w:t>
      </w:r>
      <w:r>
        <w:rPr>
          <w:rFonts w:hint="cs"/>
          <w:rtl/>
        </w:rPr>
        <w:t>. ووفقاً لميثاق المراجعة الداخلية في الاتحاد،</w:t>
      </w:r>
      <w:r>
        <w:rPr>
          <w:rStyle w:val="FootnoteReference"/>
          <w:rtl/>
        </w:rPr>
        <w:footnoteReference w:id="1"/>
      </w:r>
      <w:r>
        <w:rPr>
          <w:rFonts w:hint="cs"/>
          <w:rtl/>
        </w:rPr>
        <w:t xml:space="preserve"> يقدَّم هذا التقرير إلى الأمينة العامة ويُعرض على المجلس للنظر فيه. ويغطي التقرير الحالي الأنشطة في الفترة من مايو </w:t>
      </w:r>
      <w:r>
        <w:rPr>
          <w:lang w:bidi="ar-SY"/>
        </w:rPr>
        <w:t>2023</w:t>
      </w:r>
      <w:r>
        <w:rPr>
          <w:rtl/>
        </w:rPr>
        <w:t xml:space="preserve"> </w:t>
      </w:r>
      <w:r>
        <w:rPr>
          <w:rFonts w:hint="cs"/>
          <w:rtl/>
        </w:rPr>
        <w:t xml:space="preserve">إلى </w:t>
      </w:r>
      <w:r>
        <w:rPr>
          <w:rFonts w:hint="cs"/>
          <w:rtl/>
          <w:lang w:bidi="ar-EG"/>
        </w:rPr>
        <w:t xml:space="preserve">مارس </w:t>
      </w:r>
      <w:r>
        <w:rPr>
          <w:lang w:bidi="ar-EG"/>
        </w:rPr>
        <w:t>2024</w:t>
      </w:r>
      <w:r>
        <w:rPr>
          <w:rFonts w:hint="cs"/>
          <w:rtl/>
        </w:rPr>
        <w:t>.</w:t>
      </w:r>
    </w:p>
    <w:p w14:paraId="3C56BA4F" w14:textId="54033FF6" w:rsidR="00D375BA" w:rsidRPr="00EE622F" w:rsidRDefault="00D375BA" w:rsidP="00D375BA">
      <w:pPr>
        <w:rPr>
          <w:spacing w:val="-2"/>
          <w:rtl/>
          <w:lang w:bidi="ar-EG"/>
        </w:rPr>
      </w:pPr>
      <w:r w:rsidRPr="00EE622F">
        <w:rPr>
          <w:rFonts w:hint="cs"/>
          <w:spacing w:val="-2"/>
          <w:rtl/>
          <w:lang w:bidi="ar-EG"/>
        </w:rPr>
        <w:t>2</w:t>
      </w:r>
      <w:r w:rsidRPr="00EE622F">
        <w:rPr>
          <w:spacing w:val="-2"/>
          <w:rtl/>
          <w:lang w:bidi="ar-EG"/>
        </w:rPr>
        <w:tab/>
      </w:r>
      <w:r w:rsidRPr="00EE622F">
        <w:rPr>
          <w:rFonts w:hint="cs"/>
          <w:spacing w:val="-2"/>
          <w:rtl/>
          <w:lang w:bidi="ar-EG"/>
        </w:rPr>
        <w:t>وفي عام 2023، أخذ</w:t>
      </w:r>
      <w:r w:rsidRPr="00EE622F">
        <w:rPr>
          <w:spacing w:val="-2"/>
          <w:rtl/>
          <w:lang w:bidi="ar-EG"/>
        </w:rPr>
        <w:t xml:space="preserve"> المجلس علماً بمقترح إنشاء وحدة للرقابة والموافقة على استحداث منصب رئيس الرقابة برتبة</w:t>
      </w:r>
      <w:r w:rsidR="00EE622F" w:rsidRPr="00EE622F">
        <w:rPr>
          <w:rFonts w:hint="cs"/>
          <w:spacing w:val="-2"/>
          <w:rtl/>
          <w:lang w:bidi="ar-EG"/>
        </w:rPr>
        <w:t> </w:t>
      </w:r>
      <w:r w:rsidRPr="00EE622F">
        <w:rPr>
          <w:spacing w:val="-2"/>
          <w:lang w:bidi="ar-EG"/>
        </w:rPr>
        <w:t>D</w:t>
      </w:r>
      <w:r w:rsidRPr="00EE622F">
        <w:rPr>
          <w:spacing w:val="-2"/>
          <w:lang w:bidi="ar-EG"/>
        </w:rPr>
        <w:noBreakHyphen/>
        <w:t>1</w:t>
      </w:r>
      <w:r w:rsidRPr="00EE622F">
        <w:rPr>
          <w:spacing w:val="-2"/>
          <w:rtl/>
          <w:lang w:bidi="ar-EG"/>
        </w:rPr>
        <w:t>.</w:t>
      </w:r>
      <w:r w:rsidRPr="00EE622F">
        <w:rPr>
          <w:rFonts w:hint="cs"/>
          <w:spacing w:val="-2"/>
          <w:rtl/>
          <w:lang w:bidi="ar-EG"/>
        </w:rPr>
        <w:t xml:space="preserve"> وأنشئت وحدة الرقابة بموجب قرار إداري من الأمينة العامة بدأ سريانه في 1 سبتمبر 2023. </w:t>
      </w:r>
      <w:r w:rsidRPr="00EE622F">
        <w:rPr>
          <w:spacing w:val="-2"/>
          <w:rtl/>
          <w:lang w:bidi="ar-EG"/>
        </w:rPr>
        <w:t>‏وفي الوقت نفسه، اعت</w:t>
      </w:r>
      <w:r w:rsidRPr="00EE622F">
        <w:rPr>
          <w:rFonts w:hint="cs"/>
          <w:spacing w:val="-2"/>
          <w:rtl/>
          <w:lang w:bidi="ar-EG"/>
        </w:rPr>
        <w:t>ُ</w:t>
      </w:r>
      <w:r w:rsidRPr="00EE622F">
        <w:rPr>
          <w:spacing w:val="-2"/>
          <w:rtl/>
          <w:lang w:bidi="ar-EG"/>
        </w:rPr>
        <w:t xml:space="preserve">مد إلغاء كل من وحدة المراجعة الداخلية ووحدة التحقيق. </w:t>
      </w:r>
      <w:r w:rsidRPr="00EE622F">
        <w:rPr>
          <w:rFonts w:hint="cs"/>
          <w:spacing w:val="-2"/>
          <w:rtl/>
          <w:lang w:bidi="ar-EG"/>
        </w:rPr>
        <w:t>وتتألف</w:t>
      </w:r>
      <w:r w:rsidRPr="00EE622F">
        <w:rPr>
          <w:spacing w:val="-2"/>
          <w:rtl/>
          <w:lang w:bidi="ar-EG"/>
        </w:rPr>
        <w:t xml:space="preserve"> وحدة الرقابة </w:t>
      </w:r>
      <w:r w:rsidRPr="00EE622F">
        <w:rPr>
          <w:rFonts w:hint="cs"/>
          <w:spacing w:val="-2"/>
          <w:rtl/>
          <w:lang w:bidi="ar-EG"/>
        </w:rPr>
        <w:t xml:space="preserve">من </w:t>
      </w:r>
      <w:r w:rsidRPr="00EE622F">
        <w:rPr>
          <w:spacing w:val="-2"/>
          <w:rtl/>
          <w:lang w:bidi="ar-EG"/>
        </w:rPr>
        <w:t>ثلاث وظائف: المراجعة الداخلية والتحقيقات والتقييم.</w:t>
      </w:r>
      <w:r w:rsidRPr="00EE622F">
        <w:rPr>
          <w:spacing w:val="-2"/>
          <w:cs/>
          <w:lang w:bidi="ar-EG"/>
        </w:rPr>
        <w:t>‎</w:t>
      </w:r>
    </w:p>
    <w:p w14:paraId="663646CF" w14:textId="66554D4A" w:rsidR="00D375BA" w:rsidRDefault="00D375BA" w:rsidP="00EE622F">
      <w:pPr>
        <w:rPr>
          <w:rtl/>
        </w:rPr>
      </w:pPr>
      <w:r w:rsidRPr="0018627B">
        <w:rPr>
          <w:lang w:bidi="ar-EG"/>
        </w:rPr>
        <w:t>3</w:t>
      </w:r>
      <w:r w:rsidRPr="0018627B">
        <w:rPr>
          <w:rFonts w:hint="cs"/>
          <w:rtl/>
        </w:rPr>
        <w:tab/>
      </w:r>
      <w:r>
        <w:rPr>
          <w:rFonts w:hint="cs"/>
          <w:rtl/>
          <w:lang w:bidi="ar-EG"/>
        </w:rPr>
        <w:t xml:space="preserve">وفي الفترة التي يشملها التقرير، كانت وحدة الرقابة </w:t>
      </w:r>
      <w:r>
        <w:rPr>
          <w:lang w:bidi="ar-EG"/>
        </w:rPr>
        <w:t>(OU)</w:t>
      </w:r>
      <w:r>
        <w:rPr>
          <w:rFonts w:hint="cs"/>
          <w:rtl/>
        </w:rPr>
        <w:t xml:space="preserve"> تتألف من أربعة مناصب للموظفين من الفئة الفنية: مراجع داخلي كبير (</w:t>
      </w:r>
      <w:r>
        <w:t>P5</w:t>
      </w:r>
      <w:r>
        <w:rPr>
          <w:rFonts w:hint="cs"/>
          <w:rtl/>
        </w:rPr>
        <w:t xml:space="preserve">) ومحقق/مراجع </w:t>
      </w:r>
      <w:r>
        <w:t>(P4)</w:t>
      </w:r>
      <w:r>
        <w:rPr>
          <w:rFonts w:hint="cs"/>
          <w:rtl/>
        </w:rPr>
        <w:t xml:space="preserve"> ومراجع داخلي </w:t>
      </w:r>
      <w:r>
        <w:t>(P3)</w:t>
      </w:r>
      <w:r>
        <w:rPr>
          <w:rFonts w:hint="cs"/>
          <w:rtl/>
        </w:rPr>
        <w:t xml:space="preserve"> ومراجع داخلي آخر </w:t>
      </w:r>
      <w:r>
        <w:t>(P2)</w:t>
      </w:r>
      <w:r>
        <w:rPr>
          <w:rFonts w:hint="cs"/>
          <w:rtl/>
        </w:rPr>
        <w:t xml:space="preserve">. وفي الفترة ما بين يونيو وأكتوبر 2023، دُعمت وحدة الرقابة بتوظيف مراجع داخلي مبتدئ </w:t>
      </w:r>
      <w:r>
        <w:t>(P2)</w:t>
      </w:r>
      <w:r>
        <w:rPr>
          <w:rFonts w:hint="cs"/>
          <w:rtl/>
        </w:rPr>
        <w:t xml:space="preserve"> لمدة قصيرة. واعتباراً من سبتمبر 2023، اضطلع المحقق/المراجع</w:t>
      </w:r>
      <w:r w:rsidR="00F20903">
        <w:rPr>
          <w:rFonts w:hint="eastAsia"/>
          <w:rtl/>
        </w:rPr>
        <w:t> </w:t>
      </w:r>
      <w:r>
        <w:t>(P4)</w:t>
      </w:r>
      <w:r>
        <w:rPr>
          <w:rFonts w:hint="cs"/>
          <w:rtl/>
        </w:rPr>
        <w:t xml:space="preserve"> بأعمال التحقيق (نتيجة مغادرة المحقق السابق في الاتحاد). ولا</w:t>
      </w:r>
      <w:r w:rsidR="00F20903">
        <w:rPr>
          <w:rFonts w:hint="eastAsia"/>
          <w:rtl/>
        </w:rPr>
        <w:t> </w:t>
      </w:r>
      <w:r>
        <w:rPr>
          <w:rFonts w:hint="cs"/>
          <w:rtl/>
        </w:rPr>
        <w:t>يزال</w:t>
      </w:r>
      <w:r w:rsidRPr="005B47A3">
        <w:rPr>
          <w:rtl/>
        </w:rPr>
        <w:t xml:space="preserve"> منصب رئيس الرقابة شاغر</w:t>
      </w:r>
      <w:r>
        <w:rPr>
          <w:rFonts w:hint="cs"/>
          <w:rtl/>
        </w:rPr>
        <w:t>اً</w:t>
      </w:r>
      <w:r w:rsidRPr="005B47A3">
        <w:rPr>
          <w:rtl/>
        </w:rPr>
        <w:t xml:space="preserve"> حتى الانتهاء من عملية الاختيار الجارية حالي</w:t>
      </w:r>
      <w:r>
        <w:rPr>
          <w:rFonts w:hint="cs"/>
          <w:rtl/>
        </w:rPr>
        <w:t>اً.</w:t>
      </w:r>
    </w:p>
    <w:p w14:paraId="7E114D1F" w14:textId="2FA9FC4B" w:rsidR="00F50E3F" w:rsidRDefault="00D375BA" w:rsidP="00EE622F">
      <w:r>
        <w:rPr>
          <w:lang w:bidi="ar-EG"/>
        </w:rPr>
        <w:t>4</w:t>
      </w:r>
      <w:r w:rsidRPr="0018627B">
        <w:rPr>
          <w:rFonts w:hint="cs"/>
          <w:rtl/>
        </w:rPr>
        <w:tab/>
        <w:t xml:space="preserve">وتؤكد وحدة </w:t>
      </w:r>
      <w:r>
        <w:rPr>
          <w:rFonts w:hint="cs"/>
          <w:rtl/>
        </w:rPr>
        <w:t>الرقابة</w:t>
      </w:r>
      <w:r w:rsidRPr="0018627B">
        <w:rPr>
          <w:rFonts w:hint="cs"/>
          <w:rtl/>
        </w:rPr>
        <w:t xml:space="preserve"> أنها تجري مراجعاتها وفقاً للمعايير الدولية للممارسة المهنية للمراجعة الداخلية ومدونة قواعد السلوك التي وضعها معهد المراجعين الداخليين </w:t>
      </w:r>
      <w:r w:rsidRPr="0018627B">
        <w:rPr>
          <w:lang w:bidi="ar-EG"/>
        </w:rPr>
        <w:t>(IIA)</w:t>
      </w:r>
      <w:r w:rsidRPr="0018627B">
        <w:rPr>
          <w:rFonts w:hint="cs"/>
          <w:rtl/>
        </w:rPr>
        <w:t>،</w:t>
      </w:r>
      <w:r w:rsidRPr="0018627B">
        <w:rPr>
          <w:rStyle w:val="FootnoteReference"/>
          <w:rtl/>
        </w:rPr>
        <w:footnoteReference w:id="2"/>
      </w:r>
      <w:r w:rsidRPr="0018627B">
        <w:rPr>
          <w:rFonts w:hint="cs"/>
          <w:rtl/>
        </w:rPr>
        <w:t xml:space="preserve"> ولأحكام ميثاق المراجعة الداخلية في الاتحاد. وبالإضافة إلى ذلك، تؤكد وحدة </w:t>
      </w:r>
      <w:r>
        <w:rPr>
          <w:rFonts w:hint="cs"/>
          <w:rtl/>
        </w:rPr>
        <w:t>الرقابة</w:t>
      </w:r>
      <w:r w:rsidRPr="0018627B">
        <w:rPr>
          <w:rFonts w:hint="cs"/>
          <w:rtl/>
        </w:rPr>
        <w:t>، فيما يخص الفترة التي يشملها التقرير، أن</w:t>
      </w:r>
      <w:r>
        <w:rPr>
          <w:rFonts w:hint="cs"/>
          <w:rtl/>
        </w:rPr>
        <w:t xml:space="preserve"> موظفيها</w:t>
      </w:r>
      <w:r w:rsidRPr="0018627B">
        <w:rPr>
          <w:rFonts w:hint="cs"/>
          <w:rtl/>
        </w:rPr>
        <w:t xml:space="preserve"> لم يكن لديه</w:t>
      </w:r>
      <w:r>
        <w:rPr>
          <w:rFonts w:hint="cs"/>
          <w:rtl/>
        </w:rPr>
        <w:t>م</w:t>
      </w:r>
      <w:r w:rsidRPr="0018627B">
        <w:rPr>
          <w:rFonts w:hint="cs"/>
          <w:rtl/>
        </w:rPr>
        <w:t xml:space="preserve"> أي سلطة إشرافية أو أي مسؤولية عن أي من الأنشطة التي جرت مراجعتها وأنه</w:t>
      </w:r>
      <w:r>
        <w:rPr>
          <w:rFonts w:hint="cs"/>
          <w:rtl/>
        </w:rPr>
        <w:t xml:space="preserve">م </w:t>
      </w:r>
      <w:r w:rsidRPr="0018627B">
        <w:rPr>
          <w:rFonts w:hint="cs"/>
          <w:rtl/>
        </w:rPr>
        <w:t xml:space="preserve">لم </w:t>
      </w:r>
      <w:r>
        <w:rPr>
          <w:rFonts w:hint="cs"/>
          <w:rtl/>
        </w:rPr>
        <w:t>ي</w:t>
      </w:r>
      <w:r w:rsidRPr="0018627B">
        <w:rPr>
          <w:rFonts w:hint="cs"/>
          <w:rtl/>
        </w:rPr>
        <w:t>ضطلع</w:t>
      </w:r>
      <w:r>
        <w:rPr>
          <w:rFonts w:hint="cs"/>
          <w:rtl/>
        </w:rPr>
        <w:t>وا</w:t>
      </w:r>
      <w:r w:rsidRPr="0018627B">
        <w:rPr>
          <w:rFonts w:hint="cs"/>
          <w:rtl/>
        </w:rPr>
        <w:t xml:space="preserve"> بأي وظائف محاسبية أو تشغيلية </w:t>
      </w:r>
      <w:r>
        <w:rPr>
          <w:rFonts w:hint="cs"/>
          <w:rtl/>
        </w:rPr>
        <w:t>داخل</w:t>
      </w:r>
      <w:r w:rsidRPr="0018627B">
        <w:rPr>
          <w:rFonts w:hint="cs"/>
          <w:rtl/>
        </w:rPr>
        <w:t xml:space="preserve"> الاتحاد.</w:t>
      </w:r>
    </w:p>
    <w:p w14:paraId="727BBA2A" w14:textId="77777777" w:rsidR="00D375BA" w:rsidRPr="00EE622F" w:rsidRDefault="00D375BA" w:rsidP="00EE622F">
      <w:pPr>
        <w:pStyle w:val="Headingb"/>
      </w:pPr>
      <w:r>
        <w:rPr>
          <w:rFonts w:hint="cs"/>
          <w:rtl/>
        </w:rPr>
        <w:t>توجُّه أنشطة المراجعة الداخلية ونطاقها</w:t>
      </w:r>
    </w:p>
    <w:p w14:paraId="0FA1E2DC" w14:textId="77777777" w:rsidR="00D375BA" w:rsidRDefault="00D375BA" w:rsidP="00EE622F">
      <w:r>
        <w:t>5</w:t>
      </w:r>
      <w:r>
        <w:tab/>
      </w:r>
      <w:r w:rsidRPr="007A0643">
        <w:rPr>
          <w:rFonts w:hint="cs"/>
          <w:rtl/>
        </w:rPr>
        <w:t>تماشياً مع ميثاق المراجعة الداخلية، استعرضت</w:t>
      </w:r>
      <w:r w:rsidRPr="007A0643">
        <w:rPr>
          <w:rFonts w:hint="cs"/>
          <w:rtl/>
          <w:lang w:bidi="ar-EG"/>
        </w:rPr>
        <w:t xml:space="preserve"> </w:t>
      </w:r>
      <w:r w:rsidRPr="007A0643">
        <w:rPr>
          <w:rFonts w:hint="cs"/>
          <w:rtl/>
        </w:rPr>
        <w:t>اللجنة الاستشارية المستقلة للإدارة </w:t>
      </w:r>
      <w:r w:rsidRPr="007A0643">
        <w:t>(IMAC)</w:t>
      </w:r>
      <w:r w:rsidRPr="007A0643">
        <w:rPr>
          <w:rFonts w:hint="cs"/>
          <w:rtl/>
        </w:rPr>
        <w:t xml:space="preserve"> في اجتماعها </w:t>
      </w:r>
      <w:r>
        <w:rPr>
          <w:rFonts w:hint="cs"/>
          <w:rtl/>
        </w:rPr>
        <w:t>الرابع</w:t>
      </w:r>
      <w:r w:rsidRPr="007A0643">
        <w:rPr>
          <w:rFonts w:hint="cs"/>
          <w:rtl/>
        </w:rPr>
        <w:t xml:space="preserve"> والثلاثين خطة المراجعة السنوية لعام </w:t>
      </w:r>
      <w:r>
        <w:rPr>
          <w:rFonts w:hint="cs"/>
          <w:rtl/>
        </w:rPr>
        <w:t>2023</w:t>
      </w:r>
      <w:r w:rsidRPr="007A0643">
        <w:rPr>
          <w:rFonts w:hint="cs"/>
          <w:rtl/>
        </w:rPr>
        <w:t xml:space="preserve">، ووافقت عليها الأمينة العامة في </w:t>
      </w:r>
      <w:r>
        <w:rPr>
          <w:rFonts w:hint="cs"/>
          <w:rtl/>
        </w:rPr>
        <w:t>6</w:t>
      </w:r>
      <w:r w:rsidRPr="007A0643">
        <w:rPr>
          <w:rFonts w:hint="cs"/>
          <w:rtl/>
          <w:lang w:bidi="ar-EG"/>
        </w:rPr>
        <w:t> أبريل </w:t>
      </w:r>
      <w:r>
        <w:rPr>
          <w:rFonts w:hint="cs"/>
          <w:rtl/>
          <w:lang w:bidi="ar-EG"/>
        </w:rPr>
        <w:t>2023</w:t>
      </w:r>
      <w:r w:rsidRPr="007A0643">
        <w:rPr>
          <w:rFonts w:hint="cs"/>
          <w:rtl/>
          <w:lang w:bidi="ar-EG"/>
        </w:rPr>
        <w:t>.</w:t>
      </w:r>
    </w:p>
    <w:p w14:paraId="5088C04D" w14:textId="28176871" w:rsidR="00D375BA" w:rsidRDefault="00D375BA" w:rsidP="00D375BA">
      <w:pPr>
        <w:rPr>
          <w:lang w:bidi="ar-EG"/>
        </w:rPr>
      </w:pPr>
      <w:r>
        <w:rPr>
          <w:lang w:bidi="ar-EG"/>
        </w:rPr>
        <w:t>6</w:t>
      </w:r>
      <w:r>
        <w:rPr>
          <w:lang w:bidi="ar-EG"/>
        </w:rPr>
        <w:tab/>
      </w:r>
      <w:r w:rsidRPr="007A0643">
        <w:rPr>
          <w:rFonts w:hint="cs"/>
          <w:rtl/>
        </w:rPr>
        <w:t xml:space="preserve">وتقدِّم وحدة </w:t>
      </w:r>
      <w:r>
        <w:rPr>
          <w:rFonts w:hint="cs"/>
          <w:rtl/>
        </w:rPr>
        <w:t>الرقابة</w:t>
      </w:r>
      <w:r w:rsidRPr="007A0643">
        <w:rPr>
          <w:rFonts w:hint="cs"/>
          <w:rtl/>
        </w:rPr>
        <w:t xml:space="preserve"> بانتظام نسخاً من تقارير المراجعة الداخلية إلى المراجع الخارجي </w:t>
      </w:r>
      <w:r>
        <w:rPr>
          <w:rFonts w:hint="cs"/>
          <w:rtl/>
        </w:rPr>
        <w:t>ل</w:t>
      </w:r>
      <w:r w:rsidRPr="007A0643">
        <w:rPr>
          <w:rFonts w:hint="cs"/>
          <w:rtl/>
        </w:rPr>
        <w:t>لاتحاد و</w:t>
      </w:r>
      <w:r>
        <w:rPr>
          <w:rFonts w:hint="cs"/>
          <w:rtl/>
        </w:rPr>
        <w:t xml:space="preserve">إلى </w:t>
      </w:r>
      <w:r w:rsidRPr="007A0643">
        <w:rPr>
          <w:rFonts w:hint="cs"/>
          <w:rtl/>
        </w:rPr>
        <w:t>اللجنة الاستشارية المستقلة للإدارة. ووفقاً للبند 5 من المادة 29 من اللوائح المالية والقواعد المالية للاتحاد، تُتاح التقارير النهائية للمراجعة الداخلية للدول الأعضاء أو من تعيّنه من ممثلين. وقد وضعت آلية ميسورة منذ أكتوبر </w:t>
      </w:r>
      <w:r w:rsidRPr="007A0643">
        <w:rPr>
          <w:lang w:val="en-CA" w:bidi="ar-EG"/>
        </w:rPr>
        <w:t>2015</w:t>
      </w:r>
      <w:r w:rsidRPr="007A0643">
        <w:rPr>
          <w:rFonts w:hint="cs"/>
          <w:rtl/>
          <w:lang w:bidi="ar-EG"/>
        </w:rPr>
        <w:t xml:space="preserve"> للنفاذ إلى تقارير المراجعة الداخلية. وخلال الفترة التي يشملها التقرير، لم ترد أي طلبات للنفاذ إلى تقارير المراجعة الداخلية </w:t>
      </w:r>
      <w:r w:rsidRPr="007A0643">
        <w:rPr>
          <w:rFonts w:hint="cs"/>
          <w:rtl/>
        </w:rPr>
        <w:t xml:space="preserve">من خلال </w:t>
      </w:r>
      <w:hyperlink r:id="rId10" w:history="1">
        <w:r w:rsidRPr="00DF4705">
          <w:rPr>
            <w:rStyle w:val="Hyperlink"/>
            <w:rFonts w:hint="cs"/>
            <w:rtl/>
          </w:rPr>
          <w:t>الآلية المتاحة على الإنترنت</w:t>
        </w:r>
      </w:hyperlink>
      <w:r w:rsidRPr="007A0643">
        <w:rPr>
          <w:rFonts w:hint="cs"/>
          <w:rtl/>
          <w:lang w:bidi="ar-EG"/>
        </w:rPr>
        <w:t>.</w:t>
      </w:r>
    </w:p>
    <w:p w14:paraId="29463486" w14:textId="77777777" w:rsidR="00D375BA" w:rsidRPr="00116EEC" w:rsidRDefault="00D375BA" w:rsidP="00116EEC">
      <w:pPr>
        <w:pStyle w:val="Headingb"/>
        <w:rPr>
          <w:rtl/>
        </w:rPr>
      </w:pPr>
      <w:r w:rsidRPr="00116EEC">
        <w:rPr>
          <w:rFonts w:hint="cs"/>
          <w:rtl/>
        </w:rPr>
        <w:t>أهداف المهام المتصلة بالتزامات تأكيد صحة البيانات واستنتاجاتها</w:t>
      </w:r>
    </w:p>
    <w:p w14:paraId="0559B766" w14:textId="32220A6F" w:rsidR="00D375BA" w:rsidRPr="001C126D" w:rsidRDefault="00D375BA" w:rsidP="001C126D">
      <w:pPr>
        <w:rPr>
          <w:rtl/>
        </w:rPr>
      </w:pPr>
      <w:r w:rsidRPr="001C126D">
        <w:t>7</w:t>
      </w:r>
      <w:r w:rsidRPr="001C126D">
        <w:tab/>
      </w:r>
      <w:r w:rsidRPr="001C126D">
        <w:rPr>
          <w:rFonts w:hint="cs"/>
          <w:rtl/>
        </w:rPr>
        <w:t>تتمثل أهداف المهام المتصلة بالتزامات تأكيد صحة البيانات في تقييم ما يلي: ’</w:t>
      </w:r>
      <w:r w:rsidRPr="001C126D">
        <w:t>1</w:t>
      </w:r>
      <w:r w:rsidRPr="001C126D">
        <w:rPr>
          <w:rFonts w:hint="cs"/>
          <w:rtl/>
        </w:rPr>
        <w:t>‘</w:t>
      </w:r>
      <w:r w:rsidR="001C126D" w:rsidRPr="001C126D">
        <w:rPr>
          <w:rFonts w:hint="eastAsia"/>
          <w:rtl/>
        </w:rPr>
        <w:t> </w:t>
      </w:r>
      <w:r w:rsidRPr="001C126D">
        <w:rPr>
          <w:rFonts w:hint="cs"/>
          <w:rtl/>
        </w:rPr>
        <w:t>جوانب إدارة عمليات الاتحاد التي جرت مراجعتها؛ ’</w:t>
      </w:r>
      <w:r w:rsidRPr="001C126D">
        <w:t>2</w:t>
      </w:r>
      <w:r w:rsidRPr="001C126D">
        <w:rPr>
          <w:rFonts w:hint="cs"/>
          <w:rtl/>
        </w:rPr>
        <w:t>‘ ممارسات إدارة المخاطر؛ ’</w:t>
      </w:r>
      <w:r w:rsidRPr="001C126D">
        <w:t>3</w:t>
      </w:r>
      <w:r w:rsidRPr="001C126D">
        <w:rPr>
          <w:rFonts w:hint="cs"/>
          <w:rtl/>
        </w:rPr>
        <w:t>‘ فعالية الضوابط (الداخلية). وتصنَّف التوصيات الناتجة عن أعمال المراجعة من حيث الأولوية بحسب الأثر المترتب على القصور واحتمال وقوعه (مرتفع، متوسط، منخفض).</w:t>
      </w:r>
    </w:p>
    <w:p w14:paraId="5DDD78CD" w14:textId="59408287" w:rsidR="00D375BA" w:rsidRPr="001C126D" w:rsidRDefault="00D375BA" w:rsidP="00766D9C">
      <w:pPr>
        <w:rPr>
          <w:rtl/>
        </w:rPr>
      </w:pPr>
      <w:r w:rsidRPr="001C126D">
        <w:t>8</w:t>
      </w:r>
      <w:r w:rsidRPr="001C126D">
        <w:tab/>
      </w:r>
      <w:r w:rsidRPr="001C126D">
        <w:rPr>
          <w:rtl/>
        </w:rPr>
        <w:t xml:space="preserve">وتُتابع </w:t>
      </w:r>
      <w:bookmarkStart w:id="1" w:name="_Hlk98259180"/>
      <w:r w:rsidRPr="001C126D">
        <w:rPr>
          <w:rtl/>
        </w:rPr>
        <w:t xml:space="preserve">وحدة </w:t>
      </w:r>
      <w:r w:rsidRPr="001C126D">
        <w:rPr>
          <w:rFonts w:hint="cs"/>
          <w:rtl/>
        </w:rPr>
        <w:t>الرقابة</w:t>
      </w:r>
      <w:r w:rsidRPr="001C126D">
        <w:rPr>
          <w:rtl/>
        </w:rPr>
        <w:t xml:space="preserve"> </w:t>
      </w:r>
      <w:bookmarkEnd w:id="1"/>
      <w:r w:rsidRPr="001C126D">
        <w:rPr>
          <w:rtl/>
        </w:rPr>
        <w:t xml:space="preserve">تنفيذ الإجراءات </w:t>
      </w:r>
      <w:proofErr w:type="spellStart"/>
      <w:r w:rsidRPr="001C126D">
        <w:rPr>
          <w:rtl/>
        </w:rPr>
        <w:t>الموصى</w:t>
      </w:r>
      <w:proofErr w:type="spellEnd"/>
      <w:r w:rsidRPr="001C126D">
        <w:rPr>
          <w:rtl/>
        </w:rPr>
        <w:t xml:space="preserve"> بها حيثما اقتضى الأمر ذلك. ومنذ مطلع عام </w:t>
      </w:r>
      <w:r w:rsidRPr="001C126D">
        <w:t>2021</w:t>
      </w:r>
      <w:r w:rsidRPr="001C126D">
        <w:rPr>
          <w:rtl/>
        </w:rPr>
        <w:t>، أُتيحت لهذا الغرض، على نطاق الاتحاد ككل، إمكانية الاطّلاع على لوحة معلومات عن الامتثال تيسّر على المديرين المعنيين تتبّع تنفيذ التوصيات، لكنها لا</w:t>
      </w:r>
      <w:r w:rsidR="001C126D" w:rsidRPr="001C126D">
        <w:rPr>
          <w:rFonts w:hint="cs"/>
          <w:rtl/>
        </w:rPr>
        <w:t> </w:t>
      </w:r>
      <w:r w:rsidRPr="001C126D">
        <w:rPr>
          <w:rtl/>
        </w:rPr>
        <w:t xml:space="preserve">تُعفي وحدة </w:t>
      </w:r>
      <w:r w:rsidRPr="001C126D">
        <w:rPr>
          <w:rFonts w:hint="cs"/>
          <w:rtl/>
        </w:rPr>
        <w:t>الرقابة</w:t>
      </w:r>
      <w:r w:rsidRPr="001C126D">
        <w:rPr>
          <w:rtl/>
        </w:rPr>
        <w:t xml:space="preserve"> من مسؤوليتها </w:t>
      </w:r>
      <w:r w:rsidRPr="001C126D">
        <w:rPr>
          <w:rFonts w:hint="cs"/>
          <w:rtl/>
        </w:rPr>
        <w:t>عن</w:t>
      </w:r>
      <w:r w:rsidRPr="001C126D">
        <w:rPr>
          <w:rtl/>
        </w:rPr>
        <w:t xml:space="preserve"> متابعة تنفيذ التوصيات التي سبق أن تقدمت بها، وفقاً للمعيار</w:t>
      </w:r>
      <w:r w:rsidRPr="001C126D">
        <w:rPr>
          <w:rFonts w:hint="cs"/>
          <w:rtl/>
        </w:rPr>
        <w:t xml:space="preserve"> العالمي للمراجعة الداخلية </w:t>
      </w:r>
      <w:r w:rsidRPr="001C126D">
        <w:t>15.2</w:t>
      </w:r>
      <w:r w:rsidRPr="001C126D">
        <w:rPr>
          <w:rFonts w:hint="cs"/>
          <w:rtl/>
        </w:rPr>
        <w:t xml:space="preserve"> </w:t>
      </w:r>
      <w:r w:rsidRPr="001C126D">
        <w:rPr>
          <w:rtl/>
        </w:rPr>
        <w:t xml:space="preserve">المعتمد لدى معهد مراجعي الحسابات الداخليين </w:t>
      </w:r>
      <w:r w:rsidRPr="001C126D">
        <w:t>(IIA)</w:t>
      </w:r>
      <w:r w:rsidRPr="00766D9C">
        <w:rPr>
          <w:rStyle w:val="FootnoteReference"/>
          <w:rtl/>
        </w:rPr>
        <w:footnoteReference w:id="3"/>
      </w:r>
      <w:r w:rsidRPr="001C126D">
        <w:rPr>
          <w:rFonts w:hint="cs"/>
          <w:rtl/>
        </w:rPr>
        <w:t xml:space="preserve">. </w:t>
      </w:r>
      <w:r w:rsidRPr="001C126D">
        <w:rPr>
          <w:rtl/>
        </w:rPr>
        <w:t>وتقد</w:t>
      </w:r>
      <w:r w:rsidRPr="001C126D">
        <w:rPr>
          <w:rFonts w:hint="cs"/>
          <w:rtl/>
        </w:rPr>
        <w:t>َّ</w:t>
      </w:r>
      <w:r w:rsidRPr="001C126D">
        <w:rPr>
          <w:rtl/>
        </w:rPr>
        <w:t>م وثيقة معلومات منفصلة (</w:t>
      </w:r>
      <w:hyperlink r:id="rId11" w:history="1">
        <w:r w:rsidRPr="001C126D">
          <w:rPr>
            <w:rStyle w:val="Hyperlink"/>
          </w:rPr>
          <w:t>C24/INF/5</w:t>
        </w:r>
      </w:hyperlink>
      <w:r w:rsidRPr="001C126D">
        <w:rPr>
          <w:rtl/>
        </w:rPr>
        <w:t xml:space="preserve">) إلى دورة المجلس لعام </w:t>
      </w:r>
      <w:r w:rsidRPr="001C126D">
        <w:rPr>
          <w:rFonts w:hint="cs"/>
          <w:rtl/>
        </w:rPr>
        <w:t>2024</w:t>
      </w:r>
      <w:r w:rsidRPr="001C126D">
        <w:rPr>
          <w:rtl/>
        </w:rPr>
        <w:t xml:space="preserve"> لبيان متابعة توصيات المراجعة الداخلية وتوصيات المراجعة الجنائية (انظر أيضاً الوثيقة</w:t>
      </w:r>
      <w:r w:rsidRPr="001C126D">
        <w:rPr>
          <w:rFonts w:hint="cs"/>
          <w:rtl/>
        </w:rPr>
        <w:t> </w:t>
      </w:r>
      <w:hyperlink r:id="rId12" w:history="1">
        <w:r w:rsidRPr="001C126D">
          <w:rPr>
            <w:rStyle w:val="Hyperlink"/>
          </w:rPr>
          <w:t>CWG</w:t>
        </w:r>
        <w:r w:rsidR="001C126D">
          <w:rPr>
            <w:rStyle w:val="Hyperlink"/>
          </w:rPr>
          <w:noBreakHyphen/>
        </w:r>
        <w:r w:rsidRPr="001C126D">
          <w:rPr>
            <w:rStyle w:val="Hyperlink"/>
          </w:rPr>
          <w:t>FHR-15/3</w:t>
        </w:r>
      </w:hyperlink>
      <w:r w:rsidRPr="001C126D">
        <w:rPr>
          <w:rtl/>
        </w:rPr>
        <w:t xml:space="preserve"> من عام 2021، بخصوص ملخص حالة توصيات مؤسسة </w:t>
      </w:r>
      <w:r w:rsidRPr="001C126D">
        <w:t>PwC</w:t>
      </w:r>
      <w:r w:rsidRPr="001C126D">
        <w:rPr>
          <w:rtl/>
        </w:rPr>
        <w:t xml:space="preserve"> بشأن المراجعة الجنائية للاتحاد).</w:t>
      </w:r>
    </w:p>
    <w:p w14:paraId="14704BE2" w14:textId="77777777" w:rsidR="00D375BA" w:rsidRPr="00031A6C" w:rsidRDefault="00D375BA" w:rsidP="00766D9C">
      <w:pPr>
        <w:pStyle w:val="HeadingI"/>
      </w:pPr>
      <w:r w:rsidRPr="00031A6C">
        <w:rPr>
          <w:rFonts w:hint="cs"/>
          <w:rtl/>
        </w:rPr>
        <w:lastRenderedPageBreak/>
        <w:t>وقد نُفِّذ ما يلي من التزامات تأكيد صحة البيانات:</w:t>
      </w:r>
    </w:p>
    <w:p w14:paraId="331BD6CC" w14:textId="77777777" w:rsidR="00D375BA" w:rsidRPr="00766D9C" w:rsidRDefault="00D375BA" w:rsidP="00766D9C">
      <w:pPr>
        <w:pStyle w:val="Headingb"/>
        <w:rPr>
          <w:i/>
          <w:iCs/>
          <w:rtl/>
          <w:lang w:bidi="ar-EG"/>
        </w:rPr>
      </w:pPr>
      <w:r w:rsidRPr="00766D9C">
        <w:rPr>
          <w:rFonts w:hint="cs"/>
          <w:i/>
          <w:iCs/>
          <w:rtl/>
          <w:lang w:bidi="ar-EG"/>
        </w:rPr>
        <w:t>ألف</w:t>
      </w:r>
      <w:r w:rsidRPr="00766D9C">
        <w:rPr>
          <w:i/>
          <w:iCs/>
          <w:rtl/>
          <w:lang w:bidi="ar-EG"/>
        </w:rPr>
        <w:tab/>
      </w:r>
      <w:r w:rsidRPr="00766D9C">
        <w:rPr>
          <w:rFonts w:hint="cs"/>
          <w:i/>
          <w:iCs/>
          <w:rtl/>
          <w:lang w:bidi="ar-SY"/>
        </w:rPr>
        <w:t>المكتب الإقليمي ومكاتب المناطق في منطقة إفريقيا</w:t>
      </w:r>
    </w:p>
    <w:p w14:paraId="4E0C24B4" w14:textId="0192D459" w:rsidR="00D375BA" w:rsidRPr="00031A6C" w:rsidRDefault="00D375BA" w:rsidP="00031A6C">
      <w:pPr>
        <w:rPr>
          <w:rtl/>
        </w:rPr>
      </w:pPr>
      <w:r w:rsidRPr="00031A6C">
        <w:t>9</w:t>
      </w:r>
      <w:r w:rsidRPr="00031A6C">
        <w:tab/>
      </w:r>
      <w:r w:rsidRPr="00031A6C">
        <w:rPr>
          <w:rFonts w:hint="cs"/>
          <w:rtl/>
        </w:rPr>
        <w:t>انتهت وحدة الرقابة من مراجعة للمكتب الإقليمي ومكاتب المناطق في منطقة إفريقيا كانت قد بدأتها في عام 2022.</w:t>
      </w:r>
    </w:p>
    <w:p w14:paraId="42E8EA01" w14:textId="77777777" w:rsidR="00D375BA" w:rsidRPr="00031A6C" w:rsidRDefault="00D375BA" w:rsidP="008B2BDA">
      <w:pPr>
        <w:rPr>
          <w:rtl/>
        </w:rPr>
      </w:pPr>
      <w:r w:rsidRPr="00031A6C">
        <w:rPr>
          <w:rFonts w:hint="cs"/>
          <w:rtl/>
        </w:rPr>
        <w:t>واستعرضت وحدة الرقابة 12 موضوعاً خلال هذه المراجعة وقدمت عرضاً مرئياً للاستنتاجات بحسب المجال المحوري على النحو التالي:</w:t>
      </w:r>
    </w:p>
    <w:p w14:paraId="7D2A5DA4" w14:textId="34089A68" w:rsidR="00031A6C" w:rsidRDefault="00D375BA" w:rsidP="00031A6C">
      <w:pPr>
        <w:spacing w:after="120"/>
        <w:rPr>
          <w:rtl/>
        </w:rPr>
      </w:pPr>
      <w:r w:rsidRPr="00031A6C">
        <w:rPr>
          <w:rFonts w:hint="cs"/>
          <w:rtl/>
        </w:rPr>
        <w:t>(الأخضر القاتم يعني كاف</w:t>
      </w:r>
      <w:r w:rsidR="008B2BDA">
        <w:rPr>
          <w:rFonts w:hint="cs"/>
          <w:rtl/>
        </w:rPr>
        <w:t>ٍ</w:t>
      </w:r>
      <w:r w:rsidRPr="00031A6C">
        <w:rPr>
          <w:rFonts w:hint="cs"/>
          <w:rtl/>
        </w:rPr>
        <w:t>/فع</w:t>
      </w:r>
      <w:r w:rsidR="00031A6C">
        <w:rPr>
          <w:rFonts w:hint="cs"/>
          <w:rtl/>
        </w:rPr>
        <w:t>ّ</w:t>
      </w:r>
      <w:r w:rsidRPr="00031A6C">
        <w:rPr>
          <w:rFonts w:hint="cs"/>
          <w:rtl/>
        </w:rPr>
        <w:t>ال تماماً، الأخضر الفاتح يعني كاف</w:t>
      </w:r>
      <w:r w:rsidR="008B2BDA">
        <w:rPr>
          <w:rFonts w:hint="cs"/>
          <w:rtl/>
        </w:rPr>
        <w:t>ٍ</w:t>
      </w:r>
      <w:r w:rsidRPr="00031A6C">
        <w:rPr>
          <w:rFonts w:hint="cs"/>
          <w:rtl/>
        </w:rPr>
        <w:t>/فع</w:t>
      </w:r>
      <w:r w:rsidR="00031A6C">
        <w:rPr>
          <w:rFonts w:hint="cs"/>
          <w:rtl/>
        </w:rPr>
        <w:t>ّ</w:t>
      </w:r>
      <w:r w:rsidRPr="00031A6C">
        <w:rPr>
          <w:rFonts w:hint="cs"/>
          <w:rtl/>
        </w:rPr>
        <w:t>ال، الأصفر يعني كاف</w:t>
      </w:r>
      <w:r w:rsidR="008B2BDA">
        <w:rPr>
          <w:rFonts w:hint="cs"/>
          <w:rtl/>
        </w:rPr>
        <w:t>ٍ</w:t>
      </w:r>
      <w:r w:rsidRPr="00031A6C">
        <w:rPr>
          <w:rFonts w:hint="cs"/>
          <w:rtl/>
        </w:rPr>
        <w:t>/فع</w:t>
      </w:r>
      <w:r w:rsidR="00031A6C">
        <w:rPr>
          <w:rFonts w:hint="cs"/>
          <w:rtl/>
        </w:rPr>
        <w:t>ّ</w:t>
      </w:r>
      <w:r w:rsidRPr="00031A6C">
        <w:rPr>
          <w:rFonts w:hint="cs"/>
          <w:rtl/>
        </w:rPr>
        <w:t>ال جزئياً، الأحمر يعني غير كاف</w:t>
      </w:r>
      <w:r w:rsidR="008B2BDA">
        <w:rPr>
          <w:rFonts w:hint="cs"/>
          <w:rtl/>
        </w:rPr>
        <w:t>ٍ</w:t>
      </w:r>
      <w:r w:rsidRPr="00031A6C">
        <w:rPr>
          <w:rFonts w:hint="cs"/>
          <w:rtl/>
        </w:rPr>
        <w:t>/غير فع</w:t>
      </w:r>
      <w:r w:rsidR="00031A6C">
        <w:rPr>
          <w:rFonts w:hint="cs"/>
          <w:rtl/>
        </w:rPr>
        <w:t>ّ</w:t>
      </w:r>
      <w:r w:rsidRPr="00031A6C">
        <w:rPr>
          <w:rFonts w:hint="cs"/>
          <w:rtl/>
        </w:rPr>
        <w:t>ال)</w:t>
      </w:r>
    </w:p>
    <w:tbl>
      <w:tblPr>
        <w:tblStyle w:val="TableGrid1"/>
        <w:bidiVisual/>
        <w:tblW w:w="5000" w:type="pct"/>
        <w:tblCellMar>
          <w:left w:w="57" w:type="dxa"/>
          <w:right w:w="57" w:type="dxa"/>
        </w:tblCellMar>
        <w:tblLook w:val="04A0" w:firstRow="1" w:lastRow="0" w:firstColumn="1" w:lastColumn="0" w:noHBand="0" w:noVBand="1"/>
      </w:tblPr>
      <w:tblGrid>
        <w:gridCol w:w="2546"/>
        <w:gridCol w:w="618"/>
        <w:gridCol w:w="919"/>
        <w:gridCol w:w="1575"/>
        <w:gridCol w:w="1132"/>
        <w:gridCol w:w="568"/>
        <w:gridCol w:w="2271"/>
      </w:tblGrid>
      <w:tr w:rsidR="008B2BDA" w:rsidRPr="00386F19" w14:paraId="76AE654C" w14:textId="77777777" w:rsidTr="00386F19">
        <w:trPr>
          <w:trHeight w:val="227"/>
        </w:trPr>
        <w:tc>
          <w:tcPr>
            <w:tcW w:w="1322" w:type="pct"/>
            <w:shd w:val="clear" w:color="auto" w:fill="E7E6E6"/>
            <w:tcMar>
              <w:left w:w="0" w:type="dxa"/>
              <w:right w:w="0" w:type="dxa"/>
            </w:tcMar>
            <w:vAlign w:val="center"/>
          </w:tcPr>
          <w:p w14:paraId="7F299D21" w14:textId="77777777" w:rsidR="00D375BA" w:rsidRPr="00386F19" w:rsidRDefault="00D375BA" w:rsidP="00031A6C">
            <w:pPr>
              <w:spacing w:before="0"/>
              <w:rPr>
                <w:b/>
                <w:bCs/>
                <w:sz w:val="16"/>
                <w:szCs w:val="16"/>
              </w:rPr>
            </w:pPr>
            <w:r w:rsidRPr="00386F19">
              <w:rPr>
                <w:b/>
                <w:bCs/>
                <w:sz w:val="16"/>
                <w:szCs w:val="16"/>
                <w:rtl/>
              </w:rPr>
              <w:t>المجال المحوري للمراجعة</w:t>
            </w:r>
          </w:p>
        </w:tc>
        <w:tc>
          <w:tcPr>
            <w:tcW w:w="321" w:type="pct"/>
            <w:shd w:val="clear" w:color="auto" w:fill="E7E6E6"/>
            <w:tcMar>
              <w:left w:w="0" w:type="dxa"/>
              <w:right w:w="0" w:type="dxa"/>
            </w:tcMar>
            <w:vAlign w:val="center"/>
          </w:tcPr>
          <w:p w14:paraId="7A7DF0FF" w14:textId="77777777" w:rsidR="00D375BA" w:rsidRPr="00386F19" w:rsidRDefault="00D375BA" w:rsidP="00031A6C">
            <w:pPr>
              <w:spacing w:before="0"/>
              <w:rPr>
                <w:b/>
                <w:bCs/>
                <w:sz w:val="16"/>
                <w:szCs w:val="16"/>
              </w:rPr>
            </w:pPr>
            <w:r w:rsidRPr="00386F19">
              <w:rPr>
                <w:b/>
                <w:bCs/>
                <w:sz w:val="16"/>
                <w:szCs w:val="16"/>
                <w:rtl/>
              </w:rPr>
              <w:t>الإدارة</w:t>
            </w:r>
          </w:p>
        </w:tc>
        <w:tc>
          <w:tcPr>
            <w:tcW w:w="477" w:type="pct"/>
            <w:shd w:val="clear" w:color="auto" w:fill="E7E6E6"/>
            <w:tcMar>
              <w:left w:w="0" w:type="dxa"/>
              <w:right w:w="0" w:type="dxa"/>
            </w:tcMar>
            <w:vAlign w:val="center"/>
          </w:tcPr>
          <w:p w14:paraId="4C936A23" w14:textId="77777777" w:rsidR="00D375BA" w:rsidRPr="00386F19" w:rsidRDefault="00D375BA" w:rsidP="00031A6C">
            <w:pPr>
              <w:spacing w:before="0"/>
              <w:rPr>
                <w:b/>
                <w:bCs/>
                <w:sz w:val="16"/>
                <w:szCs w:val="16"/>
              </w:rPr>
            </w:pPr>
            <w:r w:rsidRPr="00386F19">
              <w:rPr>
                <w:b/>
                <w:bCs/>
                <w:sz w:val="16"/>
                <w:szCs w:val="16"/>
                <w:rtl/>
              </w:rPr>
              <w:t>تقييم المخاطر</w:t>
            </w:r>
          </w:p>
        </w:tc>
        <w:tc>
          <w:tcPr>
            <w:tcW w:w="818" w:type="pct"/>
            <w:shd w:val="clear" w:color="auto" w:fill="E7E6E6"/>
            <w:tcMar>
              <w:left w:w="0" w:type="dxa"/>
              <w:right w:w="0" w:type="dxa"/>
            </w:tcMar>
            <w:vAlign w:val="center"/>
          </w:tcPr>
          <w:p w14:paraId="4E5B9229" w14:textId="77777777" w:rsidR="00D375BA" w:rsidRPr="00386F19" w:rsidRDefault="00D375BA" w:rsidP="00031A6C">
            <w:pPr>
              <w:spacing w:before="0"/>
              <w:rPr>
                <w:b/>
                <w:bCs/>
                <w:sz w:val="16"/>
                <w:szCs w:val="16"/>
              </w:rPr>
            </w:pPr>
            <w:r w:rsidRPr="00386F19">
              <w:rPr>
                <w:b/>
                <w:bCs/>
                <w:sz w:val="16"/>
                <w:szCs w:val="16"/>
                <w:rtl/>
              </w:rPr>
              <w:t>المعلومات والاتصالات</w:t>
            </w:r>
          </w:p>
        </w:tc>
        <w:tc>
          <w:tcPr>
            <w:tcW w:w="588" w:type="pct"/>
            <w:shd w:val="clear" w:color="auto" w:fill="E7E6E6"/>
            <w:tcMar>
              <w:left w:w="0" w:type="dxa"/>
              <w:right w:w="0" w:type="dxa"/>
            </w:tcMar>
            <w:vAlign w:val="center"/>
          </w:tcPr>
          <w:p w14:paraId="2A0319BE" w14:textId="77777777" w:rsidR="00D375BA" w:rsidRPr="00386F19" w:rsidRDefault="00D375BA" w:rsidP="00031A6C">
            <w:pPr>
              <w:spacing w:before="0"/>
              <w:rPr>
                <w:b/>
                <w:bCs/>
                <w:sz w:val="16"/>
                <w:szCs w:val="16"/>
              </w:rPr>
            </w:pPr>
            <w:r w:rsidRPr="00386F19">
              <w:rPr>
                <w:b/>
                <w:bCs/>
                <w:sz w:val="16"/>
                <w:szCs w:val="16"/>
                <w:rtl/>
              </w:rPr>
              <w:t>الضوابط الداخلية</w:t>
            </w:r>
          </w:p>
        </w:tc>
        <w:tc>
          <w:tcPr>
            <w:tcW w:w="295" w:type="pct"/>
            <w:shd w:val="clear" w:color="auto" w:fill="E7E6E6"/>
            <w:tcMar>
              <w:left w:w="0" w:type="dxa"/>
              <w:right w:w="0" w:type="dxa"/>
            </w:tcMar>
            <w:vAlign w:val="center"/>
          </w:tcPr>
          <w:p w14:paraId="53FF689C" w14:textId="77777777" w:rsidR="00D375BA" w:rsidRPr="00386F19" w:rsidRDefault="00D375BA" w:rsidP="00031A6C">
            <w:pPr>
              <w:spacing w:before="0"/>
              <w:rPr>
                <w:b/>
                <w:bCs/>
                <w:sz w:val="16"/>
                <w:szCs w:val="16"/>
              </w:rPr>
            </w:pPr>
            <w:r w:rsidRPr="00386F19">
              <w:rPr>
                <w:b/>
                <w:bCs/>
                <w:sz w:val="16"/>
                <w:szCs w:val="16"/>
                <w:rtl/>
              </w:rPr>
              <w:t>المراقبة</w:t>
            </w:r>
          </w:p>
        </w:tc>
        <w:tc>
          <w:tcPr>
            <w:tcW w:w="1179" w:type="pct"/>
            <w:shd w:val="clear" w:color="auto" w:fill="E7E6E6"/>
            <w:tcMar>
              <w:left w:w="0" w:type="dxa"/>
              <w:right w:w="0" w:type="dxa"/>
            </w:tcMar>
            <w:vAlign w:val="center"/>
          </w:tcPr>
          <w:p w14:paraId="085D19AB" w14:textId="19C1EA69" w:rsidR="00D375BA" w:rsidRPr="00386F19" w:rsidRDefault="00D375BA" w:rsidP="008B2BDA">
            <w:pPr>
              <w:spacing w:before="0"/>
              <w:jc w:val="left"/>
              <w:rPr>
                <w:b/>
                <w:bCs/>
                <w:spacing w:val="-4"/>
                <w:sz w:val="16"/>
                <w:szCs w:val="16"/>
              </w:rPr>
            </w:pPr>
            <w:r w:rsidRPr="00386F19">
              <w:rPr>
                <w:b/>
                <w:bCs/>
                <w:spacing w:val="-4"/>
                <w:sz w:val="16"/>
                <w:szCs w:val="16"/>
                <w:rtl/>
              </w:rPr>
              <w:t>أهداف التنمية المستدامة/المساواة بين الجنسين وتعميمها/نظام الإدارة البيئية</w:t>
            </w:r>
          </w:p>
        </w:tc>
      </w:tr>
      <w:tr w:rsidR="008B2BDA" w:rsidRPr="00386F19" w14:paraId="1E0D7450" w14:textId="77777777" w:rsidTr="00386F19">
        <w:trPr>
          <w:trHeight w:hRule="exact" w:val="227"/>
        </w:trPr>
        <w:tc>
          <w:tcPr>
            <w:tcW w:w="1322" w:type="pct"/>
            <w:shd w:val="clear" w:color="auto" w:fill="E7E6E6"/>
            <w:tcMar>
              <w:left w:w="0" w:type="dxa"/>
              <w:right w:w="0" w:type="dxa"/>
            </w:tcMar>
            <w:vAlign w:val="center"/>
          </w:tcPr>
          <w:p w14:paraId="1B710CF2" w14:textId="77777777" w:rsidR="00D375BA" w:rsidRPr="00386F19" w:rsidRDefault="00D375BA" w:rsidP="00031A6C">
            <w:pPr>
              <w:spacing w:before="0"/>
              <w:jc w:val="left"/>
              <w:rPr>
                <w:sz w:val="16"/>
                <w:szCs w:val="16"/>
                <w:rtl/>
              </w:rPr>
            </w:pPr>
            <w:r w:rsidRPr="00386F19">
              <w:rPr>
                <w:sz w:val="16"/>
                <w:szCs w:val="16"/>
                <w:rtl/>
              </w:rPr>
              <w:t>اتفاق البلد المضيف والتنسيق مع الأمم المتحدة</w:t>
            </w:r>
          </w:p>
          <w:p w14:paraId="5B0A6EF6" w14:textId="77777777" w:rsidR="00D375BA" w:rsidRPr="00386F19" w:rsidRDefault="00D375BA" w:rsidP="00031A6C">
            <w:pPr>
              <w:spacing w:before="0"/>
              <w:rPr>
                <w:sz w:val="16"/>
                <w:szCs w:val="16"/>
              </w:rPr>
            </w:pPr>
          </w:p>
        </w:tc>
        <w:tc>
          <w:tcPr>
            <w:tcW w:w="321" w:type="pct"/>
            <w:shd w:val="clear" w:color="auto" w:fill="FFFF00"/>
            <w:tcMar>
              <w:left w:w="0" w:type="dxa"/>
              <w:right w:w="0" w:type="dxa"/>
            </w:tcMar>
            <w:vAlign w:val="center"/>
          </w:tcPr>
          <w:p w14:paraId="3A4FC569" w14:textId="77777777" w:rsidR="00D375BA" w:rsidRPr="00386F19" w:rsidRDefault="00D375BA" w:rsidP="00031A6C">
            <w:pPr>
              <w:spacing w:before="0"/>
              <w:rPr>
                <w:sz w:val="16"/>
                <w:szCs w:val="16"/>
              </w:rPr>
            </w:pPr>
          </w:p>
        </w:tc>
        <w:tc>
          <w:tcPr>
            <w:tcW w:w="477" w:type="pct"/>
            <w:shd w:val="clear" w:color="auto" w:fill="FFFF00"/>
            <w:tcMar>
              <w:left w:w="0" w:type="dxa"/>
              <w:right w:w="0" w:type="dxa"/>
            </w:tcMar>
            <w:vAlign w:val="center"/>
          </w:tcPr>
          <w:p w14:paraId="21551228" w14:textId="77777777" w:rsidR="00D375BA" w:rsidRPr="00386F19" w:rsidRDefault="00D375BA" w:rsidP="00031A6C">
            <w:pPr>
              <w:spacing w:before="0"/>
              <w:rPr>
                <w:sz w:val="16"/>
                <w:szCs w:val="16"/>
              </w:rPr>
            </w:pPr>
          </w:p>
        </w:tc>
        <w:tc>
          <w:tcPr>
            <w:tcW w:w="818" w:type="pct"/>
            <w:shd w:val="clear" w:color="auto" w:fill="00B050"/>
            <w:tcMar>
              <w:left w:w="0" w:type="dxa"/>
              <w:right w:w="0" w:type="dxa"/>
            </w:tcMar>
            <w:vAlign w:val="center"/>
          </w:tcPr>
          <w:p w14:paraId="57A6472C" w14:textId="77777777" w:rsidR="00D375BA" w:rsidRPr="00386F19" w:rsidRDefault="00D375BA" w:rsidP="00031A6C">
            <w:pPr>
              <w:spacing w:before="0"/>
              <w:rPr>
                <w:sz w:val="16"/>
                <w:szCs w:val="16"/>
              </w:rPr>
            </w:pPr>
          </w:p>
        </w:tc>
        <w:tc>
          <w:tcPr>
            <w:tcW w:w="588" w:type="pct"/>
            <w:shd w:val="clear" w:color="auto" w:fill="00B050"/>
            <w:tcMar>
              <w:left w:w="0" w:type="dxa"/>
              <w:right w:w="0" w:type="dxa"/>
            </w:tcMar>
            <w:vAlign w:val="center"/>
          </w:tcPr>
          <w:p w14:paraId="21053722" w14:textId="77777777" w:rsidR="00D375BA" w:rsidRPr="00386F19" w:rsidRDefault="00D375BA" w:rsidP="00031A6C">
            <w:pPr>
              <w:spacing w:before="0"/>
              <w:rPr>
                <w:sz w:val="16"/>
                <w:szCs w:val="16"/>
              </w:rPr>
            </w:pPr>
          </w:p>
        </w:tc>
        <w:tc>
          <w:tcPr>
            <w:tcW w:w="295" w:type="pct"/>
            <w:shd w:val="clear" w:color="auto" w:fill="00B050"/>
            <w:tcMar>
              <w:left w:w="0" w:type="dxa"/>
              <w:right w:w="0" w:type="dxa"/>
            </w:tcMar>
            <w:vAlign w:val="center"/>
          </w:tcPr>
          <w:p w14:paraId="6020C627" w14:textId="77777777" w:rsidR="00D375BA" w:rsidRPr="00386F19" w:rsidRDefault="00D375BA" w:rsidP="00031A6C">
            <w:pPr>
              <w:spacing w:before="0"/>
              <w:rPr>
                <w:sz w:val="16"/>
                <w:szCs w:val="16"/>
              </w:rPr>
            </w:pPr>
          </w:p>
        </w:tc>
        <w:tc>
          <w:tcPr>
            <w:tcW w:w="1179" w:type="pct"/>
            <w:shd w:val="clear" w:color="auto" w:fill="92D050"/>
            <w:tcMar>
              <w:left w:w="0" w:type="dxa"/>
              <w:right w:w="0" w:type="dxa"/>
            </w:tcMar>
            <w:vAlign w:val="center"/>
          </w:tcPr>
          <w:p w14:paraId="645EA5D9" w14:textId="77777777" w:rsidR="00D375BA" w:rsidRPr="00386F19" w:rsidRDefault="00D375BA" w:rsidP="00031A6C">
            <w:pPr>
              <w:spacing w:before="0"/>
              <w:rPr>
                <w:sz w:val="16"/>
                <w:szCs w:val="16"/>
              </w:rPr>
            </w:pPr>
          </w:p>
        </w:tc>
      </w:tr>
      <w:tr w:rsidR="008B2BDA" w:rsidRPr="00386F19" w14:paraId="1FE1F2D0" w14:textId="77777777" w:rsidTr="00386F19">
        <w:trPr>
          <w:trHeight w:hRule="exact" w:val="227"/>
        </w:trPr>
        <w:tc>
          <w:tcPr>
            <w:tcW w:w="1322" w:type="pct"/>
            <w:shd w:val="clear" w:color="auto" w:fill="E7E6E6"/>
            <w:tcMar>
              <w:left w:w="0" w:type="dxa"/>
              <w:right w:w="0" w:type="dxa"/>
            </w:tcMar>
            <w:vAlign w:val="center"/>
          </w:tcPr>
          <w:p w14:paraId="0533EBEB" w14:textId="77777777" w:rsidR="00D375BA" w:rsidRPr="00386F19" w:rsidRDefault="00D375BA" w:rsidP="00031A6C">
            <w:pPr>
              <w:spacing w:before="0"/>
              <w:rPr>
                <w:sz w:val="16"/>
                <w:szCs w:val="16"/>
              </w:rPr>
            </w:pPr>
            <w:r w:rsidRPr="00386F19">
              <w:rPr>
                <w:sz w:val="16"/>
                <w:szCs w:val="16"/>
                <w:rtl/>
              </w:rPr>
              <w:t>إدارة المشاريع</w:t>
            </w:r>
          </w:p>
        </w:tc>
        <w:tc>
          <w:tcPr>
            <w:tcW w:w="321" w:type="pct"/>
            <w:shd w:val="clear" w:color="auto" w:fill="00B050"/>
            <w:tcMar>
              <w:left w:w="0" w:type="dxa"/>
              <w:right w:w="0" w:type="dxa"/>
            </w:tcMar>
            <w:vAlign w:val="center"/>
          </w:tcPr>
          <w:p w14:paraId="33EE5B75" w14:textId="77777777" w:rsidR="00D375BA" w:rsidRPr="00386F19" w:rsidRDefault="00D375BA" w:rsidP="00031A6C">
            <w:pPr>
              <w:spacing w:before="0"/>
              <w:rPr>
                <w:sz w:val="16"/>
                <w:szCs w:val="16"/>
              </w:rPr>
            </w:pPr>
          </w:p>
        </w:tc>
        <w:tc>
          <w:tcPr>
            <w:tcW w:w="477" w:type="pct"/>
            <w:shd w:val="clear" w:color="auto" w:fill="FF0000"/>
            <w:tcMar>
              <w:left w:w="0" w:type="dxa"/>
              <w:right w:w="0" w:type="dxa"/>
            </w:tcMar>
            <w:vAlign w:val="center"/>
          </w:tcPr>
          <w:p w14:paraId="5A375D1C" w14:textId="77777777" w:rsidR="00D375BA" w:rsidRPr="00386F19" w:rsidRDefault="00D375BA" w:rsidP="00031A6C">
            <w:pPr>
              <w:spacing w:before="0"/>
              <w:rPr>
                <w:sz w:val="16"/>
                <w:szCs w:val="16"/>
              </w:rPr>
            </w:pPr>
          </w:p>
        </w:tc>
        <w:tc>
          <w:tcPr>
            <w:tcW w:w="818" w:type="pct"/>
            <w:shd w:val="clear" w:color="auto" w:fill="00B050"/>
            <w:tcMar>
              <w:left w:w="0" w:type="dxa"/>
              <w:right w:w="0" w:type="dxa"/>
            </w:tcMar>
            <w:vAlign w:val="center"/>
          </w:tcPr>
          <w:p w14:paraId="18FBF190" w14:textId="77777777" w:rsidR="00D375BA" w:rsidRPr="00386F19" w:rsidRDefault="00D375BA" w:rsidP="00031A6C">
            <w:pPr>
              <w:spacing w:before="0"/>
              <w:rPr>
                <w:sz w:val="16"/>
                <w:szCs w:val="16"/>
              </w:rPr>
            </w:pPr>
          </w:p>
        </w:tc>
        <w:tc>
          <w:tcPr>
            <w:tcW w:w="588" w:type="pct"/>
            <w:shd w:val="clear" w:color="auto" w:fill="FF0000"/>
            <w:tcMar>
              <w:left w:w="0" w:type="dxa"/>
              <w:right w:w="0" w:type="dxa"/>
            </w:tcMar>
            <w:vAlign w:val="center"/>
          </w:tcPr>
          <w:p w14:paraId="146ED47E" w14:textId="77777777" w:rsidR="00D375BA" w:rsidRPr="00386F19" w:rsidRDefault="00D375BA" w:rsidP="00031A6C">
            <w:pPr>
              <w:spacing w:before="0"/>
              <w:rPr>
                <w:sz w:val="16"/>
                <w:szCs w:val="16"/>
              </w:rPr>
            </w:pPr>
          </w:p>
        </w:tc>
        <w:tc>
          <w:tcPr>
            <w:tcW w:w="295" w:type="pct"/>
            <w:shd w:val="clear" w:color="auto" w:fill="00B050"/>
            <w:tcMar>
              <w:left w:w="0" w:type="dxa"/>
              <w:right w:w="0" w:type="dxa"/>
            </w:tcMar>
            <w:vAlign w:val="center"/>
          </w:tcPr>
          <w:p w14:paraId="7ADA9B92" w14:textId="77777777" w:rsidR="00D375BA" w:rsidRPr="00386F19" w:rsidRDefault="00D375BA" w:rsidP="00031A6C">
            <w:pPr>
              <w:spacing w:before="0"/>
              <w:rPr>
                <w:sz w:val="16"/>
                <w:szCs w:val="16"/>
              </w:rPr>
            </w:pPr>
          </w:p>
        </w:tc>
        <w:tc>
          <w:tcPr>
            <w:tcW w:w="1179" w:type="pct"/>
            <w:shd w:val="clear" w:color="auto" w:fill="FFFF00"/>
            <w:tcMar>
              <w:left w:w="0" w:type="dxa"/>
              <w:right w:w="0" w:type="dxa"/>
            </w:tcMar>
            <w:vAlign w:val="center"/>
          </w:tcPr>
          <w:p w14:paraId="2F8F19EA" w14:textId="77777777" w:rsidR="00D375BA" w:rsidRPr="00386F19" w:rsidRDefault="00D375BA" w:rsidP="00031A6C">
            <w:pPr>
              <w:spacing w:before="0"/>
              <w:rPr>
                <w:sz w:val="16"/>
                <w:szCs w:val="16"/>
              </w:rPr>
            </w:pPr>
          </w:p>
        </w:tc>
      </w:tr>
      <w:tr w:rsidR="008B2BDA" w:rsidRPr="00386F19" w14:paraId="55589313" w14:textId="77777777" w:rsidTr="00386F19">
        <w:trPr>
          <w:trHeight w:hRule="exact" w:val="227"/>
        </w:trPr>
        <w:tc>
          <w:tcPr>
            <w:tcW w:w="1322" w:type="pct"/>
            <w:shd w:val="clear" w:color="auto" w:fill="E7E6E6"/>
            <w:tcMar>
              <w:left w:w="0" w:type="dxa"/>
              <w:right w:w="0" w:type="dxa"/>
            </w:tcMar>
            <w:vAlign w:val="center"/>
          </w:tcPr>
          <w:p w14:paraId="3A2CD002" w14:textId="77777777" w:rsidR="00D375BA" w:rsidRPr="00386F19" w:rsidRDefault="00D375BA" w:rsidP="00031A6C">
            <w:pPr>
              <w:spacing w:before="0"/>
              <w:rPr>
                <w:sz w:val="16"/>
                <w:szCs w:val="16"/>
              </w:rPr>
            </w:pPr>
            <w:r w:rsidRPr="00386F19">
              <w:rPr>
                <w:sz w:val="16"/>
                <w:szCs w:val="16"/>
                <w:rtl/>
              </w:rPr>
              <w:t>الخطة التشغيلية</w:t>
            </w:r>
          </w:p>
        </w:tc>
        <w:tc>
          <w:tcPr>
            <w:tcW w:w="321" w:type="pct"/>
            <w:shd w:val="clear" w:color="auto" w:fill="00B050"/>
            <w:tcMar>
              <w:left w:w="0" w:type="dxa"/>
              <w:right w:w="0" w:type="dxa"/>
            </w:tcMar>
            <w:vAlign w:val="center"/>
          </w:tcPr>
          <w:p w14:paraId="6434AA47" w14:textId="77777777" w:rsidR="00D375BA" w:rsidRPr="00386F19" w:rsidRDefault="00D375BA" w:rsidP="00031A6C">
            <w:pPr>
              <w:spacing w:before="0"/>
              <w:rPr>
                <w:sz w:val="16"/>
                <w:szCs w:val="16"/>
              </w:rPr>
            </w:pPr>
          </w:p>
        </w:tc>
        <w:tc>
          <w:tcPr>
            <w:tcW w:w="477" w:type="pct"/>
            <w:shd w:val="clear" w:color="auto" w:fill="00B050"/>
            <w:tcMar>
              <w:left w:w="0" w:type="dxa"/>
              <w:right w:w="0" w:type="dxa"/>
            </w:tcMar>
            <w:vAlign w:val="center"/>
          </w:tcPr>
          <w:p w14:paraId="53753F8E" w14:textId="77777777" w:rsidR="00D375BA" w:rsidRPr="00386F19" w:rsidRDefault="00D375BA" w:rsidP="00031A6C">
            <w:pPr>
              <w:spacing w:before="0"/>
              <w:rPr>
                <w:sz w:val="16"/>
                <w:szCs w:val="16"/>
              </w:rPr>
            </w:pPr>
          </w:p>
        </w:tc>
        <w:tc>
          <w:tcPr>
            <w:tcW w:w="818" w:type="pct"/>
            <w:shd w:val="clear" w:color="auto" w:fill="00B050"/>
            <w:tcMar>
              <w:left w:w="0" w:type="dxa"/>
              <w:right w:w="0" w:type="dxa"/>
            </w:tcMar>
            <w:vAlign w:val="center"/>
          </w:tcPr>
          <w:p w14:paraId="54141BA7" w14:textId="77777777" w:rsidR="00D375BA" w:rsidRPr="00386F19" w:rsidRDefault="00D375BA" w:rsidP="00031A6C">
            <w:pPr>
              <w:spacing w:before="0"/>
              <w:rPr>
                <w:sz w:val="16"/>
                <w:szCs w:val="16"/>
              </w:rPr>
            </w:pPr>
          </w:p>
        </w:tc>
        <w:tc>
          <w:tcPr>
            <w:tcW w:w="588" w:type="pct"/>
            <w:shd w:val="clear" w:color="auto" w:fill="00B050"/>
            <w:tcMar>
              <w:left w:w="0" w:type="dxa"/>
              <w:right w:w="0" w:type="dxa"/>
            </w:tcMar>
            <w:vAlign w:val="center"/>
          </w:tcPr>
          <w:p w14:paraId="2275B32E" w14:textId="77777777" w:rsidR="00D375BA" w:rsidRPr="00386F19" w:rsidRDefault="00D375BA" w:rsidP="00031A6C">
            <w:pPr>
              <w:spacing w:before="0"/>
              <w:rPr>
                <w:sz w:val="16"/>
                <w:szCs w:val="16"/>
              </w:rPr>
            </w:pPr>
          </w:p>
        </w:tc>
        <w:tc>
          <w:tcPr>
            <w:tcW w:w="295" w:type="pct"/>
            <w:shd w:val="clear" w:color="auto" w:fill="00B050"/>
            <w:tcMar>
              <w:left w:w="0" w:type="dxa"/>
              <w:right w:w="0" w:type="dxa"/>
            </w:tcMar>
            <w:vAlign w:val="center"/>
          </w:tcPr>
          <w:p w14:paraId="1867B990" w14:textId="77777777" w:rsidR="00D375BA" w:rsidRPr="00386F19" w:rsidRDefault="00D375BA" w:rsidP="00031A6C">
            <w:pPr>
              <w:spacing w:before="0"/>
              <w:rPr>
                <w:sz w:val="16"/>
                <w:szCs w:val="16"/>
              </w:rPr>
            </w:pPr>
          </w:p>
        </w:tc>
        <w:tc>
          <w:tcPr>
            <w:tcW w:w="1179" w:type="pct"/>
            <w:shd w:val="clear" w:color="auto" w:fill="92D050"/>
            <w:tcMar>
              <w:left w:w="0" w:type="dxa"/>
              <w:right w:w="0" w:type="dxa"/>
            </w:tcMar>
            <w:vAlign w:val="center"/>
          </w:tcPr>
          <w:p w14:paraId="5E469896" w14:textId="77777777" w:rsidR="00D375BA" w:rsidRPr="00386F19" w:rsidRDefault="00D375BA" w:rsidP="00031A6C">
            <w:pPr>
              <w:spacing w:before="0"/>
              <w:rPr>
                <w:sz w:val="16"/>
                <w:szCs w:val="16"/>
              </w:rPr>
            </w:pPr>
          </w:p>
        </w:tc>
      </w:tr>
      <w:tr w:rsidR="008B2BDA" w:rsidRPr="00386F19" w14:paraId="67EB41C7" w14:textId="77777777" w:rsidTr="00386F19">
        <w:trPr>
          <w:trHeight w:hRule="exact" w:val="227"/>
        </w:trPr>
        <w:tc>
          <w:tcPr>
            <w:tcW w:w="1322" w:type="pct"/>
            <w:shd w:val="clear" w:color="auto" w:fill="E7E6E6"/>
            <w:tcMar>
              <w:left w:w="0" w:type="dxa"/>
              <w:right w:w="0" w:type="dxa"/>
            </w:tcMar>
            <w:vAlign w:val="center"/>
          </w:tcPr>
          <w:p w14:paraId="420F1EE9" w14:textId="77777777" w:rsidR="00D375BA" w:rsidRPr="00386F19" w:rsidRDefault="00D375BA" w:rsidP="00031A6C">
            <w:pPr>
              <w:spacing w:before="0"/>
              <w:rPr>
                <w:sz w:val="16"/>
                <w:szCs w:val="16"/>
              </w:rPr>
            </w:pPr>
            <w:r w:rsidRPr="00386F19">
              <w:rPr>
                <w:sz w:val="16"/>
                <w:szCs w:val="16"/>
                <w:rtl/>
              </w:rPr>
              <w:t>إدارة الموارد البشرية</w:t>
            </w:r>
          </w:p>
        </w:tc>
        <w:tc>
          <w:tcPr>
            <w:tcW w:w="321" w:type="pct"/>
            <w:shd w:val="clear" w:color="auto" w:fill="FFFF00"/>
            <w:tcMar>
              <w:left w:w="0" w:type="dxa"/>
              <w:right w:w="0" w:type="dxa"/>
            </w:tcMar>
            <w:vAlign w:val="center"/>
          </w:tcPr>
          <w:p w14:paraId="5921B6C5" w14:textId="77777777" w:rsidR="00D375BA" w:rsidRPr="00386F19" w:rsidRDefault="00D375BA" w:rsidP="00031A6C">
            <w:pPr>
              <w:spacing w:before="0"/>
              <w:rPr>
                <w:sz w:val="16"/>
                <w:szCs w:val="16"/>
              </w:rPr>
            </w:pPr>
          </w:p>
        </w:tc>
        <w:tc>
          <w:tcPr>
            <w:tcW w:w="477" w:type="pct"/>
            <w:shd w:val="clear" w:color="auto" w:fill="FFFF00"/>
            <w:tcMar>
              <w:left w:w="0" w:type="dxa"/>
              <w:right w:w="0" w:type="dxa"/>
            </w:tcMar>
            <w:vAlign w:val="center"/>
          </w:tcPr>
          <w:p w14:paraId="7D6D9381" w14:textId="77777777" w:rsidR="00D375BA" w:rsidRPr="00386F19" w:rsidRDefault="00D375BA" w:rsidP="00031A6C">
            <w:pPr>
              <w:spacing w:before="0"/>
              <w:rPr>
                <w:sz w:val="16"/>
                <w:szCs w:val="16"/>
              </w:rPr>
            </w:pPr>
          </w:p>
        </w:tc>
        <w:tc>
          <w:tcPr>
            <w:tcW w:w="818" w:type="pct"/>
            <w:shd w:val="clear" w:color="auto" w:fill="92D050"/>
            <w:tcMar>
              <w:left w:w="0" w:type="dxa"/>
              <w:right w:w="0" w:type="dxa"/>
            </w:tcMar>
            <w:vAlign w:val="center"/>
          </w:tcPr>
          <w:p w14:paraId="6FC0CA4D" w14:textId="77777777" w:rsidR="00D375BA" w:rsidRPr="00386F19" w:rsidRDefault="00D375BA" w:rsidP="00031A6C">
            <w:pPr>
              <w:spacing w:before="0"/>
              <w:rPr>
                <w:sz w:val="16"/>
                <w:szCs w:val="16"/>
              </w:rPr>
            </w:pPr>
          </w:p>
        </w:tc>
        <w:tc>
          <w:tcPr>
            <w:tcW w:w="588" w:type="pct"/>
            <w:shd w:val="clear" w:color="auto" w:fill="FFFF00"/>
            <w:tcMar>
              <w:left w:w="0" w:type="dxa"/>
              <w:right w:w="0" w:type="dxa"/>
            </w:tcMar>
            <w:vAlign w:val="center"/>
          </w:tcPr>
          <w:p w14:paraId="521DD15A" w14:textId="77777777" w:rsidR="00D375BA" w:rsidRPr="00386F19" w:rsidRDefault="00D375BA" w:rsidP="00031A6C">
            <w:pPr>
              <w:spacing w:before="0"/>
              <w:rPr>
                <w:sz w:val="16"/>
                <w:szCs w:val="16"/>
              </w:rPr>
            </w:pPr>
          </w:p>
        </w:tc>
        <w:tc>
          <w:tcPr>
            <w:tcW w:w="295" w:type="pct"/>
            <w:shd w:val="clear" w:color="auto" w:fill="00B050"/>
            <w:tcMar>
              <w:left w:w="0" w:type="dxa"/>
              <w:right w:w="0" w:type="dxa"/>
            </w:tcMar>
            <w:vAlign w:val="center"/>
          </w:tcPr>
          <w:p w14:paraId="5CF53A64" w14:textId="77777777" w:rsidR="00D375BA" w:rsidRPr="00386F19" w:rsidRDefault="00D375BA" w:rsidP="00031A6C">
            <w:pPr>
              <w:spacing w:before="0"/>
              <w:rPr>
                <w:sz w:val="16"/>
                <w:szCs w:val="16"/>
              </w:rPr>
            </w:pPr>
          </w:p>
        </w:tc>
        <w:tc>
          <w:tcPr>
            <w:tcW w:w="1179" w:type="pct"/>
            <w:shd w:val="clear" w:color="auto" w:fill="FFFF00"/>
            <w:tcMar>
              <w:left w:w="0" w:type="dxa"/>
              <w:right w:w="0" w:type="dxa"/>
            </w:tcMar>
            <w:vAlign w:val="center"/>
          </w:tcPr>
          <w:p w14:paraId="46CE0038" w14:textId="77777777" w:rsidR="00D375BA" w:rsidRPr="00386F19" w:rsidRDefault="00D375BA" w:rsidP="00031A6C">
            <w:pPr>
              <w:spacing w:before="0"/>
              <w:rPr>
                <w:sz w:val="16"/>
                <w:szCs w:val="16"/>
              </w:rPr>
            </w:pPr>
          </w:p>
        </w:tc>
      </w:tr>
      <w:tr w:rsidR="008B2BDA" w:rsidRPr="00386F19" w14:paraId="26369E48" w14:textId="77777777" w:rsidTr="00386F19">
        <w:trPr>
          <w:trHeight w:hRule="exact" w:val="227"/>
        </w:trPr>
        <w:tc>
          <w:tcPr>
            <w:tcW w:w="1322" w:type="pct"/>
            <w:shd w:val="clear" w:color="auto" w:fill="E7E6E6"/>
            <w:tcMar>
              <w:left w:w="0" w:type="dxa"/>
              <w:right w:w="0" w:type="dxa"/>
            </w:tcMar>
            <w:vAlign w:val="center"/>
          </w:tcPr>
          <w:p w14:paraId="47475C8A" w14:textId="77777777" w:rsidR="00D375BA" w:rsidRPr="00386F19" w:rsidRDefault="00D375BA" w:rsidP="00031A6C">
            <w:pPr>
              <w:spacing w:before="0"/>
              <w:rPr>
                <w:sz w:val="16"/>
                <w:szCs w:val="16"/>
              </w:rPr>
            </w:pPr>
            <w:r w:rsidRPr="00386F19">
              <w:rPr>
                <w:sz w:val="16"/>
                <w:szCs w:val="16"/>
                <w:rtl/>
              </w:rPr>
              <w:t>إدارة الأصول والمخزونات</w:t>
            </w:r>
          </w:p>
        </w:tc>
        <w:tc>
          <w:tcPr>
            <w:tcW w:w="321" w:type="pct"/>
            <w:shd w:val="clear" w:color="auto" w:fill="00B050"/>
            <w:tcMar>
              <w:left w:w="0" w:type="dxa"/>
              <w:right w:w="0" w:type="dxa"/>
            </w:tcMar>
            <w:vAlign w:val="center"/>
          </w:tcPr>
          <w:p w14:paraId="17B5ED88" w14:textId="77777777" w:rsidR="00D375BA" w:rsidRPr="00386F19" w:rsidRDefault="00D375BA" w:rsidP="00031A6C">
            <w:pPr>
              <w:spacing w:before="0"/>
              <w:rPr>
                <w:sz w:val="16"/>
                <w:szCs w:val="16"/>
              </w:rPr>
            </w:pPr>
          </w:p>
        </w:tc>
        <w:tc>
          <w:tcPr>
            <w:tcW w:w="477" w:type="pct"/>
            <w:shd w:val="clear" w:color="auto" w:fill="FFFF00"/>
            <w:tcMar>
              <w:left w:w="0" w:type="dxa"/>
              <w:right w:w="0" w:type="dxa"/>
            </w:tcMar>
            <w:vAlign w:val="center"/>
          </w:tcPr>
          <w:p w14:paraId="39663440" w14:textId="77777777" w:rsidR="00D375BA" w:rsidRPr="00386F19" w:rsidRDefault="00D375BA" w:rsidP="00031A6C">
            <w:pPr>
              <w:spacing w:before="0"/>
              <w:rPr>
                <w:sz w:val="16"/>
                <w:szCs w:val="16"/>
              </w:rPr>
            </w:pPr>
          </w:p>
        </w:tc>
        <w:tc>
          <w:tcPr>
            <w:tcW w:w="818" w:type="pct"/>
            <w:shd w:val="clear" w:color="auto" w:fill="00B050"/>
            <w:tcMar>
              <w:left w:w="0" w:type="dxa"/>
              <w:right w:w="0" w:type="dxa"/>
            </w:tcMar>
            <w:vAlign w:val="center"/>
          </w:tcPr>
          <w:p w14:paraId="20EF5DC8" w14:textId="77777777" w:rsidR="00D375BA" w:rsidRPr="00386F19" w:rsidRDefault="00D375BA" w:rsidP="00031A6C">
            <w:pPr>
              <w:spacing w:before="0"/>
              <w:rPr>
                <w:sz w:val="16"/>
                <w:szCs w:val="16"/>
              </w:rPr>
            </w:pPr>
          </w:p>
        </w:tc>
        <w:tc>
          <w:tcPr>
            <w:tcW w:w="588" w:type="pct"/>
            <w:shd w:val="clear" w:color="auto" w:fill="FFFF00"/>
            <w:tcMar>
              <w:left w:w="0" w:type="dxa"/>
              <w:right w:w="0" w:type="dxa"/>
            </w:tcMar>
            <w:vAlign w:val="center"/>
          </w:tcPr>
          <w:p w14:paraId="19ED9607" w14:textId="77777777" w:rsidR="00D375BA" w:rsidRPr="00386F19" w:rsidRDefault="00D375BA" w:rsidP="00031A6C">
            <w:pPr>
              <w:spacing w:before="0"/>
              <w:rPr>
                <w:sz w:val="16"/>
                <w:szCs w:val="16"/>
              </w:rPr>
            </w:pPr>
          </w:p>
        </w:tc>
        <w:tc>
          <w:tcPr>
            <w:tcW w:w="295" w:type="pct"/>
            <w:shd w:val="clear" w:color="auto" w:fill="00B050"/>
            <w:tcMar>
              <w:left w:w="0" w:type="dxa"/>
              <w:right w:w="0" w:type="dxa"/>
            </w:tcMar>
            <w:vAlign w:val="center"/>
          </w:tcPr>
          <w:p w14:paraId="4AA15240" w14:textId="77777777" w:rsidR="00D375BA" w:rsidRPr="00386F19" w:rsidRDefault="00D375BA" w:rsidP="00031A6C">
            <w:pPr>
              <w:spacing w:before="0"/>
              <w:rPr>
                <w:sz w:val="16"/>
                <w:szCs w:val="16"/>
              </w:rPr>
            </w:pPr>
          </w:p>
        </w:tc>
        <w:tc>
          <w:tcPr>
            <w:tcW w:w="1179" w:type="pct"/>
            <w:shd w:val="clear" w:color="auto" w:fill="00B050"/>
            <w:tcMar>
              <w:left w:w="0" w:type="dxa"/>
              <w:right w:w="0" w:type="dxa"/>
            </w:tcMar>
            <w:vAlign w:val="center"/>
          </w:tcPr>
          <w:p w14:paraId="29DD3492" w14:textId="77777777" w:rsidR="00D375BA" w:rsidRPr="00386F19" w:rsidRDefault="00D375BA" w:rsidP="00031A6C">
            <w:pPr>
              <w:spacing w:before="0"/>
              <w:rPr>
                <w:sz w:val="16"/>
                <w:szCs w:val="16"/>
              </w:rPr>
            </w:pPr>
          </w:p>
        </w:tc>
      </w:tr>
      <w:tr w:rsidR="008B2BDA" w:rsidRPr="00386F19" w14:paraId="21512D54" w14:textId="77777777" w:rsidTr="00386F19">
        <w:trPr>
          <w:trHeight w:hRule="exact" w:val="227"/>
        </w:trPr>
        <w:tc>
          <w:tcPr>
            <w:tcW w:w="1322" w:type="pct"/>
            <w:shd w:val="clear" w:color="auto" w:fill="E7E6E6"/>
            <w:tcMar>
              <w:left w:w="0" w:type="dxa"/>
              <w:right w:w="0" w:type="dxa"/>
            </w:tcMar>
            <w:vAlign w:val="center"/>
          </w:tcPr>
          <w:p w14:paraId="1862F073" w14:textId="77777777" w:rsidR="00D375BA" w:rsidRPr="00386F19" w:rsidRDefault="00D375BA" w:rsidP="00031A6C">
            <w:pPr>
              <w:spacing w:before="0"/>
              <w:rPr>
                <w:sz w:val="16"/>
                <w:szCs w:val="16"/>
                <w:highlight w:val="cyan"/>
              </w:rPr>
            </w:pPr>
            <w:r w:rsidRPr="00386F19">
              <w:rPr>
                <w:sz w:val="16"/>
                <w:szCs w:val="16"/>
                <w:rtl/>
              </w:rPr>
              <w:t>المشتريات</w:t>
            </w:r>
          </w:p>
        </w:tc>
        <w:tc>
          <w:tcPr>
            <w:tcW w:w="321" w:type="pct"/>
            <w:shd w:val="clear" w:color="auto" w:fill="00B050"/>
            <w:tcMar>
              <w:left w:w="0" w:type="dxa"/>
              <w:right w:w="0" w:type="dxa"/>
            </w:tcMar>
            <w:vAlign w:val="center"/>
          </w:tcPr>
          <w:p w14:paraId="26AF1969" w14:textId="77777777" w:rsidR="00D375BA" w:rsidRPr="00386F19" w:rsidRDefault="00D375BA" w:rsidP="00031A6C">
            <w:pPr>
              <w:spacing w:before="0"/>
              <w:rPr>
                <w:sz w:val="16"/>
                <w:szCs w:val="16"/>
              </w:rPr>
            </w:pPr>
          </w:p>
        </w:tc>
        <w:tc>
          <w:tcPr>
            <w:tcW w:w="477" w:type="pct"/>
            <w:shd w:val="clear" w:color="auto" w:fill="00B050"/>
            <w:tcMar>
              <w:left w:w="0" w:type="dxa"/>
              <w:right w:w="0" w:type="dxa"/>
            </w:tcMar>
            <w:vAlign w:val="center"/>
          </w:tcPr>
          <w:p w14:paraId="266E9C60" w14:textId="77777777" w:rsidR="00D375BA" w:rsidRPr="00386F19" w:rsidRDefault="00D375BA" w:rsidP="00031A6C">
            <w:pPr>
              <w:spacing w:before="0"/>
              <w:rPr>
                <w:sz w:val="16"/>
                <w:szCs w:val="16"/>
              </w:rPr>
            </w:pPr>
          </w:p>
        </w:tc>
        <w:tc>
          <w:tcPr>
            <w:tcW w:w="818" w:type="pct"/>
            <w:shd w:val="clear" w:color="auto" w:fill="00B050"/>
            <w:tcMar>
              <w:left w:w="0" w:type="dxa"/>
              <w:right w:w="0" w:type="dxa"/>
            </w:tcMar>
            <w:vAlign w:val="center"/>
          </w:tcPr>
          <w:p w14:paraId="7C71D06F" w14:textId="77777777" w:rsidR="00D375BA" w:rsidRPr="00386F19" w:rsidRDefault="00D375BA" w:rsidP="00031A6C">
            <w:pPr>
              <w:spacing w:before="0"/>
              <w:rPr>
                <w:sz w:val="16"/>
                <w:szCs w:val="16"/>
              </w:rPr>
            </w:pPr>
          </w:p>
        </w:tc>
        <w:tc>
          <w:tcPr>
            <w:tcW w:w="588" w:type="pct"/>
            <w:shd w:val="clear" w:color="auto" w:fill="00B050"/>
            <w:tcMar>
              <w:left w:w="0" w:type="dxa"/>
              <w:right w:w="0" w:type="dxa"/>
            </w:tcMar>
            <w:vAlign w:val="center"/>
          </w:tcPr>
          <w:p w14:paraId="3556300E" w14:textId="77777777" w:rsidR="00D375BA" w:rsidRPr="00386F19" w:rsidRDefault="00D375BA" w:rsidP="00031A6C">
            <w:pPr>
              <w:spacing w:before="0"/>
              <w:rPr>
                <w:sz w:val="16"/>
                <w:szCs w:val="16"/>
              </w:rPr>
            </w:pPr>
          </w:p>
        </w:tc>
        <w:tc>
          <w:tcPr>
            <w:tcW w:w="295" w:type="pct"/>
            <w:shd w:val="clear" w:color="auto" w:fill="00B050"/>
            <w:tcMar>
              <w:left w:w="0" w:type="dxa"/>
              <w:right w:w="0" w:type="dxa"/>
            </w:tcMar>
            <w:vAlign w:val="center"/>
          </w:tcPr>
          <w:p w14:paraId="467E5B22" w14:textId="77777777" w:rsidR="00D375BA" w:rsidRPr="00386F19" w:rsidRDefault="00D375BA" w:rsidP="00031A6C">
            <w:pPr>
              <w:spacing w:before="0"/>
              <w:rPr>
                <w:sz w:val="16"/>
                <w:szCs w:val="16"/>
              </w:rPr>
            </w:pPr>
          </w:p>
        </w:tc>
        <w:tc>
          <w:tcPr>
            <w:tcW w:w="1179" w:type="pct"/>
            <w:shd w:val="clear" w:color="auto" w:fill="00B050"/>
            <w:tcMar>
              <w:left w:w="0" w:type="dxa"/>
              <w:right w:w="0" w:type="dxa"/>
            </w:tcMar>
            <w:vAlign w:val="center"/>
          </w:tcPr>
          <w:p w14:paraId="787AFD37" w14:textId="77777777" w:rsidR="00D375BA" w:rsidRPr="00386F19" w:rsidRDefault="00D375BA" w:rsidP="00031A6C">
            <w:pPr>
              <w:spacing w:before="0"/>
              <w:rPr>
                <w:sz w:val="16"/>
                <w:szCs w:val="16"/>
              </w:rPr>
            </w:pPr>
          </w:p>
        </w:tc>
      </w:tr>
      <w:tr w:rsidR="008B2BDA" w:rsidRPr="00386F19" w14:paraId="47BED1A0" w14:textId="77777777" w:rsidTr="00386F19">
        <w:trPr>
          <w:trHeight w:hRule="exact" w:val="227"/>
        </w:trPr>
        <w:tc>
          <w:tcPr>
            <w:tcW w:w="1322" w:type="pct"/>
            <w:shd w:val="clear" w:color="auto" w:fill="E7E6E6"/>
            <w:tcMar>
              <w:left w:w="0" w:type="dxa"/>
              <w:right w:w="0" w:type="dxa"/>
            </w:tcMar>
            <w:vAlign w:val="center"/>
          </w:tcPr>
          <w:p w14:paraId="4244BD37" w14:textId="77777777" w:rsidR="00D375BA" w:rsidRPr="00386F19" w:rsidRDefault="00D375BA" w:rsidP="00031A6C">
            <w:pPr>
              <w:spacing w:before="0"/>
              <w:rPr>
                <w:sz w:val="16"/>
                <w:szCs w:val="16"/>
                <w:highlight w:val="cyan"/>
              </w:rPr>
            </w:pPr>
            <w:r w:rsidRPr="00386F19">
              <w:rPr>
                <w:sz w:val="16"/>
                <w:szCs w:val="16"/>
                <w:rtl/>
              </w:rPr>
              <w:t>إدارة مهمات السفر</w:t>
            </w:r>
          </w:p>
        </w:tc>
        <w:tc>
          <w:tcPr>
            <w:tcW w:w="321" w:type="pct"/>
            <w:shd w:val="clear" w:color="auto" w:fill="00B050"/>
            <w:tcMar>
              <w:left w:w="0" w:type="dxa"/>
              <w:right w:w="0" w:type="dxa"/>
            </w:tcMar>
            <w:vAlign w:val="center"/>
          </w:tcPr>
          <w:p w14:paraId="621BCEAE" w14:textId="77777777" w:rsidR="00D375BA" w:rsidRPr="00386F19" w:rsidRDefault="00D375BA" w:rsidP="00031A6C">
            <w:pPr>
              <w:spacing w:before="0"/>
              <w:rPr>
                <w:sz w:val="16"/>
                <w:szCs w:val="16"/>
              </w:rPr>
            </w:pPr>
          </w:p>
        </w:tc>
        <w:tc>
          <w:tcPr>
            <w:tcW w:w="477" w:type="pct"/>
            <w:shd w:val="clear" w:color="auto" w:fill="00B050"/>
            <w:tcMar>
              <w:left w:w="0" w:type="dxa"/>
              <w:right w:w="0" w:type="dxa"/>
            </w:tcMar>
            <w:vAlign w:val="center"/>
          </w:tcPr>
          <w:p w14:paraId="5FD4D209" w14:textId="77777777" w:rsidR="00D375BA" w:rsidRPr="00386F19" w:rsidRDefault="00D375BA" w:rsidP="00031A6C">
            <w:pPr>
              <w:spacing w:before="0"/>
              <w:rPr>
                <w:sz w:val="16"/>
                <w:szCs w:val="16"/>
              </w:rPr>
            </w:pPr>
          </w:p>
        </w:tc>
        <w:tc>
          <w:tcPr>
            <w:tcW w:w="818" w:type="pct"/>
            <w:shd w:val="clear" w:color="auto" w:fill="00B050"/>
            <w:tcMar>
              <w:left w:w="0" w:type="dxa"/>
              <w:right w:w="0" w:type="dxa"/>
            </w:tcMar>
            <w:vAlign w:val="center"/>
          </w:tcPr>
          <w:p w14:paraId="028A8189" w14:textId="77777777" w:rsidR="00D375BA" w:rsidRPr="00386F19" w:rsidRDefault="00D375BA" w:rsidP="00031A6C">
            <w:pPr>
              <w:spacing w:before="0"/>
              <w:rPr>
                <w:sz w:val="16"/>
                <w:szCs w:val="16"/>
              </w:rPr>
            </w:pPr>
          </w:p>
        </w:tc>
        <w:tc>
          <w:tcPr>
            <w:tcW w:w="588" w:type="pct"/>
            <w:shd w:val="clear" w:color="auto" w:fill="FF0000"/>
            <w:tcMar>
              <w:left w:w="0" w:type="dxa"/>
              <w:right w:w="0" w:type="dxa"/>
            </w:tcMar>
            <w:vAlign w:val="center"/>
          </w:tcPr>
          <w:p w14:paraId="16980537" w14:textId="77777777" w:rsidR="00D375BA" w:rsidRPr="00386F19" w:rsidRDefault="00D375BA" w:rsidP="00031A6C">
            <w:pPr>
              <w:spacing w:before="0"/>
              <w:rPr>
                <w:sz w:val="16"/>
                <w:szCs w:val="16"/>
              </w:rPr>
            </w:pPr>
          </w:p>
        </w:tc>
        <w:tc>
          <w:tcPr>
            <w:tcW w:w="295" w:type="pct"/>
            <w:shd w:val="clear" w:color="auto" w:fill="00B050"/>
            <w:tcMar>
              <w:left w:w="0" w:type="dxa"/>
              <w:right w:w="0" w:type="dxa"/>
            </w:tcMar>
            <w:vAlign w:val="center"/>
          </w:tcPr>
          <w:p w14:paraId="610CDB68" w14:textId="77777777" w:rsidR="00D375BA" w:rsidRPr="00386F19" w:rsidRDefault="00D375BA" w:rsidP="00031A6C">
            <w:pPr>
              <w:spacing w:before="0"/>
              <w:rPr>
                <w:sz w:val="16"/>
                <w:szCs w:val="16"/>
              </w:rPr>
            </w:pPr>
          </w:p>
        </w:tc>
        <w:tc>
          <w:tcPr>
            <w:tcW w:w="1179" w:type="pct"/>
            <w:shd w:val="clear" w:color="auto" w:fill="00B050"/>
            <w:tcMar>
              <w:left w:w="0" w:type="dxa"/>
              <w:right w:w="0" w:type="dxa"/>
            </w:tcMar>
            <w:vAlign w:val="center"/>
          </w:tcPr>
          <w:p w14:paraId="454A201D" w14:textId="77777777" w:rsidR="00D375BA" w:rsidRPr="00386F19" w:rsidRDefault="00D375BA" w:rsidP="00031A6C">
            <w:pPr>
              <w:spacing w:before="0"/>
              <w:rPr>
                <w:sz w:val="16"/>
                <w:szCs w:val="16"/>
              </w:rPr>
            </w:pPr>
          </w:p>
        </w:tc>
      </w:tr>
      <w:tr w:rsidR="008B2BDA" w:rsidRPr="00386F19" w14:paraId="26B35BBB" w14:textId="77777777" w:rsidTr="00386F19">
        <w:trPr>
          <w:trHeight w:hRule="exact" w:val="227"/>
        </w:trPr>
        <w:tc>
          <w:tcPr>
            <w:tcW w:w="1322" w:type="pct"/>
            <w:shd w:val="clear" w:color="auto" w:fill="E7E6E6"/>
            <w:tcMar>
              <w:left w:w="0" w:type="dxa"/>
              <w:right w:w="0" w:type="dxa"/>
            </w:tcMar>
            <w:vAlign w:val="center"/>
          </w:tcPr>
          <w:p w14:paraId="7E7CBFD6" w14:textId="77777777" w:rsidR="00D375BA" w:rsidRPr="00386F19" w:rsidRDefault="00D375BA" w:rsidP="00031A6C">
            <w:pPr>
              <w:spacing w:before="0"/>
              <w:rPr>
                <w:sz w:val="16"/>
                <w:szCs w:val="16"/>
                <w:highlight w:val="cyan"/>
              </w:rPr>
            </w:pPr>
            <w:r w:rsidRPr="00386F19">
              <w:rPr>
                <w:sz w:val="16"/>
                <w:szCs w:val="16"/>
                <w:rtl/>
              </w:rPr>
              <w:t>المِنح</w:t>
            </w:r>
          </w:p>
        </w:tc>
        <w:tc>
          <w:tcPr>
            <w:tcW w:w="321" w:type="pct"/>
            <w:shd w:val="clear" w:color="auto" w:fill="00B050"/>
            <w:tcMar>
              <w:left w:w="0" w:type="dxa"/>
              <w:right w:w="0" w:type="dxa"/>
            </w:tcMar>
            <w:vAlign w:val="center"/>
          </w:tcPr>
          <w:p w14:paraId="12D87758" w14:textId="77777777" w:rsidR="00D375BA" w:rsidRPr="00386F19" w:rsidRDefault="00D375BA" w:rsidP="00031A6C">
            <w:pPr>
              <w:spacing w:before="0"/>
              <w:rPr>
                <w:sz w:val="16"/>
                <w:szCs w:val="16"/>
              </w:rPr>
            </w:pPr>
          </w:p>
        </w:tc>
        <w:tc>
          <w:tcPr>
            <w:tcW w:w="477" w:type="pct"/>
            <w:shd w:val="clear" w:color="auto" w:fill="00B050"/>
            <w:tcMar>
              <w:left w:w="0" w:type="dxa"/>
              <w:right w:w="0" w:type="dxa"/>
            </w:tcMar>
            <w:vAlign w:val="center"/>
          </w:tcPr>
          <w:p w14:paraId="15673586" w14:textId="77777777" w:rsidR="00D375BA" w:rsidRPr="00386F19" w:rsidRDefault="00D375BA" w:rsidP="00031A6C">
            <w:pPr>
              <w:spacing w:before="0"/>
              <w:rPr>
                <w:sz w:val="16"/>
                <w:szCs w:val="16"/>
              </w:rPr>
            </w:pPr>
          </w:p>
        </w:tc>
        <w:tc>
          <w:tcPr>
            <w:tcW w:w="818" w:type="pct"/>
            <w:shd w:val="clear" w:color="auto" w:fill="00B050"/>
            <w:tcMar>
              <w:left w:w="0" w:type="dxa"/>
              <w:right w:w="0" w:type="dxa"/>
            </w:tcMar>
            <w:vAlign w:val="center"/>
          </w:tcPr>
          <w:p w14:paraId="337D2541" w14:textId="77777777" w:rsidR="00D375BA" w:rsidRPr="00386F19" w:rsidRDefault="00D375BA" w:rsidP="00031A6C">
            <w:pPr>
              <w:spacing w:before="0"/>
              <w:rPr>
                <w:sz w:val="16"/>
                <w:szCs w:val="16"/>
              </w:rPr>
            </w:pPr>
          </w:p>
        </w:tc>
        <w:tc>
          <w:tcPr>
            <w:tcW w:w="588" w:type="pct"/>
            <w:shd w:val="clear" w:color="auto" w:fill="00B050"/>
            <w:tcMar>
              <w:left w:w="0" w:type="dxa"/>
              <w:right w:w="0" w:type="dxa"/>
            </w:tcMar>
            <w:vAlign w:val="center"/>
          </w:tcPr>
          <w:p w14:paraId="630B04B4" w14:textId="77777777" w:rsidR="00D375BA" w:rsidRPr="00386F19" w:rsidRDefault="00D375BA" w:rsidP="00031A6C">
            <w:pPr>
              <w:spacing w:before="0"/>
              <w:rPr>
                <w:sz w:val="16"/>
                <w:szCs w:val="16"/>
              </w:rPr>
            </w:pPr>
          </w:p>
        </w:tc>
        <w:tc>
          <w:tcPr>
            <w:tcW w:w="295" w:type="pct"/>
            <w:shd w:val="clear" w:color="auto" w:fill="00B050"/>
            <w:tcMar>
              <w:left w:w="0" w:type="dxa"/>
              <w:right w:w="0" w:type="dxa"/>
            </w:tcMar>
            <w:vAlign w:val="center"/>
          </w:tcPr>
          <w:p w14:paraId="38C06248" w14:textId="77777777" w:rsidR="00D375BA" w:rsidRPr="00386F19" w:rsidRDefault="00D375BA" w:rsidP="00031A6C">
            <w:pPr>
              <w:spacing w:before="0"/>
              <w:rPr>
                <w:sz w:val="16"/>
                <w:szCs w:val="16"/>
              </w:rPr>
            </w:pPr>
          </w:p>
        </w:tc>
        <w:tc>
          <w:tcPr>
            <w:tcW w:w="1179" w:type="pct"/>
            <w:shd w:val="clear" w:color="auto" w:fill="00B050"/>
            <w:tcMar>
              <w:left w:w="0" w:type="dxa"/>
              <w:right w:w="0" w:type="dxa"/>
            </w:tcMar>
            <w:vAlign w:val="center"/>
          </w:tcPr>
          <w:p w14:paraId="4787256B" w14:textId="77777777" w:rsidR="00D375BA" w:rsidRPr="00386F19" w:rsidRDefault="00D375BA" w:rsidP="00031A6C">
            <w:pPr>
              <w:spacing w:before="0"/>
              <w:rPr>
                <w:sz w:val="16"/>
                <w:szCs w:val="16"/>
              </w:rPr>
            </w:pPr>
          </w:p>
        </w:tc>
      </w:tr>
      <w:tr w:rsidR="008B2BDA" w:rsidRPr="00386F19" w14:paraId="668E0640" w14:textId="77777777" w:rsidTr="00386F19">
        <w:trPr>
          <w:trHeight w:hRule="exact" w:val="227"/>
        </w:trPr>
        <w:tc>
          <w:tcPr>
            <w:tcW w:w="1322" w:type="pct"/>
            <w:shd w:val="clear" w:color="auto" w:fill="E7E6E6"/>
            <w:tcMar>
              <w:left w:w="0" w:type="dxa"/>
              <w:right w:w="0" w:type="dxa"/>
            </w:tcMar>
            <w:vAlign w:val="center"/>
          </w:tcPr>
          <w:p w14:paraId="49D2D0F3" w14:textId="77777777" w:rsidR="00D375BA" w:rsidRPr="00386F19" w:rsidRDefault="00D375BA" w:rsidP="00031A6C">
            <w:pPr>
              <w:spacing w:before="0"/>
              <w:rPr>
                <w:sz w:val="16"/>
                <w:szCs w:val="16"/>
                <w:highlight w:val="cyan"/>
              </w:rPr>
            </w:pPr>
            <w:r w:rsidRPr="00386F19">
              <w:rPr>
                <w:sz w:val="16"/>
                <w:szCs w:val="16"/>
                <w:rtl/>
              </w:rPr>
              <w:t>الرعاية</w:t>
            </w:r>
          </w:p>
        </w:tc>
        <w:tc>
          <w:tcPr>
            <w:tcW w:w="321" w:type="pct"/>
            <w:shd w:val="clear" w:color="auto" w:fill="00B050"/>
            <w:tcMar>
              <w:left w:w="0" w:type="dxa"/>
              <w:right w:w="0" w:type="dxa"/>
            </w:tcMar>
            <w:vAlign w:val="center"/>
          </w:tcPr>
          <w:p w14:paraId="37A6E713" w14:textId="77777777" w:rsidR="00D375BA" w:rsidRPr="00386F19" w:rsidRDefault="00D375BA" w:rsidP="00031A6C">
            <w:pPr>
              <w:spacing w:before="0"/>
              <w:rPr>
                <w:sz w:val="16"/>
                <w:szCs w:val="16"/>
              </w:rPr>
            </w:pPr>
          </w:p>
        </w:tc>
        <w:tc>
          <w:tcPr>
            <w:tcW w:w="477" w:type="pct"/>
            <w:shd w:val="clear" w:color="auto" w:fill="00B050"/>
            <w:tcMar>
              <w:left w:w="0" w:type="dxa"/>
              <w:right w:w="0" w:type="dxa"/>
            </w:tcMar>
            <w:vAlign w:val="center"/>
          </w:tcPr>
          <w:p w14:paraId="18FB93DB" w14:textId="77777777" w:rsidR="00D375BA" w:rsidRPr="00386F19" w:rsidRDefault="00D375BA" w:rsidP="00031A6C">
            <w:pPr>
              <w:spacing w:before="0"/>
              <w:rPr>
                <w:sz w:val="16"/>
                <w:szCs w:val="16"/>
              </w:rPr>
            </w:pPr>
          </w:p>
        </w:tc>
        <w:tc>
          <w:tcPr>
            <w:tcW w:w="818" w:type="pct"/>
            <w:shd w:val="clear" w:color="auto" w:fill="00B050"/>
            <w:tcMar>
              <w:left w:w="0" w:type="dxa"/>
              <w:right w:w="0" w:type="dxa"/>
            </w:tcMar>
            <w:vAlign w:val="center"/>
          </w:tcPr>
          <w:p w14:paraId="0663E4C5" w14:textId="77777777" w:rsidR="00D375BA" w:rsidRPr="00386F19" w:rsidRDefault="00D375BA" w:rsidP="00031A6C">
            <w:pPr>
              <w:spacing w:before="0"/>
              <w:rPr>
                <w:sz w:val="16"/>
                <w:szCs w:val="16"/>
              </w:rPr>
            </w:pPr>
          </w:p>
        </w:tc>
        <w:tc>
          <w:tcPr>
            <w:tcW w:w="588" w:type="pct"/>
            <w:shd w:val="clear" w:color="auto" w:fill="00B050"/>
            <w:tcMar>
              <w:left w:w="0" w:type="dxa"/>
              <w:right w:w="0" w:type="dxa"/>
            </w:tcMar>
            <w:vAlign w:val="center"/>
          </w:tcPr>
          <w:p w14:paraId="414C137C" w14:textId="77777777" w:rsidR="00D375BA" w:rsidRPr="00386F19" w:rsidRDefault="00D375BA" w:rsidP="00031A6C">
            <w:pPr>
              <w:spacing w:before="0"/>
              <w:rPr>
                <w:sz w:val="16"/>
                <w:szCs w:val="16"/>
              </w:rPr>
            </w:pPr>
          </w:p>
        </w:tc>
        <w:tc>
          <w:tcPr>
            <w:tcW w:w="295" w:type="pct"/>
            <w:shd w:val="clear" w:color="auto" w:fill="00B050"/>
            <w:tcMar>
              <w:left w:w="0" w:type="dxa"/>
              <w:right w:w="0" w:type="dxa"/>
            </w:tcMar>
            <w:vAlign w:val="center"/>
          </w:tcPr>
          <w:p w14:paraId="1E94658C" w14:textId="77777777" w:rsidR="00D375BA" w:rsidRPr="00386F19" w:rsidRDefault="00D375BA" w:rsidP="00031A6C">
            <w:pPr>
              <w:spacing w:before="0"/>
              <w:rPr>
                <w:sz w:val="16"/>
                <w:szCs w:val="16"/>
              </w:rPr>
            </w:pPr>
          </w:p>
        </w:tc>
        <w:tc>
          <w:tcPr>
            <w:tcW w:w="1179" w:type="pct"/>
            <w:shd w:val="clear" w:color="auto" w:fill="00B050"/>
            <w:tcMar>
              <w:left w:w="0" w:type="dxa"/>
              <w:right w:w="0" w:type="dxa"/>
            </w:tcMar>
            <w:vAlign w:val="center"/>
          </w:tcPr>
          <w:p w14:paraId="3E087C1C" w14:textId="77777777" w:rsidR="00D375BA" w:rsidRPr="00386F19" w:rsidRDefault="00D375BA" w:rsidP="00031A6C">
            <w:pPr>
              <w:spacing w:before="0"/>
              <w:rPr>
                <w:sz w:val="16"/>
                <w:szCs w:val="16"/>
              </w:rPr>
            </w:pPr>
          </w:p>
        </w:tc>
      </w:tr>
      <w:tr w:rsidR="008B2BDA" w:rsidRPr="00386F19" w14:paraId="79B4A839" w14:textId="77777777" w:rsidTr="00386F19">
        <w:trPr>
          <w:trHeight w:hRule="exact" w:val="227"/>
        </w:trPr>
        <w:tc>
          <w:tcPr>
            <w:tcW w:w="1322" w:type="pct"/>
            <w:shd w:val="clear" w:color="auto" w:fill="E7E6E6"/>
            <w:tcMar>
              <w:left w:w="0" w:type="dxa"/>
              <w:right w:w="0" w:type="dxa"/>
            </w:tcMar>
            <w:vAlign w:val="center"/>
          </w:tcPr>
          <w:p w14:paraId="7192BB69" w14:textId="77777777" w:rsidR="00D375BA" w:rsidRPr="00386F19" w:rsidRDefault="00D375BA" w:rsidP="00031A6C">
            <w:pPr>
              <w:spacing w:before="0"/>
              <w:jc w:val="left"/>
              <w:rPr>
                <w:sz w:val="16"/>
                <w:szCs w:val="16"/>
                <w:highlight w:val="cyan"/>
              </w:rPr>
            </w:pPr>
            <w:r w:rsidRPr="00386F19">
              <w:rPr>
                <w:sz w:val="16"/>
                <w:szCs w:val="16"/>
                <w:rtl/>
              </w:rPr>
              <w:t>إدارة الحسابات المصرفية والأرصدة النقدية</w:t>
            </w:r>
          </w:p>
        </w:tc>
        <w:tc>
          <w:tcPr>
            <w:tcW w:w="321" w:type="pct"/>
            <w:shd w:val="clear" w:color="auto" w:fill="92D050"/>
            <w:tcMar>
              <w:left w:w="0" w:type="dxa"/>
              <w:right w:w="0" w:type="dxa"/>
            </w:tcMar>
            <w:vAlign w:val="center"/>
          </w:tcPr>
          <w:p w14:paraId="252C9625" w14:textId="77777777" w:rsidR="00D375BA" w:rsidRPr="00386F19" w:rsidRDefault="00D375BA" w:rsidP="00031A6C">
            <w:pPr>
              <w:spacing w:before="0"/>
              <w:rPr>
                <w:sz w:val="16"/>
                <w:szCs w:val="16"/>
              </w:rPr>
            </w:pPr>
          </w:p>
        </w:tc>
        <w:tc>
          <w:tcPr>
            <w:tcW w:w="477" w:type="pct"/>
            <w:shd w:val="clear" w:color="auto" w:fill="00B050"/>
            <w:tcMar>
              <w:left w:w="0" w:type="dxa"/>
              <w:right w:w="0" w:type="dxa"/>
            </w:tcMar>
            <w:vAlign w:val="center"/>
          </w:tcPr>
          <w:p w14:paraId="3A88CB9B" w14:textId="77777777" w:rsidR="00D375BA" w:rsidRPr="00386F19" w:rsidRDefault="00D375BA" w:rsidP="00031A6C">
            <w:pPr>
              <w:spacing w:before="0"/>
              <w:rPr>
                <w:sz w:val="16"/>
                <w:szCs w:val="16"/>
              </w:rPr>
            </w:pPr>
          </w:p>
        </w:tc>
        <w:tc>
          <w:tcPr>
            <w:tcW w:w="818" w:type="pct"/>
            <w:shd w:val="clear" w:color="auto" w:fill="00B050"/>
            <w:tcMar>
              <w:left w:w="0" w:type="dxa"/>
              <w:right w:w="0" w:type="dxa"/>
            </w:tcMar>
            <w:vAlign w:val="center"/>
          </w:tcPr>
          <w:p w14:paraId="2CF7BBB2" w14:textId="77777777" w:rsidR="00D375BA" w:rsidRPr="00386F19" w:rsidRDefault="00D375BA" w:rsidP="00031A6C">
            <w:pPr>
              <w:spacing w:before="0"/>
              <w:rPr>
                <w:sz w:val="16"/>
                <w:szCs w:val="16"/>
              </w:rPr>
            </w:pPr>
          </w:p>
        </w:tc>
        <w:tc>
          <w:tcPr>
            <w:tcW w:w="588" w:type="pct"/>
            <w:shd w:val="clear" w:color="auto" w:fill="92D050"/>
            <w:tcMar>
              <w:left w:w="0" w:type="dxa"/>
              <w:right w:w="0" w:type="dxa"/>
            </w:tcMar>
            <w:vAlign w:val="center"/>
          </w:tcPr>
          <w:p w14:paraId="36E872F5" w14:textId="77777777" w:rsidR="00D375BA" w:rsidRPr="00386F19" w:rsidRDefault="00D375BA" w:rsidP="00031A6C">
            <w:pPr>
              <w:spacing w:before="0"/>
              <w:rPr>
                <w:sz w:val="16"/>
                <w:szCs w:val="16"/>
              </w:rPr>
            </w:pPr>
          </w:p>
        </w:tc>
        <w:tc>
          <w:tcPr>
            <w:tcW w:w="295" w:type="pct"/>
            <w:shd w:val="clear" w:color="auto" w:fill="00B050"/>
            <w:tcMar>
              <w:left w:w="0" w:type="dxa"/>
              <w:right w:w="0" w:type="dxa"/>
            </w:tcMar>
            <w:vAlign w:val="center"/>
          </w:tcPr>
          <w:p w14:paraId="0E8EEBEF" w14:textId="77777777" w:rsidR="00D375BA" w:rsidRPr="00386F19" w:rsidRDefault="00D375BA" w:rsidP="00031A6C">
            <w:pPr>
              <w:spacing w:before="0"/>
              <w:rPr>
                <w:sz w:val="16"/>
                <w:szCs w:val="16"/>
              </w:rPr>
            </w:pPr>
          </w:p>
        </w:tc>
        <w:tc>
          <w:tcPr>
            <w:tcW w:w="1179" w:type="pct"/>
            <w:shd w:val="clear" w:color="auto" w:fill="00B050"/>
            <w:tcMar>
              <w:left w:w="0" w:type="dxa"/>
              <w:right w:w="0" w:type="dxa"/>
            </w:tcMar>
            <w:vAlign w:val="center"/>
          </w:tcPr>
          <w:p w14:paraId="1BFDFBE1" w14:textId="77777777" w:rsidR="00D375BA" w:rsidRPr="00386F19" w:rsidRDefault="00D375BA" w:rsidP="00031A6C">
            <w:pPr>
              <w:spacing w:before="0"/>
              <w:rPr>
                <w:sz w:val="16"/>
                <w:szCs w:val="16"/>
              </w:rPr>
            </w:pPr>
          </w:p>
        </w:tc>
      </w:tr>
      <w:tr w:rsidR="008B2BDA" w:rsidRPr="00386F19" w14:paraId="445A9925" w14:textId="77777777" w:rsidTr="00386F19">
        <w:trPr>
          <w:trHeight w:hRule="exact" w:val="227"/>
        </w:trPr>
        <w:tc>
          <w:tcPr>
            <w:tcW w:w="1322" w:type="pct"/>
            <w:shd w:val="clear" w:color="auto" w:fill="E7E6E6"/>
            <w:tcMar>
              <w:left w:w="0" w:type="dxa"/>
              <w:right w:w="0" w:type="dxa"/>
            </w:tcMar>
            <w:vAlign w:val="center"/>
          </w:tcPr>
          <w:p w14:paraId="22A68978" w14:textId="77777777" w:rsidR="00D375BA" w:rsidRPr="00386F19" w:rsidRDefault="00D375BA" w:rsidP="00031A6C">
            <w:pPr>
              <w:spacing w:before="0"/>
              <w:rPr>
                <w:sz w:val="16"/>
                <w:szCs w:val="16"/>
                <w:highlight w:val="cyan"/>
              </w:rPr>
            </w:pPr>
            <w:r w:rsidRPr="00386F19">
              <w:rPr>
                <w:sz w:val="16"/>
                <w:szCs w:val="16"/>
                <w:rtl/>
              </w:rPr>
              <w:t>السلامة والأمن</w:t>
            </w:r>
          </w:p>
        </w:tc>
        <w:tc>
          <w:tcPr>
            <w:tcW w:w="321" w:type="pct"/>
            <w:shd w:val="clear" w:color="auto" w:fill="FFFF00"/>
            <w:tcMar>
              <w:left w:w="0" w:type="dxa"/>
              <w:right w:w="0" w:type="dxa"/>
            </w:tcMar>
            <w:vAlign w:val="center"/>
          </w:tcPr>
          <w:p w14:paraId="69F496AF" w14:textId="77777777" w:rsidR="00D375BA" w:rsidRPr="00386F19" w:rsidRDefault="00D375BA" w:rsidP="00031A6C">
            <w:pPr>
              <w:spacing w:before="0"/>
              <w:rPr>
                <w:sz w:val="16"/>
                <w:szCs w:val="16"/>
              </w:rPr>
            </w:pPr>
          </w:p>
        </w:tc>
        <w:tc>
          <w:tcPr>
            <w:tcW w:w="477" w:type="pct"/>
            <w:shd w:val="clear" w:color="auto" w:fill="FFFF00"/>
            <w:tcMar>
              <w:left w:w="0" w:type="dxa"/>
              <w:right w:w="0" w:type="dxa"/>
            </w:tcMar>
            <w:vAlign w:val="center"/>
          </w:tcPr>
          <w:p w14:paraId="6745AC76" w14:textId="77777777" w:rsidR="00D375BA" w:rsidRPr="00386F19" w:rsidRDefault="00D375BA" w:rsidP="00031A6C">
            <w:pPr>
              <w:spacing w:before="0"/>
              <w:rPr>
                <w:sz w:val="16"/>
                <w:szCs w:val="16"/>
              </w:rPr>
            </w:pPr>
          </w:p>
        </w:tc>
        <w:tc>
          <w:tcPr>
            <w:tcW w:w="818" w:type="pct"/>
            <w:shd w:val="clear" w:color="auto" w:fill="FFFF00"/>
            <w:tcMar>
              <w:left w:w="0" w:type="dxa"/>
              <w:right w:w="0" w:type="dxa"/>
            </w:tcMar>
            <w:vAlign w:val="center"/>
          </w:tcPr>
          <w:p w14:paraId="76F6127D" w14:textId="77777777" w:rsidR="00D375BA" w:rsidRPr="00386F19" w:rsidRDefault="00D375BA" w:rsidP="00031A6C">
            <w:pPr>
              <w:spacing w:before="0"/>
              <w:rPr>
                <w:sz w:val="16"/>
                <w:szCs w:val="16"/>
              </w:rPr>
            </w:pPr>
          </w:p>
        </w:tc>
        <w:tc>
          <w:tcPr>
            <w:tcW w:w="588" w:type="pct"/>
            <w:shd w:val="clear" w:color="auto" w:fill="FFFF00"/>
            <w:tcMar>
              <w:left w:w="0" w:type="dxa"/>
              <w:right w:w="0" w:type="dxa"/>
            </w:tcMar>
            <w:vAlign w:val="center"/>
          </w:tcPr>
          <w:p w14:paraId="59304DA1" w14:textId="77777777" w:rsidR="00D375BA" w:rsidRPr="00386F19" w:rsidRDefault="00D375BA" w:rsidP="00031A6C">
            <w:pPr>
              <w:spacing w:before="0"/>
              <w:rPr>
                <w:sz w:val="16"/>
                <w:szCs w:val="16"/>
              </w:rPr>
            </w:pPr>
          </w:p>
        </w:tc>
        <w:tc>
          <w:tcPr>
            <w:tcW w:w="295" w:type="pct"/>
            <w:shd w:val="clear" w:color="auto" w:fill="FF0000"/>
            <w:tcMar>
              <w:left w:w="0" w:type="dxa"/>
              <w:right w:w="0" w:type="dxa"/>
            </w:tcMar>
            <w:vAlign w:val="center"/>
          </w:tcPr>
          <w:p w14:paraId="2D1EFC05" w14:textId="77777777" w:rsidR="00D375BA" w:rsidRPr="00386F19" w:rsidRDefault="00D375BA" w:rsidP="00031A6C">
            <w:pPr>
              <w:spacing w:before="0"/>
              <w:rPr>
                <w:sz w:val="16"/>
                <w:szCs w:val="16"/>
              </w:rPr>
            </w:pPr>
          </w:p>
        </w:tc>
        <w:tc>
          <w:tcPr>
            <w:tcW w:w="1179" w:type="pct"/>
            <w:shd w:val="clear" w:color="auto" w:fill="FFFF00"/>
            <w:tcMar>
              <w:left w:w="0" w:type="dxa"/>
              <w:right w:w="0" w:type="dxa"/>
            </w:tcMar>
            <w:vAlign w:val="center"/>
          </w:tcPr>
          <w:p w14:paraId="18B72030" w14:textId="77777777" w:rsidR="00D375BA" w:rsidRPr="00386F19" w:rsidRDefault="00D375BA" w:rsidP="00031A6C">
            <w:pPr>
              <w:spacing w:before="0"/>
              <w:rPr>
                <w:sz w:val="16"/>
                <w:szCs w:val="16"/>
              </w:rPr>
            </w:pPr>
          </w:p>
        </w:tc>
      </w:tr>
      <w:tr w:rsidR="008B2BDA" w:rsidRPr="00386F19" w14:paraId="08722901" w14:textId="77777777" w:rsidTr="00386F19">
        <w:trPr>
          <w:trHeight w:hRule="exact" w:val="227"/>
        </w:trPr>
        <w:tc>
          <w:tcPr>
            <w:tcW w:w="1322" w:type="pct"/>
            <w:shd w:val="clear" w:color="auto" w:fill="E7E6E6"/>
            <w:tcMar>
              <w:left w:w="0" w:type="dxa"/>
              <w:right w:w="0" w:type="dxa"/>
            </w:tcMar>
            <w:vAlign w:val="center"/>
          </w:tcPr>
          <w:p w14:paraId="62B1F3C3" w14:textId="77777777" w:rsidR="00D375BA" w:rsidRPr="00386F19" w:rsidRDefault="00D375BA" w:rsidP="00031A6C">
            <w:pPr>
              <w:spacing w:before="0"/>
              <w:rPr>
                <w:sz w:val="16"/>
                <w:szCs w:val="16"/>
                <w:highlight w:val="cyan"/>
              </w:rPr>
            </w:pPr>
            <w:r w:rsidRPr="00386F19">
              <w:rPr>
                <w:sz w:val="16"/>
                <w:szCs w:val="16"/>
                <w:rtl/>
              </w:rPr>
              <w:t>بدلات التمثيل</w:t>
            </w:r>
          </w:p>
        </w:tc>
        <w:tc>
          <w:tcPr>
            <w:tcW w:w="321" w:type="pct"/>
            <w:shd w:val="clear" w:color="auto" w:fill="00B050"/>
            <w:tcMar>
              <w:left w:w="0" w:type="dxa"/>
              <w:right w:w="0" w:type="dxa"/>
            </w:tcMar>
            <w:vAlign w:val="center"/>
          </w:tcPr>
          <w:p w14:paraId="5FE15914" w14:textId="77777777" w:rsidR="00D375BA" w:rsidRPr="00386F19" w:rsidRDefault="00D375BA" w:rsidP="00031A6C">
            <w:pPr>
              <w:spacing w:before="0"/>
              <w:rPr>
                <w:sz w:val="16"/>
                <w:szCs w:val="16"/>
              </w:rPr>
            </w:pPr>
          </w:p>
        </w:tc>
        <w:tc>
          <w:tcPr>
            <w:tcW w:w="477" w:type="pct"/>
            <w:shd w:val="clear" w:color="auto" w:fill="00B050"/>
            <w:tcMar>
              <w:left w:w="0" w:type="dxa"/>
              <w:right w:w="0" w:type="dxa"/>
            </w:tcMar>
            <w:vAlign w:val="center"/>
          </w:tcPr>
          <w:p w14:paraId="63233AEA" w14:textId="77777777" w:rsidR="00D375BA" w:rsidRPr="00386F19" w:rsidRDefault="00D375BA" w:rsidP="00031A6C">
            <w:pPr>
              <w:spacing w:before="0"/>
              <w:rPr>
                <w:sz w:val="16"/>
                <w:szCs w:val="16"/>
              </w:rPr>
            </w:pPr>
          </w:p>
        </w:tc>
        <w:tc>
          <w:tcPr>
            <w:tcW w:w="818" w:type="pct"/>
            <w:shd w:val="clear" w:color="auto" w:fill="00B050"/>
            <w:tcMar>
              <w:left w:w="0" w:type="dxa"/>
              <w:right w:w="0" w:type="dxa"/>
            </w:tcMar>
            <w:vAlign w:val="center"/>
          </w:tcPr>
          <w:p w14:paraId="59981D5D" w14:textId="77777777" w:rsidR="00D375BA" w:rsidRPr="00386F19" w:rsidRDefault="00D375BA" w:rsidP="00031A6C">
            <w:pPr>
              <w:spacing w:before="0"/>
              <w:rPr>
                <w:sz w:val="16"/>
                <w:szCs w:val="16"/>
              </w:rPr>
            </w:pPr>
          </w:p>
        </w:tc>
        <w:tc>
          <w:tcPr>
            <w:tcW w:w="588" w:type="pct"/>
            <w:shd w:val="clear" w:color="auto" w:fill="00B050"/>
            <w:tcMar>
              <w:left w:w="0" w:type="dxa"/>
              <w:right w:w="0" w:type="dxa"/>
            </w:tcMar>
            <w:vAlign w:val="center"/>
          </w:tcPr>
          <w:p w14:paraId="3BAB6A61" w14:textId="77777777" w:rsidR="00D375BA" w:rsidRPr="00386F19" w:rsidRDefault="00D375BA" w:rsidP="00031A6C">
            <w:pPr>
              <w:spacing w:before="0"/>
              <w:rPr>
                <w:sz w:val="16"/>
                <w:szCs w:val="16"/>
              </w:rPr>
            </w:pPr>
          </w:p>
        </w:tc>
        <w:tc>
          <w:tcPr>
            <w:tcW w:w="295" w:type="pct"/>
            <w:shd w:val="clear" w:color="auto" w:fill="00B050"/>
            <w:tcMar>
              <w:left w:w="0" w:type="dxa"/>
              <w:right w:w="0" w:type="dxa"/>
            </w:tcMar>
            <w:vAlign w:val="center"/>
          </w:tcPr>
          <w:p w14:paraId="3A1CCCCD" w14:textId="77777777" w:rsidR="00D375BA" w:rsidRPr="00386F19" w:rsidRDefault="00D375BA" w:rsidP="00031A6C">
            <w:pPr>
              <w:spacing w:before="0"/>
              <w:rPr>
                <w:sz w:val="16"/>
                <w:szCs w:val="16"/>
              </w:rPr>
            </w:pPr>
          </w:p>
        </w:tc>
        <w:tc>
          <w:tcPr>
            <w:tcW w:w="1179" w:type="pct"/>
            <w:shd w:val="clear" w:color="auto" w:fill="00B050"/>
            <w:tcMar>
              <w:left w:w="0" w:type="dxa"/>
              <w:right w:w="0" w:type="dxa"/>
            </w:tcMar>
            <w:vAlign w:val="center"/>
          </w:tcPr>
          <w:p w14:paraId="7DE9ABD6" w14:textId="77777777" w:rsidR="00D375BA" w:rsidRPr="00386F19" w:rsidRDefault="00D375BA" w:rsidP="00031A6C">
            <w:pPr>
              <w:spacing w:before="0"/>
              <w:rPr>
                <w:sz w:val="16"/>
                <w:szCs w:val="16"/>
              </w:rPr>
            </w:pPr>
          </w:p>
        </w:tc>
      </w:tr>
    </w:tbl>
    <w:p w14:paraId="5B08AC57" w14:textId="77777777" w:rsidR="00D375BA" w:rsidRDefault="00D375BA" w:rsidP="008B2BDA">
      <w:pPr>
        <w:spacing w:before="240"/>
        <w:rPr>
          <w:rtl/>
          <w:lang w:bidi="ar-EG"/>
        </w:rPr>
      </w:pPr>
      <w:r w:rsidRPr="00031A6C">
        <w:t>10</w:t>
      </w:r>
      <w:r w:rsidRPr="00031A6C">
        <w:tab/>
      </w:r>
      <w:r w:rsidRPr="00031A6C">
        <w:rPr>
          <w:rFonts w:hint="cs"/>
          <w:rtl/>
        </w:rPr>
        <w:t>باختصار</w:t>
      </w:r>
      <w:r w:rsidRPr="0070101D">
        <w:rPr>
          <w:rFonts w:hint="cs"/>
          <w:rtl/>
          <w:lang w:bidi="ar-EG"/>
        </w:rPr>
        <w:t>:</w:t>
      </w:r>
    </w:p>
    <w:p w14:paraId="76C874B9" w14:textId="77777777" w:rsidR="00D375BA" w:rsidRPr="0023097B" w:rsidRDefault="00D375BA" w:rsidP="0023097B">
      <w:pPr>
        <w:pStyle w:val="enumlev1"/>
        <w:rPr>
          <w:rtl/>
        </w:rPr>
      </w:pPr>
      <w:r w:rsidRPr="00F42D79">
        <w:sym w:font="Symbol" w:char="F0B7"/>
      </w:r>
      <w:r>
        <w:rPr>
          <w:rtl/>
        </w:rPr>
        <w:tab/>
      </w:r>
      <w:r w:rsidRPr="0023097B">
        <w:rPr>
          <w:rFonts w:hint="cs"/>
          <w:rtl/>
        </w:rPr>
        <w:t>الإدارة كافية بشكل معقول في 9 مجالات؛</w:t>
      </w:r>
    </w:p>
    <w:p w14:paraId="0332C55D" w14:textId="77777777" w:rsidR="00D375BA" w:rsidRPr="008B2BDA" w:rsidRDefault="00D375BA" w:rsidP="008B2BDA">
      <w:pPr>
        <w:pStyle w:val="enumlev1"/>
        <w:rPr>
          <w:rtl/>
        </w:rPr>
      </w:pPr>
      <w:r w:rsidRPr="0023097B">
        <w:sym w:font="Symbol" w:char="F0B7"/>
      </w:r>
      <w:r w:rsidRPr="0023097B">
        <w:rPr>
          <w:rtl/>
        </w:rPr>
        <w:tab/>
      </w:r>
      <w:r w:rsidRPr="0023097B">
        <w:rPr>
          <w:rFonts w:hint="cs"/>
          <w:rtl/>
        </w:rPr>
        <w:t xml:space="preserve">تقييم المخاطر كاف بشكل </w:t>
      </w:r>
      <w:r w:rsidRPr="008B2BDA">
        <w:rPr>
          <w:rFonts w:hint="cs"/>
          <w:rtl/>
        </w:rPr>
        <w:t>معقول في 7 مجالات؛</w:t>
      </w:r>
    </w:p>
    <w:p w14:paraId="4DCA207B" w14:textId="77777777" w:rsidR="00D375BA" w:rsidRPr="008B2BDA" w:rsidRDefault="00D375BA" w:rsidP="008B2BDA">
      <w:pPr>
        <w:pStyle w:val="enumlev1"/>
        <w:rPr>
          <w:rtl/>
        </w:rPr>
      </w:pPr>
      <w:r w:rsidRPr="008B2BDA">
        <w:sym w:font="Symbol" w:char="F0B7"/>
      </w:r>
      <w:r w:rsidRPr="008B2BDA">
        <w:rPr>
          <w:rtl/>
        </w:rPr>
        <w:tab/>
      </w:r>
      <w:r w:rsidRPr="008B2BDA">
        <w:rPr>
          <w:rFonts w:hint="cs"/>
          <w:rtl/>
        </w:rPr>
        <w:t>المعلومات والاتصالات كافية في 11 مجالاً؛</w:t>
      </w:r>
    </w:p>
    <w:p w14:paraId="5E4CE228" w14:textId="64EDA3FC" w:rsidR="00D375BA" w:rsidRPr="008B2BDA" w:rsidRDefault="00D375BA" w:rsidP="008B2BDA">
      <w:pPr>
        <w:pStyle w:val="enumlev1"/>
        <w:rPr>
          <w:rtl/>
        </w:rPr>
      </w:pPr>
      <w:r w:rsidRPr="008B2BDA">
        <w:sym w:font="Symbol" w:char="F0B7"/>
      </w:r>
      <w:r w:rsidRPr="008B2BDA">
        <w:rPr>
          <w:rtl/>
        </w:rPr>
        <w:tab/>
      </w:r>
      <w:r w:rsidRPr="008B2BDA">
        <w:rPr>
          <w:rFonts w:hint="cs"/>
          <w:rtl/>
        </w:rPr>
        <w:t>الضوابط الداخلية ف</w:t>
      </w:r>
      <w:r w:rsidR="0023097B" w:rsidRPr="008B2BDA">
        <w:rPr>
          <w:rFonts w:hint="cs"/>
          <w:rtl/>
        </w:rPr>
        <w:t>عّ</w:t>
      </w:r>
      <w:r w:rsidRPr="008B2BDA">
        <w:rPr>
          <w:rFonts w:hint="cs"/>
          <w:rtl/>
        </w:rPr>
        <w:t>الة في 7 مجالات فقط؛</w:t>
      </w:r>
    </w:p>
    <w:p w14:paraId="468CF059" w14:textId="77777777" w:rsidR="00D375BA" w:rsidRPr="008B2BDA" w:rsidRDefault="00D375BA" w:rsidP="008B2BDA">
      <w:pPr>
        <w:pStyle w:val="enumlev1"/>
        <w:rPr>
          <w:rtl/>
        </w:rPr>
      </w:pPr>
      <w:r w:rsidRPr="008B2BDA">
        <w:sym w:font="Symbol" w:char="F0B7"/>
      </w:r>
      <w:r w:rsidRPr="008B2BDA">
        <w:rPr>
          <w:rtl/>
        </w:rPr>
        <w:tab/>
      </w:r>
      <w:r w:rsidRPr="008B2BDA">
        <w:rPr>
          <w:rFonts w:hint="cs"/>
          <w:rtl/>
        </w:rPr>
        <w:t>أنشطة المراقبة كافية في 11 مجالاً؛</w:t>
      </w:r>
    </w:p>
    <w:p w14:paraId="27ED5BAD" w14:textId="77777777" w:rsidR="00D375BA" w:rsidRPr="0023097B" w:rsidRDefault="00D375BA" w:rsidP="008B2BDA">
      <w:pPr>
        <w:pStyle w:val="enumlev1"/>
        <w:rPr>
          <w:rtl/>
        </w:rPr>
      </w:pPr>
      <w:r w:rsidRPr="008B2BDA">
        <w:sym w:font="Symbol" w:char="F0B7"/>
      </w:r>
      <w:r w:rsidRPr="008B2BDA">
        <w:rPr>
          <w:rtl/>
        </w:rPr>
        <w:tab/>
      </w:r>
      <w:r w:rsidRPr="008B2BDA">
        <w:rPr>
          <w:rFonts w:hint="cs"/>
          <w:rtl/>
        </w:rPr>
        <w:t>الامتثال فيما يخص أهداف التنمية المستدامة والجوانب</w:t>
      </w:r>
      <w:r w:rsidRPr="0023097B">
        <w:rPr>
          <w:rFonts w:hint="cs"/>
          <w:rtl/>
        </w:rPr>
        <w:t xml:space="preserve"> المتعلقة بالبيئة والمساواة بين الجنسين كاف في 9 مجالات.</w:t>
      </w:r>
    </w:p>
    <w:p w14:paraId="57E2D16A" w14:textId="77777777" w:rsidR="00D375BA" w:rsidRPr="0023097B" w:rsidRDefault="00D375BA" w:rsidP="0023097B">
      <w:r w:rsidRPr="0023097B">
        <w:t>11</w:t>
      </w:r>
      <w:r w:rsidRPr="0023097B">
        <w:tab/>
      </w:r>
      <w:r w:rsidRPr="0023097B">
        <w:rPr>
          <w:rFonts w:hint="cs"/>
          <w:rtl/>
        </w:rPr>
        <w:t>وأحيل تقرير المراجعة النهائي، بما في ذلك 39 توصية (منها توصية ذات أولوية "قصوى" وتسع توصيات ذات أولية "عالية" و19 توصية ذات أولوية "متوسطة" و10 توصيات ذات أولوية "منخفضة") وتعليقات الإدارة الرسمية، إلى الأمينة العامة في 11 يوليو 2023. ووافقت الإدارة بشكل عام على توصيات المراجعة المقترحة.</w:t>
      </w:r>
    </w:p>
    <w:p w14:paraId="3388B9FB" w14:textId="77777777" w:rsidR="00D375BA" w:rsidRPr="00AA3297" w:rsidRDefault="00D375BA" w:rsidP="00124E13">
      <w:pPr>
        <w:pStyle w:val="Headingb"/>
        <w:rPr>
          <w:b w:val="0"/>
          <w:bCs w:val="0"/>
          <w:i/>
          <w:iCs/>
          <w:lang w:bidi="ar-EG"/>
        </w:rPr>
      </w:pPr>
      <w:r w:rsidRPr="008A21B0">
        <w:rPr>
          <w:i/>
          <w:iCs/>
          <w:rtl/>
          <w:lang w:bidi="ar-EG"/>
        </w:rPr>
        <w:t>باء</w:t>
      </w:r>
      <w:r w:rsidRPr="008A21B0">
        <w:rPr>
          <w:i/>
          <w:iCs/>
          <w:rtl/>
          <w:lang w:bidi="ar-EG"/>
        </w:rPr>
        <w:tab/>
      </w:r>
      <w:r w:rsidRPr="008A21B0">
        <w:rPr>
          <w:i/>
          <w:iCs/>
          <w:rtl/>
          <w:lang w:bidi="ar-SY"/>
        </w:rPr>
        <w:t xml:space="preserve">بطاقات </w:t>
      </w:r>
      <w:r w:rsidRPr="008A21B0">
        <w:rPr>
          <w:i/>
          <w:iCs/>
          <w:rtl/>
          <w:lang w:bidi="ar-EG"/>
        </w:rPr>
        <w:t>التبليغ</w:t>
      </w:r>
      <w:r w:rsidRPr="008A21B0">
        <w:rPr>
          <w:i/>
          <w:iCs/>
          <w:rtl/>
          <w:lang w:bidi="ar-SY"/>
        </w:rPr>
        <w:t xml:space="preserve"> عن الشبكات الساتلية (</w:t>
      </w:r>
      <w:r w:rsidRPr="008A21B0">
        <w:rPr>
          <w:i/>
          <w:iCs/>
          <w:lang w:bidi="ar-SY"/>
        </w:rPr>
        <w:t>SNF</w:t>
      </w:r>
      <w:r w:rsidRPr="008A21B0">
        <w:rPr>
          <w:i/>
          <w:iCs/>
          <w:rtl/>
          <w:lang w:bidi="ar-SY"/>
        </w:rPr>
        <w:t>)</w:t>
      </w:r>
    </w:p>
    <w:p w14:paraId="1F53B04C" w14:textId="5B4841C4" w:rsidR="00D375BA" w:rsidRDefault="00D375BA" w:rsidP="00124E13">
      <w:pPr>
        <w:rPr>
          <w:lang w:bidi="ar-EG"/>
        </w:rPr>
      </w:pPr>
      <w:r>
        <w:rPr>
          <w:lang w:bidi="ar-EG"/>
        </w:rPr>
        <w:t>12</w:t>
      </w:r>
      <w:r>
        <w:rPr>
          <w:lang w:bidi="ar-EG"/>
        </w:rPr>
        <w:tab/>
      </w:r>
      <w:r w:rsidRPr="00E80E77">
        <w:rPr>
          <w:rtl/>
          <w:lang w:bidi="ar-EG"/>
        </w:rPr>
        <w:t xml:space="preserve">أجرت وحدة </w:t>
      </w:r>
      <w:r>
        <w:rPr>
          <w:rFonts w:hint="cs"/>
          <w:rtl/>
        </w:rPr>
        <w:t>الرقابة</w:t>
      </w:r>
      <w:r w:rsidRPr="00E80E77">
        <w:rPr>
          <w:rtl/>
          <w:lang w:bidi="ar-EG"/>
        </w:rPr>
        <w:t xml:space="preserve"> </w:t>
      </w:r>
      <w:r>
        <w:rPr>
          <w:rFonts w:hint="cs"/>
          <w:rtl/>
          <w:lang w:bidi="ar-EG"/>
        </w:rPr>
        <w:t>مراجعة</w:t>
      </w:r>
      <w:r w:rsidRPr="00E80E77">
        <w:rPr>
          <w:rtl/>
          <w:lang w:bidi="ar-EG"/>
        </w:rPr>
        <w:t xml:space="preserve"> لبطاقات التبليغ عن الشبكات الساتلية (</w:t>
      </w:r>
      <w:r w:rsidRPr="00E80E77">
        <w:rPr>
          <w:cs/>
          <w:lang w:bidi="ar-EG"/>
        </w:rPr>
        <w:t>‎</w:t>
      </w:r>
      <w:r w:rsidRPr="00E80E77">
        <w:rPr>
          <w:lang w:bidi="ar-EG"/>
        </w:rPr>
        <w:t>SNF</w:t>
      </w:r>
      <w:r w:rsidRPr="00E80E77">
        <w:rPr>
          <w:rtl/>
          <w:lang w:bidi="ar-EG"/>
        </w:rPr>
        <w:t>). ‏</w:t>
      </w:r>
      <w:r>
        <w:rPr>
          <w:rFonts w:hint="cs"/>
          <w:rtl/>
          <w:lang w:bidi="ar-EG"/>
        </w:rPr>
        <w:t>وغطى</w:t>
      </w:r>
      <w:r w:rsidRPr="00E80E77">
        <w:rPr>
          <w:rtl/>
          <w:lang w:bidi="ar-EG"/>
        </w:rPr>
        <w:t xml:space="preserve"> نطاق المراجعة الفترة من </w:t>
      </w:r>
      <w:r w:rsidRPr="00E80E77">
        <w:rPr>
          <w:cs/>
          <w:lang w:bidi="ar-EG"/>
        </w:rPr>
        <w:t>‎</w:t>
      </w:r>
      <w:r w:rsidRPr="00E80E77">
        <w:rPr>
          <w:lang w:bidi="ar-EG"/>
        </w:rPr>
        <w:t>1</w:t>
      </w:r>
      <w:r w:rsidR="0023097B">
        <w:rPr>
          <w:rFonts w:hint="cs"/>
          <w:rtl/>
          <w:lang w:bidi="ar-EG"/>
        </w:rPr>
        <w:t> </w:t>
      </w:r>
      <w:r w:rsidRPr="00E80E77">
        <w:rPr>
          <w:rtl/>
          <w:lang w:bidi="ar-EG"/>
        </w:rPr>
        <w:t>‏يناير</w:t>
      </w:r>
      <w:r w:rsidR="0023097B">
        <w:rPr>
          <w:rFonts w:hint="cs"/>
          <w:rtl/>
          <w:lang w:bidi="ar-EG"/>
        </w:rPr>
        <w:t> </w:t>
      </w:r>
      <w:r w:rsidRPr="00E80E77">
        <w:rPr>
          <w:cs/>
          <w:lang w:bidi="ar-EG"/>
        </w:rPr>
        <w:t>‎</w:t>
      </w:r>
      <w:r w:rsidRPr="00E80E77">
        <w:rPr>
          <w:lang w:bidi="ar-EG"/>
        </w:rPr>
        <w:t>2019</w:t>
      </w:r>
      <w:r w:rsidRPr="00E80E77">
        <w:rPr>
          <w:rtl/>
          <w:lang w:bidi="ar-EG"/>
        </w:rPr>
        <w:t xml:space="preserve"> ‏إلى </w:t>
      </w:r>
      <w:r w:rsidRPr="00E80E77">
        <w:rPr>
          <w:cs/>
          <w:lang w:bidi="ar-EG"/>
        </w:rPr>
        <w:t>‎</w:t>
      </w:r>
      <w:r w:rsidRPr="00E80E77">
        <w:rPr>
          <w:lang w:bidi="ar-EG"/>
        </w:rPr>
        <w:t>31</w:t>
      </w:r>
      <w:r w:rsidR="0023097B">
        <w:rPr>
          <w:rFonts w:hint="cs"/>
          <w:rtl/>
          <w:lang w:bidi="ar-EG"/>
        </w:rPr>
        <w:t> </w:t>
      </w:r>
      <w:r w:rsidRPr="00E80E77">
        <w:rPr>
          <w:rtl/>
          <w:lang w:bidi="ar-EG"/>
        </w:rPr>
        <w:t>‏ديسمبر</w:t>
      </w:r>
      <w:r w:rsidR="0023097B">
        <w:rPr>
          <w:rFonts w:hint="cs"/>
          <w:rtl/>
          <w:lang w:bidi="ar-EG"/>
        </w:rPr>
        <w:t> </w:t>
      </w:r>
      <w:r w:rsidRPr="00E80E77">
        <w:rPr>
          <w:cs/>
          <w:lang w:bidi="ar-EG"/>
        </w:rPr>
        <w:t>‎</w:t>
      </w:r>
      <w:r w:rsidRPr="00E80E77">
        <w:rPr>
          <w:lang w:bidi="ar-EG"/>
        </w:rPr>
        <w:t>2022</w:t>
      </w:r>
      <w:r w:rsidRPr="00E80E77">
        <w:rPr>
          <w:rtl/>
          <w:lang w:bidi="ar-EG"/>
        </w:rPr>
        <w:t xml:space="preserve"> ‏وشمل الإجراءات العامة لتقديم بطاقات التبليغ عن الشبكات الساتلية واسترداد التكاليف والفوترة </w:t>
      </w:r>
      <w:r>
        <w:rPr>
          <w:rFonts w:hint="cs"/>
          <w:rtl/>
          <w:lang w:bidi="ar-EG"/>
        </w:rPr>
        <w:t>فيما يتعلق با</w:t>
      </w:r>
      <w:r w:rsidRPr="00E80E77">
        <w:rPr>
          <w:rtl/>
          <w:lang w:bidi="ar-EG"/>
        </w:rPr>
        <w:t>لخدمات غير المخططة والمخطط</w:t>
      </w:r>
      <w:r>
        <w:rPr>
          <w:rFonts w:hint="cs"/>
          <w:rtl/>
          <w:lang w:bidi="ar-EG"/>
        </w:rPr>
        <w:t xml:space="preserve">ة </w:t>
      </w:r>
      <w:r w:rsidRPr="00E80E77">
        <w:rPr>
          <w:rtl/>
          <w:lang w:bidi="ar-EG"/>
        </w:rPr>
        <w:t>على السواء</w:t>
      </w:r>
      <w:r>
        <w:rPr>
          <w:rFonts w:hint="cs"/>
          <w:rtl/>
          <w:lang w:bidi="ar-EG"/>
        </w:rPr>
        <w:t>.</w:t>
      </w:r>
    </w:p>
    <w:p w14:paraId="689F0C7A" w14:textId="05FDE1FA" w:rsidR="00D375BA" w:rsidRPr="00AA3297" w:rsidRDefault="00D375BA" w:rsidP="00124E13">
      <w:pPr>
        <w:rPr>
          <w:lang w:bidi="ar-EG"/>
        </w:rPr>
      </w:pPr>
      <w:r>
        <w:rPr>
          <w:lang w:bidi="ar-EG"/>
        </w:rPr>
        <w:t>13</w:t>
      </w:r>
      <w:r>
        <w:rPr>
          <w:lang w:bidi="ar-EG"/>
        </w:rPr>
        <w:tab/>
      </w:r>
      <w:r w:rsidRPr="00E80E77">
        <w:rPr>
          <w:rtl/>
          <w:lang w:bidi="ar-EG"/>
        </w:rPr>
        <w:t xml:space="preserve">وخلصت وحدة الرقابة إلى أن إطار </w:t>
      </w:r>
      <w:r>
        <w:rPr>
          <w:rFonts w:hint="cs"/>
          <w:rtl/>
          <w:lang w:bidi="ar-EG"/>
        </w:rPr>
        <w:t>بطاقات التبليغ عن الشبكات الساتلية</w:t>
      </w:r>
      <w:r w:rsidRPr="00E80E77">
        <w:rPr>
          <w:rtl/>
          <w:lang w:bidi="ar-EG"/>
        </w:rPr>
        <w:t xml:space="preserve"> </w:t>
      </w:r>
      <w:r>
        <w:rPr>
          <w:rFonts w:hint="cs"/>
          <w:rtl/>
          <w:lang w:bidi="ar-EG"/>
        </w:rPr>
        <w:t>يُظهر</w:t>
      </w:r>
      <w:r w:rsidRPr="00E80E77">
        <w:rPr>
          <w:rtl/>
          <w:lang w:bidi="ar-EG"/>
        </w:rPr>
        <w:t xml:space="preserve"> نقاط قوة في بعض مجالات الإدارة </w:t>
      </w:r>
      <w:r>
        <w:rPr>
          <w:rFonts w:hint="cs"/>
          <w:rtl/>
          <w:lang w:bidi="ar-EG"/>
        </w:rPr>
        <w:t>والمراقبة</w:t>
      </w:r>
      <w:r w:rsidRPr="00E80E77">
        <w:rPr>
          <w:rtl/>
          <w:lang w:bidi="ar-EG"/>
        </w:rPr>
        <w:t xml:space="preserve">، </w:t>
      </w:r>
      <w:r>
        <w:rPr>
          <w:rFonts w:hint="cs"/>
          <w:rtl/>
          <w:lang w:bidi="ar-EG"/>
        </w:rPr>
        <w:t>وعلى الرغم من ذلك فإن</w:t>
      </w:r>
      <w:r w:rsidRPr="00E80E77">
        <w:rPr>
          <w:rtl/>
          <w:lang w:bidi="ar-EG"/>
        </w:rPr>
        <w:t xml:space="preserve"> من الضروري إدخال تحسينات كبيرة</w:t>
      </w:r>
      <w:r>
        <w:rPr>
          <w:rFonts w:hint="cs"/>
          <w:rtl/>
          <w:lang w:bidi="ar-EG"/>
        </w:rPr>
        <w:t xml:space="preserve"> </w:t>
      </w:r>
      <w:r w:rsidRPr="00E80E77">
        <w:rPr>
          <w:rtl/>
          <w:lang w:bidi="ar-EG"/>
        </w:rPr>
        <w:t xml:space="preserve">للتخفيف من المخاطر وتعزيز الأداء التنظيمي والامتثال. وحددت المراجعة أوجه قصور في الإدارة وإدارة المخاطر والضوابط الداخلية ذات الصلة بعملية </w:t>
      </w:r>
      <w:r>
        <w:rPr>
          <w:rFonts w:hint="cs"/>
          <w:rtl/>
          <w:lang w:bidi="ar-EG"/>
        </w:rPr>
        <w:t>بطاقات التبليغ عن الشبكات الساتلية</w:t>
      </w:r>
      <w:r w:rsidRPr="00E80E77">
        <w:rPr>
          <w:rtl/>
          <w:lang w:bidi="ar-EG"/>
        </w:rPr>
        <w:t>، ولا</w:t>
      </w:r>
      <w:r w:rsidR="0023097B">
        <w:rPr>
          <w:rFonts w:hint="cs"/>
          <w:rtl/>
          <w:lang w:bidi="ar-EG"/>
        </w:rPr>
        <w:t> </w:t>
      </w:r>
      <w:r w:rsidRPr="00E80E77">
        <w:rPr>
          <w:rtl/>
          <w:lang w:bidi="ar-EG"/>
        </w:rPr>
        <w:t xml:space="preserve">سيما في </w:t>
      </w:r>
      <w:r>
        <w:rPr>
          <w:rFonts w:hint="cs"/>
          <w:rtl/>
          <w:lang w:bidi="ar-EG"/>
        </w:rPr>
        <w:t xml:space="preserve">مجال </w:t>
      </w:r>
      <w:r w:rsidRPr="00E80E77">
        <w:rPr>
          <w:rtl/>
          <w:lang w:bidi="ar-EG"/>
        </w:rPr>
        <w:t xml:space="preserve">المساءلة وإدارة المخاطر وفعالية </w:t>
      </w:r>
      <w:r>
        <w:rPr>
          <w:rFonts w:hint="cs"/>
          <w:rtl/>
          <w:lang w:bidi="ar-EG"/>
        </w:rPr>
        <w:t>المراقبة</w:t>
      </w:r>
      <w:r w:rsidRPr="00E80E77">
        <w:rPr>
          <w:rtl/>
          <w:lang w:bidi="ar-EG"/>
        </w:rPr>
        <w:t xml:space="preserve">. </w:t>
      </w:r>
      <w:r>
        <w:rPr>
          <w:rFonts w:hint="cs"/>
          <w:rtl/>
          <w:lang w:bidi="ar-EG"/>
        </w:rPr>
        <w:t>و</w:t>
      </w:r>
      <w:r w:rsidRPr="00E80E77">
        <w:rPr>
          <w:rtl/>
          <w:lang w:bidi="ar-EG"/>
        </w:rPr>
        <w:t xml:space="preserve">على الرغم من أن بعض الجوانب تعتبر </w:t>
      </w:r>
      <w:r>
        <w:rPr>
          <w:rFonts w:hint="cs"/>
          <w:rtl/>
          <w:lang w:bidi="ar-EG"/>
        </w:rPr>
        <w:t>كافية</w:t>
      </w:r>
      <w:r w:rsidRPr="00E80E77">
        <w:rPr>
          <w:rtl/>
          <w:lang w:bidi="ar-EG"/>
        </w:rPr>
        <w:t xml:space="preserve">، مثل الإطار التنظيمي والنزاهة ومستويات </w:t>
      </w:r>
      <w:r>
        <w:rPr>
          <w:rFonts w:hint="cs"/>
          <w:rtl/>
          <w:lang w:bidi="ar-EG"/>
        </w:rPr>
        <w:t>أعداد الموظفين</w:t>
      </w:r>
      <w:r w:rsidRPr="00E80E77">
        <w:rPr>
          <w:rtl/>
          <w:lang w:bidi="ar-EG"/>
        </w:rPr>
        <w:t xml:space="preserve">، </w:t>
      </w:r>
      <w:r>
        <w:rPr>
          <w:rFonts w:hint="cs"/>
          <w:rtl/>
          <w:lang w:bidi="ar-EG"/>
        </w:rPr>
        <w:t>فإن هناك مشاكل مهمة</w:t>
      </w:r>
      <w:r w:rsidRPr="00E80E77">
        <w:rPr>
          <w:rtl/>
          <w:lang w:bidi="ar-EG"/>
        </w:rPr>
        <w:t xml:space="preserve"> مثل عدم كفاية المساءلة، وعدم فعالية إدارة المخاطر، و</w:t>
      </w:r>
      <w:r>
        <w:rPr>
          <w:rFonts w:hint="cs"/>
          <w:rtl/>
          <w:lang w:bidi="ar-EG"/>
        </w:rPr>
        <w:t>الفعالية الجزئية ل</w:t>
      </w:r>
      <w:r w:rsidRPr="00E80E77">
        <w:rPr>
          <w:rtl/>
          <w:lang w:bidi="ar-EG"/>
        </w:rPr>
        <w:t xml:space="preserve">أنشطة المراقبة. وتطرح أوجه القصور هذه تحديات. وعلى وجه الخصوص، </w:t>
      </w:r>
      <w:r>
        <w:rPr>
          <w:rFonts w:hint="cs"/>
          <w:rtl/>
          <w:lang w:bidi="ar-EG"/>
        </w:rPr>
        <w:t>فإن تراجع</w:t>
      </w:r>
      <w:r w:rsidRPr="00E80E77">
        <w:rPr>
          <w:rtl/>
          <w:lang w:bidi="ar-EG"/>
        </w:rPr>
        <w:t xml:space="preserve"> الأداء المالي المتصل </w:t>
      </w:r>
      <w:r>
        <w:rPr>
          <w:rFonts w:hint="cs"/>
          <w:rtl/>
          <w:lang w:bidi="ar-EG"/>
        </w:rPr>
        <w:t>ب</w:t>
      </w:r>
      <w:r w:rsidRPr="00E80E77">
        <w:rPr>
          <w:rtl/>
          <w:lang w:bidi="ar-EG"/>
        </w:rPr>
        <w:t>بطاقات التبليغ عن الشبكات الساتلية مقترنا</w:t>
      </w:r>
      <w:r>
        <w:rPr>
          <w:rFonts w:hint="cs"/>
          <w:rtl/>
          <w:lang w:bidi="ar-EG"/>
        </w:rPr>
        <w:t>ً</w:t>
      </w:r>
      <w:r w:rsidRPr="00E80E77">
        <w:rPr>
          <w:rtl/>
          <w:lang w:bidi="ar-EG"/>
        </w:rPr>
        <w:t xml:space="preserve"> بعدم القدرة على</w:t>
      </w:r>
      <w:r>
        <w:rPr>
          <w:rFonts w:hint="cs"/>
          <w:rtl/>
          <w:lang w:bidi="ar-EG"/>
        </w:rPr>
        <w:t xml:space="preserve"> </w:t>
      </w:r>
      <w:r>
        <w:rPr>
          <w:rFonts w:hint="cs"/>
          <w:rtl/>
        </w:rPr>
        <w:t>إدراج</w:t>
      </w:r>
      <w:r w:rsidRPr="00E80E77">
        <w:rPr>
          <w:rtl/>
          <w:lang w:bidi="ar-EG"/>
        </w:rPr>
        <w:t xml:space="preserve"> الإيرادات المتصلة </w:t>
      </w:r>
      <w:r>
        <w:rPr>
          <w:rFonts w:hint="cs"/>
          <w:rtl/>
          <w:lang w:bidi="ar-EG"/>
        </w:rPr>
        <w:t>بب</w:t>
      </w:r>
      <w:r w:rsidRPr="00E80E77">
        <w:rPr>
          <w:rtl/>
          <w:lang w:bidi="ar-EG"/>
        </w:rPr>
        <w:t xml:space="preserve">طاقات التبليغ عن الشبكات الساتلية </w:t>
      </w:r>
      <w:r>
        <w:rPr>
          <w:rFonts w:hint="cs"/>
          <w:rtl/>
          <w:lang w:bidi="ar-EG"/>
        </w:rPr>
        <w:t xml:space="preserve">في الميزانية </w:t>
      </w:r>
      <w:r w:rsidRPr="00E80E77">
        <w:rPr>
          <w:rtl/>
          <w:lang w:bidi="ar-EG"/>
        </w:rPr>
        <w:t>بفعالية يثير القلق فيما يتعلق بالاستقرار المالي للمنظمة وأهدافها الاستراتيجية</w:t>
      </w:r>
      <w:r>
        <w:rPr>
          <w:rFonts w:hint="cs"/>
          <w:rtl/>
          <w:lang w:bidi="ar-EG"/>
        </w:rPr>
        <w:t>.</w:t>
      </w:r>
    </w:p>
    <w:p w14:paraId="38AE9F5A" w14:textId="77777777" w:rsidR="00D375BA" w:rsidRPr="0023097B" w:rsidRDefault="00D375BA" w:rsidP="00124E13">
      <w:r w:rsidRPr="0023097B">
        <w:lastRenderedPageBreak/>
        <w:t>14</w:t>
      </w:r>
      <w:r w:rsidRPr="0023097B">
        <w:tab/>
      </w:r>
      <w:r w:rsidRPr="0023097B">
        <w:rPr>
          <w:rFonts w:hint="cs"/>
          <w:rtl/>
        </w:rPr>
        <w:t>وعُرض تقرير المراجعة النهائي على المسؤولين المعنيين في مكتب الاتصالات الراديوية والأمانة العامة ونوقش معهم. ويتضمن التقرير 12 توصية لتعزيز الإدارة وإدارة المخاطر والضوابط الداخلية ذات الصلة بعملية بطاقات التبليغ عن الشبكات الساتلية، وأحيل إلى الأمينة العامة في 22 مارس 2024. ووافقت الإدارة بشكل عام على توصيات المراجعة المقترحة.</w:t>
      </w:r>
    </w:p>
    <w:p w14:paraId="1E242347" w14:textId="77777777" w:rsidR="00D375BA" w:rsidRPr="00AE4530" w:rsidRDefault="00D375BA" w:rsidP="00124E13">
      <w:pPr>
        <w:pStyle w:val="Headingb"/>
        <w:rPr>
          <w:b w:val="0"/>
          <w:bCs w:val="0"/>
          <w:i/>
          <w:iCs/>
          <w:rtl/>
          <w:lang w:bidi="ar-EG"/>
        </w:rPr>
      </w:pPr>
      <w:r w:rsidRPr="0003678B">
        <w:rPr>
          <w:rFonts w:hint="cs"/>
          <w:i/>
          <w:iCs/>
          <w:rtl/>
          <w:lang w:bidi="ar-EG"/>
        </w:rPr>
        <w:t>جيم</w:t>
      </w:r>
      <w:r w:rsidRPr="00AE4530">
        <w:rPr>
          <w:i/>
          <w:iCs/>
          <w:rtl/>
          <w:lang w:bidi="ar-EG"/>
        </w:rPr>
        <w:tab/>
      </w:r>
      <w:r>
        <w:rPr>
          <w:rFonts w:hint="cs"/>
          <w:i/>
          <w:iCs/>
          <w:rtl/>
          <w:lang w:bidi="ar-EG"/>
        </w:rPr>
        <w:t>المشتريات</w:t>
      </w:r>
    </w:p>
    <w:p w14:paraId="6B6A1DA0" w14:textId="77777777" w:rsidR="00D375BA" w:rsidRDefault="00D375BA" w:rsidP="009F090C">
      <w:pPr>
        <w:rPr>
          <w:lang w:bidi="ar-EG"/>
        </w:rPr>
      </w:pPr>
      <w:r>
        <w:rPr>
          <w:lang w:bidi="ar-EG"/>
        </w:rPr>
        <w:t>15</w:t>
      </w:r>
      <w:r>
        <w:rPr>
          <w:lang w:bidi="ar-EG"/>
        </w:rPr>
        <w:tab/>
      </w:r>
      <w:r w:rsidRPr="00E80E77">
        <w:rPr>
          <w:rtl/>
          <w:lang w:bidi="ar-EG"/>
        </w:rPr>
        <w:t xml:space="preserve">أجرت وحدة </w:t>
      </w:r>
      <w:r>
        <w:rPr>
          <w:rFonts w:hint="cs"/>
          <w:rtl/>
        </w:rPr>
        <w:t>الرقابة</w:t>
      </w:r>
      <w:r w:rsidRPr="00E80E77">
        <w:rPr>
          <w:rtl/>
          <w:lang w:bidi="ar-EG"/>
        </w:rPr>
        <w:t xml:space="preserve"> </w:t>
      </w:r>
      <w:r>
        <w:rPr>
          <w:rFonts w:hint="cs"/>
          <w:rtl/>
          <w:lang w:bidi="ar-EG"/>
        </w:rPr>
        <w:t>مراجعة للمشتريات شملت الفترة من 1 يناير 2021 إلى 30 يونيو 2023. وقيّمت المراجعة مدى فعالية العملية/الوظيفة وكفاءتها وامتثالها لضمان تماشيها مع أهداف الاتحاد والتزامه بالشفافية والمساءلة.</w:t>
      </w:r>
    </w:p>
    <w:p w14:paraId="60FF843A" w14:textId="3CD0AF1C" w:rsidR="00D375BA" w:rsidRDefault="00D375BA" w:rsidP="009F090C">
      <w:pPr>
        <w:rPr>
          <w:lang w:bidi="ar-EG"/>
        </w:rPr>
      </w:pPr>
      <w:r>
        <w:rPr>
          <w:lang w:bidi="ar-EG"/>
        </w:rPr>
        <w:t>16</w:t>
      </w:r>
      <w:r>
        <w:rPr>
          <w:lang w:bidi="ar-EG"/>
        </w:rPr>
        <w:tab/>
      </w:r>
      <w:r>
        <w:rPr>
          <w:rFonts w:hint="cs"/>
          <w:rtl/>
          <w:lang w:bidi="ar-EG"/>
        </w:rPr>
        <w:t xml:space="preserve">وترى وحدة الرقابة أن على </w:t>
      </w:r>
      <w:r w:rsidRPr="00EF6052">
        <w:rPr>
          <w:rtl/>
          <w:lang w:bidi="ar-EG"/>
        </w:rPr>
        <w:t>الرغم من وجود إطار واضح ومتسق للمشتريات، لا</w:t>
      </w:r>
      <w:r w:rsidR="0023097B">
        <w:rPr>
          <w:lang w:bidi="ar-EG"/>
        </w:rPr>
        <w:t> </w:t>
      </w:r>
      <w:r w:rsidRPr="00EF6052">
        <w:rPr>
          <w:rtl/>
          <w:lang w:bidi="ar-EG"/>
        </w:rPr>
        <w:t xml:space="preserve">تزال هناك أوجه قصور على المستويين الإداري والاستراتيجي. </w:t>
      </w:r>
      <w:r>
        <w:rPr>
          <w:rFonts w:hint="cs"/>
          <w:rtl/>
        </w:rPr>
        <w:t>و</w:t>
      </w:r>
      <w:r w:rsidRPr="00EF6052">
        <w:rPr>
          <w:rtl/>
          <w:lang w:bidi="ar-EG"/>
        </w:rPr>
        <w:t xml:space="preserve">كانت هناك أوجه قصور في مجال إدارة المخاطر، بما في ذلك إدارة مخاطر الاحتيال، التي تتطلب تحسينات كبيرة للتصدي بشكل كاف للتعرض للمخاطر. وعلى المستوى التشغيلي، </w:t>
      </w:r>
      <w:r>
        <w:rPr>
          <w:rFonts w:hint="cs"/>
          <w:rtl/>
          <w:lang w:bidi="ar-EG"/>
        </w:rPr>
        <w:t>فإن</w:t>
      </w:r>
      <w:r w:rsidRPr="00EF6052">
        <w:rPr>
          <w:rtl/>
          <w:lang w:bidi="ar-EG"/>
        </w:rPr>
        <w:t xml:space="preserve"> بعض الجوانب ضمن أنشطة المشتريات</w:t>
      </w:r>
      <w:r>
        <w:rPr>
          <w:rFonts w:hint="cs"/>
          <w:rtl/>
          <w:lang w:bidi="ar-EG"/>
        </w:rPr>
        <w:t xml:space="preserve"> وعملياتها</w:t>
      </w:r>
      <w:r w:rsidRPr="00EF6052">
        <w:rPr>
          <w:rtl/>
          <w:lang w:bidi="ar-EG"/>
        </w:rPr>
        <w:t xml:space="preserve"> </w:t>
      </w:r>
      <w:r>
        <w:rPr>
          <w:rFonts w:hint="cs"/>
          <w:rtl/>
          <w:lang w:bidi="ar-EG"/>
        </w:rPr>
        <w:t xml:space="preserve">تعمل </w:t>
      </w:r>
      <w:r w:rsidRPr="00EF6052">
        <w:rPr>
          <w:rtl/>
          <w:lang w:bidi="ar-EG"/>
        </w:rPr>
        <w:t xml:space="preserve">بفعالية. ومع ذلك، </w:t>
      </w:r>
      <w:r>
        <w:rPr>
          <w:rFonts w:hint="cs"/>
          <w:rtl/>
          <w:lang w:bidi="ar-EG"/>
        </w:rPr>
        <w:t xml:space="preserve">تفتقر </w:t>
      </w:r>
      <w:r w:rsidRPr="00EF6052">
        <w:rPr>
          <w:rtl/>
          <w:lang w:bidi="ar-EG"/>
        </w:rPr>
        <w:t xml:space="preserve">جميع أنشطة المشتريات </w:t>
      </w:r>
      <w:r>
        <w:rPr>
          <w:rFonts w:hint="cs"/>
          <w:rtl/>
          <w:lang w:bidi="ar-EG"/>
        </w:rPr>
        <w:t>إلى خط ثان من ال</w:t>
      </w:r>
      <w:r w:rsidRPr="00EF6052">
        <w:rPr>
          <w:rtl/>
          <w:lang w:bidi="ar-EG"/>
        </w:rPr>
        <w:t xml:space="preserve">تحقق </w:t>
      </w:r>
      <w:r>
        <w:rPr>
          <w:rFonts w:hint="cs"/>
          <w:rtl/>
          <w:lang w:bidi="ar-EG"/>
        </w:rPr>
        <w:t>وإلى مراقبة</w:t>
      </w:r>
      <w:r w:rsidRPr="00EF6052">
        <w:rPr>
          <w:rtl/>
          <w:lang w:bidi="ar-EG"/>
        </w:rPr>
        <w:t xml:space="preserve"> الامتثال</w:t>
      </w:r>
      <w:r>
        <w:rPr>
          <w:rFonts w:hint="cs"/>
          <w:rtl/>
          <w:lang w:bidi="ar-EG"/>
        </w:rPr>
        <w:t>.</w:t>
      </w:r>
    </w:p>
    <w:p w14:paraId="45807DB6" w14:textId="77777777" w:rsidR="00D375BA" w:rsidRPr="00A91666" w:rsidRDefault="00D375BA" w:rsidP="009F090C">
      <w:pPr>
        <w:rPr>
          <w:spacing w:val="-2"/>
          <w:lang w:bidi="ar-EG"/>
        </w:rPr>
      </w:pPr>
      <w:r w:rsidRPr="00A91666">
        <w:rPr>
          <w:spacing w:val="-2"/>
          <w:lang w:bidi="ar-EG"/>
        </w:rPr>
        <w:t>17</w:t>
      </w:r>
      <w:r w:rsidRPr="00A91666">
        <w:rPr>
          <w:spacing w:val="-2"/>
          <w:lang w:bidi="ar-EG"/>
        </w:rPr>
        <w:tab/>
      </w:r>
      <w:r w:rsidRPr="00A91666">
        <w:rPr>
          <w:rFonts w:hint="cs"/>
          <w:spacing w:val="-2"/>
          <w:rtl/>
          <w:lang w:bidi="ar-EG"/>
        </w:rPr>
        <w:t>و</w:t>
      </w:r>
      <w:r w:rsidRPr="00A91666">
        <w:rPr>
          <w:rFonts w:hint="cs"/>
          <w:spacing w:val="-2"/>
          <w:rtl/>
        </w:rPr>
        <w:t>عُرض</w:t>
      </w:r>
      <w:r w:rsidRPr="00A91666">
        <w:rPr>
          <w:rFonts w:hint="cs"/>
          <w:spacing w:val="-2"/>
          <w:rtl/>
          <w:lang w:bidi="ar-EG"/>
        </w:rPr>
        <w:t xml:space="preserve"> تقرير المراجعة النهائي على المسؤولين المعنيين في شعبة المشتريات والدوائر الأخرى ذات الصلة في الأمانة العامة ونوقش معهم. ويتضمن التقرير 15 توصية لتعزيز الإدارة وإدارة المخاطر والضوابط الداخلية ذات الصلة بعملية المشتريات، وأحيل إلى الأمينة العامة في 3 أبريل 2024. ووافقت الإدارة بشكل عام على توصيات المراجعة المقترحة وإن أثير نقص الموارد، بالنسبة لثلاث منها، لتبرير عدم القدرة على تنفيذ هذه التوصيات في ظل الوضع الحالي لعدد الموظفين في شعبة المشتريات.</w:t>
      </w:r>
    </w:p>
    <w:p w14:paraId="6D638462" w14:textId="77777777" w:rsidR="00D375BA" w:rsidRPr="00AE4530" w:rsidRDefault="00D375BA" w:rsidP="008A21B0">
      <w:pPr>
        <w:pStyle w:val="Headingb"/>
        <w:rPr>
          <w:b w:val="0"/>
          <w:bCs w:val="0"/>
          <w:i/>
          <w:iCs/>
          <w:rtl/>
          <w:lang w:bidi="ar-EG"/>
        </w:rPr>
      </w:pPr>
      <w:r w:rsidRPr="0003678B">
        <w:rPr>
          <w:rFonts w:hint="cs"/>
          <w:i/>
          <w:iCs/>
          <w:rtl/>
          <w:lang w:bidi="ar-EG"/>
        </w:rPr>
        <w:t>دال</w:t>
      </w:r>
      <w:r w:rsidRPr="00AE4530">
        <w:rPr>
          <w:i/>
          <w:iCs/>
          <w:rtl/>
          <w:lang w:bidi="ar-EG"/>
        </w:rPr>
        <w:tab/>
      </w:r>
      <w:r w:rsidRPr="00024949">
        <w:rPr>
          <w:i/>
          <w:iCs/>
          <w:rtl/>
          <w:lang w:bidi="ar-SY"/>
        </w:rPr>
        <w:t xml:space="preserve">المساواة بين </w:t>
      </w:r>
      <w:r w:rsidRPr="00024949">
        <w:rPr>
          <w:i/>
          <w:iCs/>
          <w:rtl/>
          <w:lang w:bidi="ar-EG"/>
        </w:rPr>
        <w:t>الجنسين</w:t>
      </w:r>
      <w:r w:rsidRPr="00024949">
        <w:rPr>
          <w:i/>
          <w:iCs/>
          <w:rtl/>
          <w:lang w:bidi="ar-SY"/>
        </w:rPr>
        <w:t xml:space="preserve"> وتعميمها في الاتحاد</w:t>
      </w:r>
    </w:p>
    <w:p w14:paraId="1DDA9891" w14:textId="6D219386" w:rsidR="00D375BA" w:rsidRPr="00C82A82" w:rsidRDefault="00D375BA" w:rsidP="009F090C">
      <w:r>
        <w:rPr>
          <w:lang w:bidi="ar-EG"/>
        </w:rPr>
        <w:t>18</w:t>
      </w:r>
      <w:r>
        <w:rPr>
          <w:lang w:bidi="ar-EG"/>
        </w:rPr>
        <w:tab/>
      </w:r>
      <w:r w:rsidRPr="00E80E77">
        <w:rPr>
          <w:rtl/>
          <w:lang w:bidi="ar-EG"/>
        </w:rPr>
        <w:t xml:space="preserve">أجرت وحدة </w:t>
      </w:r>
      <w:r>
        <w:rPr>
          <w:rFonts w:hint="cs"/>
          <w:rtl/>
        </w:rPr>
        <w:t>الرقابة</w:t>
      </w:r>
      <w:r w:rsidRPr="00E80E77">
        <w:rPr>
          <w:rtl/>
          <w:lang w:bidi="ar-EG"/>
        </w:rPr>
        <w:t xml:space="preserve"> </w:t>
      </w:r>
      <w:r>
        <w:rPr>
          <w:rFonts w:hint="cs"/>
          <w:rtl/>
          <w:lang w:bidi="ar-EG"/>
        </w:rPr>
        <w:t xml:space="preserve">مراجعة للمساواة بين الجنسين وتعميمها </w:t>
      </w:r>
      <w:r>
        <w:rPr>
          <w:lang w:bidi="ar-EG"/>
        </w:rPr>
        <w:t>(GEM)</w:t>
      </w:r>
      <w:r>
        <w:rPr>
          <w:rFonts w:hint="cs"/>
          <w:rtl/>
          <w:lang w:bidi="ar-EG"/>
        </w:rPr>
        <w:t xml:space="preserve"> في الاتحاد شملت الفترة من 1 يناير 2018 إلى 31 أغسطس 2023. وكان من الضروري إجراء هذه المراجعة </w:t>
      </w:r>
      <w:r>
        <w:rPr>
          <w:rFonts w:hint="cs"/>
          <w:rtl/>
        </w:rPr>
        <w:t xml:space="preserve">تلبيةً لمتطلبات الإصدار الثاني من معايير خطة العمل على نطاق منظومة الأمم المتحدة بشأن المساواة بين الجنسين وتمكين المرأة </w:t>
      </w:r>
      <w:r>
        <w:t>(</w:t>
      </w:r>
      <w:r w:rsidRPr="00C82A82">
        <w:t>UN</w:t>
      </w:r>
      <w:r w:rsidR="00A91666">
        <w:t> </w:t>
      </w:r>
      <w:r w:rsidRPr="00C82A82">
        <w:t>SWAP</w:t>
      </w:r>
      <w:r w:rsidR="00A91666">
        <w:t> </w:t>
      </w:r>
      <w:r w:rsidRPr="00C82A82">
        <w:t>2.0</w:t>
      </w:r>
      <w:r>
        <w:t>)</w:t>
      </w:r>
      <w:r>
        <w:rPr>
          <w:rFonts w:hint="cs"/>
          <w:rtl/>
        </w:rPr>
        <w:t>.</w:t>
      </w:r>
    </w:p>
    <w:p w14:paraId="661BBAFB" w14:textId="0B70C5F1" w:rsidR="00D375BA" w:rsidRPr="005E53D3" w:rsidRDefault="00D375BA" w:rsidP="009F090C">
      <w:pPr>
        <w:rPr>
          <w:rtl/>
        </w:rPr>
      </w:pPr>
      <w:r>
        <w:rPr>
          <w:lang w:bidi="ar-EG"/>
        </w:rPr>
        <w:t>19</w:t>
      </w:r>
      <w:r>
        <w:rPr>
          <w:lang w:bidi="ar-EG"/>
        </w:rPr>
        <w:tab/>
      </w:r>
      <w:r w:rsidRPr="00C82A82">
        <w:rPr>
          <w:rtl/>
          <w:lang w:bidi="ar-EG"/>
        </w:rPr>
        <w:t>‏وترى وحدة الرقابة أن قيادة الاتحاد تولي أهمية متزايدة لتحقيق المساواة بين الجنسين وتعميمها والتي تتجلى من خلال</w:t>
      </w:r>
      <w:r>
        <w:rPr>
          <w:rFonts w:hint="cs"/>
          <w:rtl/>
          <w:lang w:bidi="ar-EG"/>
        </w:rPr>
        <w:t xml:space="preserve"> جهود</w:t>
      </w:r>
      <w:r w:rsidRPr="00C82A82">
        <w:rPr>
          <w:rtl/>
          <w:lang w:bidi="ar-EG"/>
        </w:rPr>
        <w:t xml:space="preserve"> التعاون </w:t>
      </w:r>
      <w:r>
        <w:rPr>
          <w:rFonts w:hint="cs"/>
          <w:rtl/>
          <w:lang w:bidi="ar-EG"/>
        </w:rPr>
        <w:t>و</w:t>
      </w:r>
      <w:r w:rsidRPr="00C82A82">
        <w:rPr>
          <w:rtl/>
          <w:lang w:bidi="ar-EG"/>
        </w:rPr>
        <w:t>التنسيق</w:t>
      </w:r>
      <w:r>
        <w:rPr>
          <w:rFonts w:hint="cs"/>
          <w:rtl/>
          <w:lang w:bidi="ar-EG"/>
        </w:rPr>
        <w:t xml:space="preserve"> الكافية</w:t>
      </w:r>
      <w:r w:rsidRPr="00C82A82">
        <w:rPr>
          <w:rtl/>
          <w:lang w:bidi="ar-EG"/>
        </w:rPr>
        <w:t xml:space="preserve">، </w:t>
      </w:r>
      <w:r>
        <w:rPr>
          <w:rFonts w:hint="cs"/>
          <w:rtl/>
          <w:lang w:bidi="ar-EG"/>
        </w:rPr>
        <w:t xml:space="preserve">وعلى الرغم من ذلك فإن </w:t>
      </w:r>
      <w:r w:rsidRPr="00C82A82">
        <w:rPr>
          <w:rtl/>
          <w:lang w:bidi="ar-EG"/>
        </w:rPr>
        <w:t xml:space="preserve">هناك مجالات قصور في تحقيق الامتثال لخطة التنفيذ </w:t>
      </w:r>
      <w:r>
        <w:rPr>
          <w:rFonts w:hint="cs"/>
          <w:rtl/>
          <w:lang w:bidi="ar-EG"/>
        </w:rPr>
        <w:t>التي أقرها</w:t>
      </w:r>
      <w:r w:rsidRPr="00C82A82">
        <w:rPr>
          <w:rtl/>
          <w:lang w:bidi="ar-EG"/>
        </w:rPr>
        <w:t xml:space="preserve"> فريق تنسيق الإدارة (</w:t>
      </w:r>
      <w:r>
        <w:rPr>
          <w:rFonts w:hint="cs"/>
          <w:rtl/>
          <w:lang w:bidi="ar-EG"/>
        </w:rPr>
        <w:t xml:space="preserve">القائمة على خطة العمل </w:t>
      </w:r>
      <w:r w:rsidRPr="00EB605D">
        <w:rPr>
          <w:lang w:bidi="ar-EG"/>
        </w:rPr>
        <w:t>UN</w:t>
      </w:r>
      <w:r w:rsidR="00115452">
        <w:rPr>
          <w:lang w:bidi="ar-EG"/>
        </w:rPr>
        <w:t> </w:t>
      </w:r>
      <w:r w:rsidRPr="00EB605D">
        <w:rPr>
          <w:lang w:bidi="ar-EG"/>
        </w:rPr>
        <w:t>SWAP</w:t>
      </w:r>
      <w:r w:rsidR="00115452">
        <w:rPr>
          <w:lang w:bidi="ar-EG"/>
        </w:rPr>
        <w:t> </w:t>
      </w:r>
      <w:r w:rsidRPr="00EB605D">
        <w:rPr>
          <w:lang w:bidi="ar-EG"/>
        </w:rPr>
        <w:t>2.0</w:t>
      </w:r>
      <w:r w:rsidRPr="00C82A82">
        <w:rPr>
          <w:rtl/>
          <w:lang w:bidi="ar-EG"/>
        </w:rPr>
        <w:t xml:space="preserve"> </w:t>
      </w:r>
      <w:r>
        <w:rPr>
          <w:rFonts w:hint="cs"/>
          <w:rtl/>
          <w:lang w:bidi="ar-EG"/>
        </w:rPr>
        <w:t>وال</w:t>
      </w:r>
      <w:r w:rsidRPr="00C82A82">
        <w:rPr>
          <w:rtl/>
          <w:lang w:bidi="ar-EG"/>
        </w:rPr>
        <w:t xml:space="preserve">مدعومة </w:t>
      </w:r>
      <w:r>
        <w:rPr>
          <w:rFonts w:hint="cs"/>
          <w:rtl/>
          <w:lang w:bidi="ar-EG"/>
        </w:rPr>
        <w:t>أيضاً</w:t>
      </w:r>
      <w:r w:rsidRPr="00C82A82">
        <w:rPr>
          <w:rtl/>
          <w:lang w:bidi="ar-EG"/>
        </w:rPr>
        <w:t xml:space="preserve"> بالقرار</w:t>
      </w:r>
      <w:r w:rsidR="00115452">
        <w:rPr>
          <w:rFonts w:hint="cs"/>
          <w:rtl/>
          <w:lang w:bidi="ar-EG"/>
        </w:rPr>
        <w:t> </w:t>
      </w:r>
      <w:r w:rsidRPr="00C82A82">
        <w:rPr>
          <w:cs/>
          <w:lang w:bidi="ar-EG"/>
        </w:rPr>
        <w:t>‎</w:t>
      </w:r>
      <w:r w:rsidRPr="00C82A82">
        <w:rPr>
          <w:lang w:bidi="ar-EG"/>
        </w:rPr>
        <w:t>70</w:t>
      </w:r>
      <w:r w:rsidRPr="00C82A82">
        <w:rPr>
          <w:rtl/>
          <w:lang w:bidi="ar-EG"/>
        </w:rPr>
        <w:t xml:space="preserve"> ‏لمؤتمر المندوبين المفوضين). وهناك أوجه قصور في إدارة المخاطر</w:t>
      </w:r>
      <w:r>
        <w:rPr>
          <w:rFonts w:hint="cs"/>
          <w:rtl/>
          <w:lang w:bidi="ar-EG"/>
        </w:rPr>
        <w:t xml:space="preserve"> </w:t>
      </w:r>
      <w:r w:rsidRPr="00C82A82">
        <w:rPr>
          <w:rtl/>
          <w:lang w:bidi="ar-EG"/>
        </w:rPr>
        <w:t>تتعلق تحديدا</w:t>
      </w:r>
      <w:r>
        <w:rPr>
          <w:rFonts w:hint="cs"/>
          <w:rtl/>
          <w:lang w:bidi="ar-EG"/>
        </w:rPr>
        <w:t>ً</w:t>
      </w:r>
      <w:r w:rsidRPr="00C82A82">
        <w:rPr>
          <w:rtl/>
          <w:lang w:bidi="ar-EG"/>
        </w:rPr>
        <w:t xml:space="preserve"> بالإبلاغ وتحديد المخاطر فيما يتعلق بالتتبع المالي </w:t>
      </w:r>
      <w:r>
        <w:rPr>
          <w:rFonts w:hint="cs"/>
          <w:rtl/>
          <w:lang w:bidi="ar-EG"/>
        </w:rPr>
        <w:t>ل</w:t>
      </w:r>
      <w:r w:rsidRPr="00C82A82">
        <w:rPr>
          <w:rtl/>
          <w:lang w:bidi="ar-EG"/>
        </w:rPr>
        <w:t>إجراءات تنفيذ المساواة بين الجنسين</w:t>
      </w:r>
      <w:r>
        <w:rPr>
          <w:rFonts w:hint="cs"/>
          <w:rtl/>
          <w:lang w:bidi="ar-EG"/>
        </w:rPr>
        <w:t xml:space="preserve"> </w:t>
      </w:r>
      <w:r w:rsidRPr="00C82A82">
        <w:rPr>
          <w:rtl/>
          <w:lang w:bidi="ar-EG"/>
        </w:rPr>
        <w:t xml:space="preserve">والتقدم المحرز </w:t>
      </w:r>
      <w:r>
        <w:rPr>
          <w:rFonts w:hint="cs"/>
          <w:rtl/>
          <w:lang w:bidi="ar-EG"/>
        </w:rPr>
        <w:t>في هذا المجال</w:t>
      </w:r>
      <w:r w:rsidRPr="00C82A82">
        <w:rPr>
          <w:rtl/>
          <w:lang w:bidi="ar-EG"/>
        </w:rPr>
        <w:t>. وتبين أن بعض جوانب الإدارة والضوابط الداخلية كافية جزئيا</w:t>
      </w:r>
      <w:r>
        <w:rPr>
          <w:rFonts w:hint="cs"/>
          <w:rtl/>
          <w:lang w:bidi="ar-EG"/>
        </w:rPr>
        <w:t>ً</w:t>
      </w:r>
      <w:r w:rsidRPr="00C82A82">
        <w:rPr>
          <w:rtl/>
          <w:lang w:bidi="ar-EG"/>
        </w:rPr>
        <w:t xml:space="preserve">، مثل </w:t>
      </w:r>
      <w:r>
        <w:rPr>
          <w:rFonts w:hint="cs"/>
          <w:rtl/>
          <w:lang w:bidi="ar-EG"/>
        </w:rPr>
        <w:t>الإصدار</w:t>
      </w:r>
      <w:r w:rsidRPr="00C82A82">
        <w:rPr>
          <w:rtl/>
          <w:lang w:bidi="ar-EG"/>
        </w:rPr>
        <w:t xml:space="preserve"> الداخلي الرسمي ل</w:t>
      </w:r>
      <w:r>
        <w:rPr>
          <w:rFonts w:hint="cs"/>
          <w:rtl/>
          <w:lang w:bidi="ar-EG"/>
        </w:rPr>
        <w:t xml:space="preserve">لنسخة المنقحة من </w:t>
      </w:r>
      <w:r w:rsidRPr="00C82A82">
        <w:rPr>
          <w:rtl/>
          <w:lang w:bidi="ar-EG"/>
        </w:rPr>
        <w:t xml:space="preserve">سياسة المساواة بين الجنسين </w:t>
      </w:r>
      <w:r>
        <w:rPr>
          <w:rFonts w:hint="cs"/>
          <w:rtl/>
          <w:lang w:bidi="ar-EG"/>
        </w:rPr>
        <w:t>و</w:t>
      </w:r>
      <w:r w:rsidRPr="00C82A82">
        <w:rPr>
          <w:rtl/>
          <w:lang w:bidi="ar-EG"/>
        </w:rPr>
        <w:t>الاستقصا</w:t>
      </w:r>
      <w:r>
        <w:rPr>
          <w:rFonts w:hint="cs"/>
          <w:rtl/>
          <w:lang w:bidi="ar-EG"/>
        </w:rPr>
        <w:t>ء</w:t>
      </w:r>
      <w:r w:rsidRPr="00C82A82">
        <w:rPr>
          <w:rtl/>
          <w:lang w:bidi="ar-EG"/>
        </w:rPr>
        <w:t xml:space="preserve"> </w:t>
      </w:r>
      <w:r>
        <w:rPr>
          <w:rFonts w:hint="cs"/>
          <w:rtl/>
          <w:lang w:bidi="ar-EG"/>
        </w:rPr>
        <w:t xml:space="preserve">الذي أجري مؤخراً </w:t>
      </w:r>
      <w:r w:rsidRPr="00C82A82">
        <w:rPr>
          <w:rtl/>
          <w:lang w:bidi="ar-EG"/>
        </w:rPr>
        <w:t>لتقييم القدرات، و</w:t>
      </w:r>
      <w:r>
        <w:rPr>
          <w:rFonts w:hint="cs"/>
          <w:rtl/>
          <w:lang w:bidi="ar-EG"/>
        </w:rPr>
        <w:t xml:space="preserve">تدعو الحاجة إلى </w:t>
      </w:r>
      <w:r w:rsidRPr="00C82A82">
        <w:rPr>
          <w:rtl/>
          <w:lang w:bidi="ar-EG"/>
        </w:rPr>
        <w:t xml:space="preserve">التحسين </w:t>
      </w:r>
      <w:r>
        <w:rPr>
          <w:rFonts w:hint="cs"/>
          <w:rtl/>
          <w:lang w:bidi="ar-EG"/>
        </w:rPr>
        <w:t>والنظر</w:t>
      </w:r>
      <w:r w:rsidRPr="00C82A82">
        <w:rPr>
          <w:rtl/>
          <w:lang w:bidi="ar-EG"/>
        </w:rPr>
        <w:t xml:space="preserve"> </w:t>
      </w:r>
      <w:r>
        <w:rPr>
          <w:rFonts w:hint="cs"/>
          <w:rtl/>
          <w:lang w:bidi="ar-EG"/>
        </w:rPr>
        <w:t>فيما يتعلق</w:t>
      </w:r>
      <w:r w:rsidRPr="00C82A82">
        <w:rPr>
          <w:rtl/>
          <w:lang w:bidi="ar-EG"/>
        </w:rPr>
        <w:t xml:space="preserve"> </w:t>
      </w:r>
      <w:r>
        <w:rPr>
          <w:rFonts w:hint="cs"/>
          <w:rtl/>
          <w:lang w:bidi="ar-EG"/>
        </w:rPr>
        <w:t>بعضوية</w:t>
      </w:r>
      <w:r w:rsidRPr="00C82A82">
        <w:rPr>
          <w:rtl/>
          <w:lang w:bidi="ar-EG"/>
        </w:rPr>
        <w:t xml:space="preserve"> ومسؤوليات جهات الاتصال المعنية بالمساواة بين الجنسين وأهداف التكافؤ بين الجنسين </w:t>
      </w:r>
      <w:r>
        <w:rPr>
          <w:rFonts w:hint="cs"/>
          <w:rtl/>
          <w:lang w:bidi="ar-EG"/>
        </w:rPr>
        <w:t>وكذلك</w:t>
      </w:r>
      <w:r w:rsidRPr="00C82A82">
        <w:rPr>
          <w:rtl/>
          <w:lang w:bidi="ar-EG"/>
        </w:rPr>
        <w:t xml:space="preserve"> مساءلة جميع أصحاب المصلحة الرئيسيين في عملية تنفيذ </w:t>
      </w:r>
      <w:r>
        <w:rPr>
          <w:rFonts w:hint="cs"/>
          <w:rtl/>
          <w:lang w:bidi="ar-EG"/>
        </w:rPr>
        <w:t xml:space="preserve">المساواة بين الجنسين وتعميمها </w:t>
      </w:r>
      <w:r>
        <w:rPr>
          <w:lang w:bidi="ar-EG"/>
        </w:rPr>
        <w:t>(GEM)</w:t>
      </w:r>
      <w:r>
        <w:rPr>
          <w:rFonts w:hint="cs"/>
          <w:rtl/>
        </w:rPr>
        <w:t>. وخلصت المراجعة إلى أن الافتقار إلى الموارد (المالية والبشرية على السواء) يشكل عوائق حقيقية أمام التقدم الحالي نحو تحقيق أهداف الاتحاد المتعلقة بالمساواة بين الجنسين على النحو المبين في خطة تنفيذ المساواة بين الجنسين.</w:t>
      </w:r>
    </w:p>
    <w:p w14:paraId="50E113E3" w14:textId="77777777" w:rsidR="00D375BA" w:rsidRDefault="00D375BA" w:rsidP="009F090C">
      <w:pPr>
        <w:rPr>
          <w:lang w:bidi="ar-EG"/>
        </w:rPr>
      </w:pPr>
      <w:r>
        <w:rPr>
          <w:lang w:bidi="ar-EG"/>
        </w:rPr>
        <w:t>20</w:t>
      </w:r>
      <w:r>
        <w:rPr>
          <w:lang w:bidi="ar-EG"/>
        </w:rPr>
        <w:tab/>
      </w:r>
      <w:r>
        <w:rPr>
          <w:rFonts w:hint="cs"/>
          <w:rtl/>
          <w:lang w:bidi="ar-EG"/>
        </w:rPr>
        <w:t>و</w:t>
      </w:r>
      <w:r>
        <w:rPr>
          <w:rFonts w:hint="cs"/>
          <w:rtl/>
        </w:rPr>
        <w:t>عُرض</w:t>
      </w:r>
      <w:r>
        <w:rPr>
          <w:rFonts w:hint="cs"/>
          <w:rtl/>
          <w:lang w:bidi="ar-EG"/>
        </w:rPr>
        <w:t xml:space="preserve"> تقرير المراجعة النهائي على المسؤولين المعنيين في الدوائر ذات الصلة في الأمانة العامة ونوقش معهم. ويتضمن التقرير 10 توصيات صنفت وحدة الرقابة خمسة منها كتوصيات ذات أولوية عالية، وهي تتعلق بالمجالات التالية: ’1‘ أهداف العمل المتعلق بالمساواة بين الجنسين لجميع الموظفين، ’2‘ تنمية القدرات والتدريب، ’3‘ أدوار ومسؤوليات جهات الاتصال المعنية بالمساواة بين الجنسين، ’4‘ الغايات المالية للمساواة بين الجنسين وتعميمها في الميزانيات، ’5‘ تحديد المخاطر والتخفيف منها فيما يتعلق بخطة تنفيذ المساواة بين الجنسين. ووافقت الإدارة بشكل عام على توصيات المراجعة المقترحة وإن أثير نقص الموارد، بالنسبة للبعض منها، لتبرير عدم القدرة على تنفيذ هذه التوصيات في ظل الظروف الحالية للميزانية وعدد الموظفين.</w:t>
      </w:r>
    </w:p>
    <w:p w14:paraId="65C4CA19" w14:textId="77777777" w:rsidR="00D375BA" w:rsidRPr="009F090C" w:rsidRDefault="00D375BA" w:rsidP="009F090C">
      <w:pPr>
        <w:pStyle w:val="Heading1"/>
        <w:rPr>
          <w:rtl/>
        </w:rPr>
      </w:pPr>
      <w:r w:rsidRPr="009F090C">
        <w:rPr>
          <w:rFonts w:hint="cs"/>
          <w:rtl/>
        </w:rPr>
        <w:t>مهام إضافية</w:t>
      </w:r>
    </w:p>
    <w:p w14:paraId="498A0ABB" w14:textId="77777777" w:rsidR="00D375BA" w:rsidRPr="009F090C" w:rsidRDefault="00D375BA" w:rsidP="009F090C">
      <w:pPr>
        <w:pStyle w:val="Headingb"/>
        <w:rPr>
          <w:i/>
          <w:iCs/>
          <w:lang w:bidi="ar-EG"/>
        </w:rPr>
      </w:pPr>
      <w:r w:rsidRPr="00115452">
        <w:rPr>
          <w:rFonts w:hint="cs"/>
          <w:i/>
          <w:iCs/>
          <w:rtl/>
          <w:lang w:bidi="ar-EG"/>
        </w:rPr>
        <w:t>ألف</w:t>
      </w:r>
      <w:r w:rsidRPr="00115452">
        <w:rPr>
          <w:i/>
          <w:iCs/>
          <w:rtl/>
          <w:lang w:bidi="ar-EG"/>
        </w:rPr>
        <w:tab/>
      </w:r>
      <w:r w:rsidRPr="00115452">
        <w:rPr>
          <w:rFonts w:hint="cs"/>
          <w:i/>
          <w:iCs/>
          <w:rtl/>
          <w:lang w:bidi="ar-EG"/>
        </w:rPr>
        <w:t xml:space="preserve">تقييم التأمين الصحي بعد انتهاء مدة الخدمة </w:t>
      </w:r>
      <w:r w:rsidRPr="00115452">
        <w:rPr>
          <w:i/>
          <w:iCs/>
          <w:lang w:bidi="ar-EG"/>
        </w:rPr>
        <w:t>(ASHI)</w:t>
      </w:r>
    </w:p>
    <w:p w14:paraId="4FCA861E" w14:textId="711B0BCF" w:rsidR="00D375BA" w:rsidRPr="00E17F18" w:rsidRDefault="00D375BA" w:rsidP="009F090C">
      <w:pPr>
        <w:rPr>
          <w:spacing w:val="-2"/>
        </w:rPr>
      </w:pPr>
      <w:r w:rsidRPr="00E17F18">
        <w:rPr>
          <w:spacing w:val="-2"/>
        </w:rPr>
        <w:t>21</w:t>
      </w:r>
      <w:r w:rsidRPr="00E17F18">
        <w:rPr>
          <w:spacing w:val="-2"/>
        </w:rPr>
        <w:tab/>
      </w:r>
      <w:r w:rsidRPr="00E17F18">
        <w:rPr>
          <w:rFonts w:hint="cs"/>
          <w:spacing w:val="-2"/>
          <w:rtl/>
        </w:rPr>
        <w:t xml:space="preserve">أنجزت وحدة الرقابة مهمة لتأكيد صحة عناصر البيانات الرئيسية التي قُدمت إلى مكتب الخبير </w:t>
      </w:r>
      <w:proofErr w:type="spellStart"/>
      <w:r w:rsidRPr="00E17F18">
        <w:rPr>
          <w:rFonts w:hint="cs"/>
          <w:spacing w:val="-2"/>
          <w:rtl/>
        </w:rPr>
        <w:t>الإكتواري</w:t>
      </w:r>
      <w:proofErr w:type="spellEnd"/>
      <w:r w:rsidRPr="00E17F18">
        <w:rPr>
          <w:rFonts w:hint="cs"/>
          <w:spacing w:val="-2"/>
          <w:rtl/>
        </w:rPr>
        <w:t xml:space="preserve"> للاتحاد</w:t>
      </w:r>
      <w:r w:rsidR="008B21A9" w:rsidRPr="00E17F18">
        <w:rPr>
          <w:rFonts w:hint="eastAsia"/>
          <w:spacing w:val="-2"/>
          <w:rtl/>
        </w:rPr>
        <w:t> </w:t>
      </w:r>
      <w:r w:rsidRPr="00E17F18">
        <w:rPr>
          <w:spacing w:val="-2"/>
        </w:rPr>
        <w:t>(AON)</w:t>
      </w:r>
      <w:r w:rsidRPr="00E17F18">
        <w:rPr>
          <w:rFonts w:hint="cs"/>
          <w:spacing w:val="-2"/>
          <w:rtl/>
        </w:rPr>
        <w:t xml:space="preserve"> لتقييم </w:t>
      </w:r>
      <w:r w:rsidRPr="00E17F18">
        <w:rPr>
          <w:spacing w:val="-2"/>
          <w:rtl/>
        </w:rPr>
        <w:t>التأمين الصحي بعد انتهاء مدة الخدمة</w:t>
      </w:r>
      <w:r w:rsidR="008B21A9" w:rsidRPr="00E17F18">
        <w:rPr>
          <w:rFonts w:hint="cs"/>
          <w:spacing w:val="-2"/>
          <w:rtl/>
        </w:rPr>
        <w:t> </w:t>
      </w:r>
      <w:r w:rsidRPr="00E17F18">
        <w:rPr>
          <w:spacing w:val="-2"/>
          <w:rtl/>
        </w:rPr>
        <w:t>(</w:t>
      </w:r>
      <w:r w:rsidRPr="00E17F18">
        <w:rPr>
          <w:spacing w:val="-2"/>
        </w:rPr>
        <w:t>ASHI</w:t>
      </w:r>
      <w:r w:rsidRPr="00E17F18">
        <w:rPr>
          <w:spacing w:val="-2"/>
          <w:rtl/>
        </w:rPr>
        <w:t>)</w:t>
      </w:r>
      <w:r w:rsidRPr="00E17F18">
        <w:rPr>
          <w:rFonts w:hint="cs"/>
          <w:spacing w:val="-2"/>
          <w:rtl/>
        </w:rPr>
        <w:t>. وقد طلب القيام بهذه المهمة رئيس دائرة إدارة الموارد المالية، بموافقة الأمينة العامة للاتحاد، وذلك أثناء مراجعة البيانات المالية للاتحاد لعام 2022، بمبادرة من المراجع الخارجي للاتحاد.</w:t>
      </w:r>
    </w:p>
    <w:p w14:paraId="2788131A" w14:textId="789B0A21" w:rsidR="00D375BA" w:rsidRPr="00115452" w:rsidRDefault="00D375BA" w:rsidP="00115452">
      <w:r w:rsidRPr="00115452">
        <w:lastRenderedPageBreak/>
        <w:t>22</w:t>
      </w:r>
      <w:r w:rsidRPr="00115452">
        <w:tab/>
      </w:r>
      <w:r w:rsidRPr="00115452">
        <w:rPr>
          <w:rFonts w:hint="cs"/>
          <w:rtl/>
        </w:rPr>
        <w:t>وأصدرت وحدة الرقابة في مايو 2023 تقرير مهمة تأكيد صحة البيانات ورسالة إدارية لإبلاغ إدارة الاتحاد بما يلي: ’1‘</w:t>
      </w:r>
      <w:r w:rsidR="008B21A9">
        <w:rPr>
          <w:rFonts w:hint="eastAsia"/>
          <w:rtl/>
        </w:rPr>
        <w:t> </w:t>
      </w:r>
      <w:r w:rsidRPr="00115452">
        <w:rPr>
          <w:rFonts w:hint="cs"/>
          <w:rtl/>
        </w:rPr>
        <w:t>أوجه القصور في المراقبة، ’2‘ التوصيات ذات الصلة لتمكين إدارة الاتحاد من الحصول على الضمان اللازم فيما يتعلق بالضوابط من أجل عمليات المراجعة التي سيجريها المراجع الخارجي للاتحاد في نهاية السنة.</w:t>
      </w:r>
    </w:p>
    <w:p w14:paraId="2A519CFF" w14:textId="77777777" w:rsidR="00D375BA" w:rsidRPr="008B21A9" w:rsidRDefault="00D375BA" w:rsidP="00115452">
      <w:pPr>
        <w:rPr>
          <w:spacing w:val="-2"/>
        </w:rPr>
      </w:pPr>
      <w:r w:rsidRPr="008B21A9">
        <w:rPr>
          <w:spacing w:val="-2"/>
        </w:rPr>
        <w:t>23</w:t>
      </w:r>
      <w:r w:rsidRPr="008B21A9">
        <w:rPr>
          <w:spacing w:val="-2"/>
        </w:rPr>
        <w:tab/>
      </w:r>
      <w:r w:rsidRPr="008B21A9">
        <w:rPr>
          <w:rFonts w:hint="cs"/>
          <w:spacing w:val="-2"/>
          <w:rtl/>
        </w:rPr>
        <w:t>وفيما يتعلق بالبيانات المالية للاتحاد لعام 2023، أنجزت وحدة الرقابة في فبراير 2024 مهمة مماثلة، وإن كان ذلك على نطاق ضيق، وقدمت الضمان اللازم بشأن عناصر البيانات الرئيسية المستخدمة لتقييم التأمين الصحي بعد انتهاء مدة الخدمة.</w:t>
      </w:r>
    </w:p>
    <w:p w14:paraId="1800A03B" w14:textId="30A72B0F" w:rsidR="00D375BA" w:rsidRPr="009F090C" w:rsidRDefault="00D375BA" w:rsidP="00E17F18">
      <w:pPr>
        <w:pStyle w:val="Headingb"/>
        <w:ind w:left="794" w:hanging="794"/>
        <w:rPr>
          <w:i/>
          <w:iCs/>
          <w:rtl/>
          <w:lang w:bidi="ar-EG"/>
        </w:rPr>
      </w:pPr>
      <w:r>
        <w:rPr>
          <w:rFonts w:hint="cs"/>
          <w:i/>
          <w:iCs/>
          <w:rtl/>
          <w:lang w:bidi="ar-EG"/>
        </w:rPr>
        <w:t>باء</w:t>
      </w:r>
      <w:r w:rsidRPr="00AE4530">
        <w:rPr>
          <w:i/>
          <w:iCs/>
          <w:rtl/>
          <w:lang w:bidi="ar-EG"/>
        </w:rPr>
        <w:tab/>
      </w:r>
      <w:r>
        <w:rPr>
          <w:rFonts w:hint="cs"/>
          <w:i/>
          <w:iCs/>
          <w:rtl/>
          <w:lang w:bidi="ar-EG"/>
        </w:rPr>
        <w:t xml:space="preserve">استعراض مستقل للمبالغ المالية الرئيسية ومتطلبات زيادة الميزانية المعروضة في الوثيقة </w:t>
      </w:r>
      <w:r w:rsidRPr="009F090C">
        <w:rPr>
          <w:i/>
          <w:iCs/>
          <w:lang w:bidi="ar-EG"/>
        </w:rPr>
        <w:t>C23/7</w:t>
      </w:r>
      <w:r>
        <w:rPr>
          <w:rFonts w:hint="cs"/>
          <w:i/>
          <w:iCs/>
          <w:rtl/>
          <w:lang w:bidi="ar-EG"/>
        </w:rPr>
        <w:t xml:space="preserve"> </w:t>
      </w:r>
      <w:r>
        <w:rPr>
          <w:i/>
          <w:iCs/>
          <w:rtl/>
          <w:lang w:bidi="ar-EG"/>
        </w:rPr>
        <w:t>–</w:t>
      </w:r>
      <w:r>
        <w:rPr>
          <w:rFonts w:hint="cs"/>
          <w:i/>
          <w:iCs/>
          <w:rtl/>
          <w:lang w:bidi="ar-EG"/>
        </w:rPr>
        <w:t>مشروع مبنى مقر الاتحاد</w:t>
      </w:r>
    </w:p>
    <w:p w14:paraId="6B0FB6BF" w14:textId="77777777" w:rsidR="00D375BA" w:rsidRDefault="00D375BA" w:rsidP="00E17F18">
      <w:pPr>
        <w:rPr>
          <w:lang w:bidi="ar-EG"/>
        </w:rPr>
      </w:pPr>
      <w:r>
        <w:rPr>
          <w:lang w:bidi="ar-EG"/>
        </w:rPr>
        <w:t>24</w:t>
      </w:r>
      <w:r>
        <w:rPr>
          <w:lang w:bidi="ar-EG"/>
        </w:rPr>
        <w:tab/>
      </w:r>
      <w:r>
        <w:rPr>
          <w:rFonts w:hint="cs"/>
          <w:rtl/>
          <w:lang w:bidi="ar-EG"/>
        </w:rPr>
        <w:t xml:space="preserve">في مايو 2023، طلبت الأمينة العامة للاتحاد من وحدة الرقابة إجراء استعراض مستقل </w:t>
      </w:r>
      <w:r w:rsidRPr="003A43F3">
        <w:rPr>
          <w:rtl/>
          <w:lang w:bidi="ar-EG"/>
        </w:rPr>
        <w:t xml:space="preserve">للمبالغ المالية الرئيسية ومتطلبات زيادة الميزانية المعروضة في الوثيقة </w:t>
      </w:r>
      <w:r w:rsidRPr="003A43F3">
        <w:rPr>
          <w:lang w:bidi="ar-EG"/>
        </w:rPr>
        <w:t>C23/7</w:t>
      </w:r>
      <w:r>
        <w:rPr>
          <w:rFonts w:hint="cs"/>
          <w:rtl/>
          <w:lang w:bidi="ar-EG"/>
        </w:rPr>
        <w:t>.</w:t>
      </w:r>
    </w:p>
    <w:p w14:paraId="54E2A9E2" w14:textId="77777777" w:rsidR="00D375BA" w:rsidRDefault="00D375BA" w:rsidP="00E17F18">
      <w:pPr>
        <w:rPr>
          <w:lang w:bidi="ar-EG"/>
        </w:rPr>
      </w:pPr>
      <w:r>
        <w:rPr>
          <w:lang w:bidi="ar-EG"/>
        </w:rPr>
        <w:t>25</w:t>
      </w:r>
      <w:r>
        <w:rPr>
          <w:lang w:bidi="ar-EG"/>
        </w:rPr>
        <w:tab/>
      </w:r>
      <w:r>
        <w:rPr>
          <w:rFonts w:hint="cs"/>
          <w:rtl/>
          <w:lang w:bidi="ar-EG"/>
        </w:rPr>
        <w:t>و</w:t>
      </w:r>
      <w:r w:rsidRPr="003A43F3">
        <w:rPr>
          <w:rtl/>
          <w:lang w:bidi="ar-EG"/>
        </w:rPr>
        <w:t xml:space="preserve">حدد الاستعراض </w:t>
      </w:r>
      <w:r>
        <w:rPr>
          <w:rFonts w:hint="cs"/>
          <w:rtl/>
          <w:lang w:bidi="ar-EG"/>
        </w:rPr>
        <w:t>أوجه قصور</w:t>
      </w:r>
      <w:r w:rsidRPr="003A43F3">
        <w:rPr>
          <w:rtl/>
          <w:lang w:bidi="ar-EG"/>
        </w:rPr>
        <w:t xml:space="preserve"> </w:t>
      </w:r>
      <w:r>
        <w:rPr>
          <w:rFonts w:hint="cs"/>
          <w:rtl/>
          <w:lang w:bidi="ar-EG"/>
        </w:rPr>
        <w:t>تتعلق</w:t>
      </w:r>
      <w:r w:rsidRPr="003A43F3">
        <w:rPr>
          <w:rtl/>
          <w:lang w:bidi="ar-EG"/>
        </w:rPr>
        <w:t xml:space="preserve"> </w:t>
      </w:r>
      <w:r>
        <w:rPr>
          <w:rFonts w:hint="cs"/>
          <w:rtl/>
          <w:lang w:bidi="ar-EG"/>
        </w:rPr>
        <w:t>بالميزانية المخصصة</w:t>
      </w:r>
      <w:r w:rsidRPr="003A43F3">
        <w:rPr>
          <w:rtl/>
          <w:lang w:bidi="ar-EG"/>
        </w:rPr>
        <w:t xml:space="preserve"> </w:t>
      </w:r>
      <w:r>
        <w:rPr>
          <w:rFonts w:hint="cs"/>
          <w:rtl/>
          <w:lang w:bidi="ar-EG"/>
        </w:rPr>
        <w:t>ل</w:t>
      </w:r>
      <w:r w:rsidRPr="003A43F3">
        <w:rPr>
          <w:rtl/>
          <w:lang w:bidi="ar-EG"/>
        </w:rPr>
        <w:t xml:space="preserve">تكلفة </w:t>
      </w:r>
      <w:r>
        <w:rPr>
          <w:rFonts w:hint="cs"/>
          <w:rtl/>
          <w:lang w:bidi="ar-EG"/>
        </w:rPr>
        <w:t>المشروع</w:t>
      </w:r>
      <w:r w:rsidRPr="003A43F3">
        <w:rPr>
          <w:rtl/>
          <w:lang w:bidi="ar-EG"/>
        </w:rPr>
        <w:t xml:space="preserve"> ورصدها؛ </w:t>
      </w:r>
      <w:r>
        <w:rPr>
          <w:rFonts w:hint="cs"/>
          <w:rtl/>
          <w:lang w:bidi="ar-EG"/>
        </w:rPr>
        <w:t>و</w:t>
      </w:r>
      <w:r w:rsidRPr="003A43F3">
        <w:rPr>
          <w:rtl/>
          <w:lang w:bidi="ar-EG"/>
        </w:rPr>
        <w:t xml:space="preserve">إدارة المخاطر؛ </w:t>
      </w:r>
      <w:r>
        <w:rPr>
          <w:rFonts w:hint="cs"/>
          <w:rtl/>
          <w:lang w:bidi="ar-EG"/>
        </w:rPr>
        <w:t>و</w:t>
      </w:r>
      <w:r w:rsidRPr="003A43F3">
        <w:rPr>
          <w:rtl/>
          <w:lang w:bidi="ar-EG"/>
        </w:rPr>
        <w:t>تكاليف المشر</w:t>
      </w:r>
      <w:r>
        <w:rPr>
          <w:rFonts w:hint="cs"/>
          <w:rtl/>
          <w:lang w:bidi="ar-EG"/>
        </w:rPr>
        <w:t>و</w:t>
      </w:r>
      <w:r w:rsidRPr="003A43F3">
        <w:rPr>
          <w:rtl/>
          <w:lang w:bidi="ar-EG"/>
        </w:rPr>
        <w:t xml:space="preserve">ع غير المباشرة؛ </w:t>
      </w:r>
      <w:r>
        <w:rPr>
          <w:rFonts w:hint="cs"/>
          <w:rtl/>
          <w:lang w:bidi="ar-EG"/>
        </w:rPr>
        <w:t>و</w:t>
      </w:r>
      <w:r w:rsidRPr="003A43F3">
        <w:rPr>
          <w:rtl/>
          <w:lang w:bidi="ar-EG"/>
        </w:rPr>
        <w:t>هيكل الإدارة والضوابط الداخلية. ونظرا</w:t>
      </w:r>
      <w:r>
        <w:rPr>
          <w:rFonts w:hint="cs"/>
          <w:rtl/>
          <w:lang w:bidi="ar-EG"/>
        </w:rPr>
        <w:t>ً</w:t>
      </w:r>
      <w:r w:rsidRPr="003A43F3">
        <w:rPr>
          <w:rtl/>
          <w:lang w:bidi="ar-EG"/>
        </w:rPr>
        <w:t xml:space="preserve"> </w:t>
      </w:r>
      <w:r>
        <w:rPr>
          <w:rFonts w:hint="cs"/>
          <w:rtl/>
          <w:lang w:bidi="ar-EG"/>
        </w:rPr>
        <w:t>لنوع المهمة</w:t>
      </w:r>
      <w:r w:rsidRPr="003A43F3">
        <w:rPr>
          <w:rtl/>
          <w:lang w:bidi="ar-EG"/>
        </w:rPr>
        <w:t xml:space="preserve"> ونطاق</w:t>
      </w:r>
      <w:r>
        <w:rPr>
          <w:rFonts w:hint="cs"/>
          <w:rtl/>
          <w:lang w:bidi="ar-EG"/>
        </w:rPr>
        <w:t xml:space="preserve">ها </w:t>
      </w:r>
      <w:r w:rsidRPr="003A43F3">
        <w:rPr>
          <w:rtl/>
          <w:lang w:bidi="ar-EG"/>
        </w:rPr>
        <w:t xml:space="preserve">(استعراض المبالغ المالية </w:t>
      </w:r>
      <w:r>
        <w:rPr>
          <w:rFonts w:hint="cs"/>
          <w:rtl/>
          <w:lang w:bidi="ar-EG"/>
        </w:rPr>
        <w:t xml:space="preserve">الواردة </w:t>
      </w:r>
      <w:r w:rsidRPr="003A43F3">
        <w:rPr>
          <w:rtl/>
          <w:lang w:bidi="ar-EG"/>
        </w:rPr>
        <w:t xml:space="preserve">في وثيقة </w:t>
      </w:r>
      <w:r>
        <w:rPr>
          <w:rFonts w:hint="cs"/>
          <w:rtl/>
          <w:lang w:bidi="ar-EG"/>
        </w:rPr>
        <w:t>ل</w:t>
      </w:r>
      <w:r w:rsidRPr="003A43F3">
        <w:rPr>
          <w:rtl/>
          <w:lang w:bidi="ar-EG"/>
        </w:rPr>
        <w:t xml:space="preserve">لمجلس) لم </w:t>
      </w:r>
      <w:r>
        <w:rPr>
          <w:rFonts w:hint="cs"/>
          <w:rtl/>
          <w:lang w:bidi="ar-EG"/>
        </w:rPr>
        <w:t>توضع</w:t>
      </w:r>
      <w:r w:rsidRPr="003A43F3">
        <w:rPr>
          <w:rtl/>
          <w:lang w:bidi="ar-EG"/>
        </w:rPr>
        <w:t xml:space="preserve"> أي توصيات. </w:t>
      </w:r>
      <w:r>
        <w:rPr>
          <w:rFonts w:hint="cs"/>
          <w:rtl/>
          <w:lang w:bidi="ar-EG"/>
        </w:rPr>
        <w:t>و</w:t>
      </w:r>
      <w:r w:rsidRPr="003A43F3">
        <w:rPr>
          <w:rtl/>
          <w:lang w:bidi="ar-EG"/>
        </w:rPr>
        <w:t xml:space="preserve">نهاية يونيو </w:t>
      </w:r>
      <w:r w:rsidRPr="003A43F3">
        <w:rPr>
          <w:cs/>
          <w:lang w:bidi="ar-EG"/>
        </w:rPr>
        <w:t>‎</w:t>
      </w:r>
      <w:r w:rsidRPr="003A43F3">
        <w:rPr>
          <w:lang w:bidi="ar-EG"/>
        </w:rPr>
        <w:t>2023</w:t>
      </w:r>
      <w:r w:rsidRPr="003A43F3">
        <w:rPr>
          <w:rtl/>
          <w:lang w:bidi="ar-EG"/>
        </w:rPr>
        <w:t xml:space="preserve">‏، </w:t>
      </w:r>
      <w:r>
        <w:rPr>
          <w:rFonts w:hint="cs"/>
          <w:rtl/>
          <w:lang w:bidi="ar-EG"/>
        </w:rPr>
        <w:t>أحالت وحدة الرقابة</w:t>
      </w:r>
      <w:r w:rsidRPr="003A43F3">
        <w:rPr>
          <w:rtl/>
          <w:lang w:bidi="ar-EG"/>
        </w:rPr>
        <w:t xml:space="preserve"> </w:t>
      </w:r>
      <w:r>
        <w:rPr>
          <w:rFonts w:hint="cs"/>
          <w:rtl/>
          <w:lang w:bidi="ar-EG"/>
        </w:rPr>
        <w:t>ال</w:t>
      </w:r>
      <w:r w:rsidRPr="003A43F3">
        <w:rPr>
          <w:rtl/>
          <w:lang w:bidi="ar-EG"/>
        </w:rPr>
        <w:t>تقرير النهائي إلى الأمين</w:t>
      </w:r>
      <w:r>
        <w:rPr>
          <w:rFonts w:hint="cs"/>
          <w:rtl/>
          <w:lang w:bidi="ar-EG"/>
        </w:rPr>
        <w:t>ة</w:t>
      </w:r>
      <w:r w:rsidRPr="003A43F3">
        <w:rPr>
          <w:rtl/>
          <w:lang w:bidi="ar-EG"/>
        </w:rPr>
        <w:t xml:space="preserve"> العام</w:t>
      </w:r>
      <w:r>
        <w:rPr>
          <w:rFonts w:hint="cs"/>
          <w:rtl/>
          <w:lang w:bidi="ar-EG"/>
        </w:rPr>
        <w:t>ة.</w:t>
      </w:r>
      <w:r w:rsidRPr="003A43F3">
        <w:rPr>
          <w:cs/>
          <w:lang w:bidi="ar-EG"/>
        </w:rPr>
        <w:t>‎</w:t>
      </w:r>
    </w:p>
    <w:p w14:paraId="169C1D8B" w14:textId="77777777" w:rsidR="00D375BA" w:rsidRPr="00E17F18" w:rsidRDefault="00D375BA" w:rsidP="00E17F18">
      <w:pPr>
        <w:pStyle w:val="Headingb"/>
        <w:rPr>
          <w:rtl/>
        </w:rPr>
      </w:pPr>
      <w:r w:rsidRPr="00E17F18">
        <w:rPr>
          <w:rtl/>
        </w:rPr>
        <w:t>متابعة تنفيذ توصيات وحدة المراجعة الداخلية</w:t>
      </w:r>
    </w:p>
    <w:p w14:paraId="16C7823A" w14:textId="49255BA3" w:rsidR="00D375BA" w:rsidRDefault="00D375BA" w:rsidP="008B21A9">
      <w:pPr>
        <w:spacing w:after="120"/>
      </w:pPr>
      <w:r>
        <w:rPr>
          <w:lang w:bidi="ar-EG"/>
        </w:rPr>
        <w:t>26</w:t>
      </w:r>
      <w:r>
        <w:rPr>
          <w:lang w:bidi="ar-EG"/>
        </w:rPr>
        <w:tab/>
      </w:r>
      <w:r w:rsidRPr="00F816BC">
        <w:rPr>
          <w:rtl/>
        </w:rPr>
        <w:t xml:space="preserve">واصلت وحدة </w:t>
      </w:r>
      <w:r>
        <w:rPr>
          <w:rFonts w:hint="cs"/>
          <w:rtl/>
        </w:rPr>
        <w:t>الرقابة</w:t>
      </w:r>
      <w:r w:rsidRPr="00F816BC">
        <w:rPr>
          <w:rFonts w:hint="cs"/>
          <w:rtl/>
        </w:rPr>
        <w:t>،</w:t>
      </w:r>
      <w:r w:rsidRPr="00F816BC">
        <w:rPr>
          <w:rtl/>
        </w:rPr>
        <w:t xml:space="preserve"> طيلة الفترة </w:t>
      </w:r>
      <w:r w:rsidRPr="00F816BC">
        <w:rPr>
          <w:rFonts w:hint="cs"/>
          <w:rtl/>
        </w:rPr>
        <w:t>التي يشملها</w:t>
      </w:r>
      <w:r w:rsidRPr="00F816BC">
        <w:rPr>
          <w:rtl/>
        </w:rPr>
        <w:t xml:space="preserve"> التقرير</w:t>
      </w:r>
      <w:r w:rsidRPr="00F816BC">
        <w:rPr>
          <w:rFonts w:hint="cs"/>
          <w:rtl/>
        </w:rPr>
        <w:t>،</w:t>
      </w:r>
      <w:r w:rsidRPr="00F816BC">
        <w:rPr>
          <w:rtl/>
        </w:rPr>
        <w:t xml:space="preserve"> متابعة تنفيذ التوصيات التي قُدمت في تقارير المراجعة السابقة.</w:t>
      </w:r>
      <w:r w:rsidRPr="00F816BC">
        <w:rPr>
          <w:rFonts w:hint="cs"/>
          <w:rtl/>
        </w:rPr>
        <w:t xml:space="preserve"> </w:t>
      </w:r>
      <w:r w:rsidRPr="00F816BC">
        <w:rPr>
          <w:rtl/>
        </w:rPr>
        <w:t xml:space="preserve">كما ناقشت </w:t>
      </w:r>
      <w:r w:rsidRPr="00F816BC">
        <w:rPr>
          <w:rFonts w:hint="cs"/>
          <w:rtl/>
        </w:rPr>
        <w:t>الوحدة</w:t>
      </w:r>
      <w:r w:rsidRPr="00F816BC">
        <w:rPr>
          <w:rtl/>
        </w:rPr>
        <w:t xml:space="preserve"> بانتظام نتائج </w:t>
      </w:r>
      <w:r>
        <w:rPr>
          <w:rFonts w:hint="cs"/>
          <w:rtl/>
        </w:rPr>
        <w:t xml:space="preserve">هذه </w:t>
      </w:r>
      <w:r w:rsidRPr="00F816BC">
        <w:rPr>
          <w:rtl/>
        </w:rPr>
        <w:t>المتابعة في اجتماعها مع</w:t>
      </w:r>
      <w:r w:rsidRPr="00F816BC">
        <w:rPr>
          <w:rFonts w:hint="cs"/>
          <w:rtl/>
        </w:rPr>
        <w:t xml:space="preserve"> </w:t>
      </w:r>
      <w:r w:rsidRPr="00F816BC">
        <w:rPr>
          <w:rtl/>
        </w:rPr>
        <w:t xml:space="preserve">اللجنة الاستشارية المستقلة للإدارة </w:t>
      </w:r>
      <w:r>
        <w:t>(</w:t>
      </w:r>
      <w:r w:rsidRPr="00F816BC">
        <w:rPr>
          <w:lang w:bidi="ar-EG"/>
        </w:rPr>
        <w:t>IMAC</w:t>
      </w:r>
      <w:r>
        <w:rPr>
          <w:lang w:bidi="ar-EG"/>
        </w:rPr>
        <w:t>)</w:t>
      </w:r>
      <w:r w:rsidRPr="00F816BC">
        <w:rPr>
          <w:rtl/>
        </w:rPr>
        <w:t xml:space="preserve">. </w:t>
      </w:r>
      <w:r w:rsidRPr="00F816BC">
        <w:rPr>
          <w:rFonts w:hint="cs"/>
          <w:rtl/>
        </w:rPr>
        <w:t>و</w:t>
      </w:r>
      <w:r w:rsidRPr="00F816BC">
        <w:rPr>
          <w:rtl/>
        </w:rPr>
        <w:t>كما</w:t>
      </w:r>
      <w:r w:rsidRPr="00F816BC">
        <w:rPr>
          <w:rFonts w:hint="cs"/>
          <w:rtl/>
        </w:rPr>
        <w:t> </w:t>
      </w:r>
      <w:r w:rsidRPr="00F816BC">
        <w:rPr>
          <w:rtl/>
        </w:rPr>
        <w:t xml:space="preserve">ذكر أعلاه، </w:t>
      </w:r>
      <w:r w:rsidRPr="00F816BC">
        <w:rPr>
          <w:rFonts w:hint="cs"/>
          <w:rtl/>
        </w:rPr>
        <w:t>قدمت</w:t>
      </w:r>
      <w:r w:rsidRPr="00F816BC">
        <w:rPr>
          <w:rtl/>
        </w:rPr>
        <w:t xml:space="preserve"> وثيقة إعلامية منفصلة إلى دورة المجلس لعام </w:t>
      </w:r>
      <w:r>
        <w:t>2024</w:t>
      </w:r>
      <w:r w:rsidRPr="00F816BC">
        <w:rPr>
          <w:rtl/>
        </w:rPr>
        <w:t xml:space="preserve"> </w:t>
      </w:r>
      <w:r w:rsidRPr="00F816BC">
        <w:rPr>
          <w:rFonts w:hint="cs"/>
          <w:rtl/>
        </w:rPr>
        <w:t>تضمنت</w:t>
      </w:r>
      <w:r w:rsidRPr="00F816BC">
        <w:rPr>
          <w:rtl/>
        </w:rPr>
        <w:t xml:space="preserve"> متابعة توصيات </w:t>
      </w:r>
      <w:r w:rsidRPr="003C7D26">
        <w:rPr>
          <w:u w:val="single"/>
          <w:rtl/>
        </w:rPr>
        <w:t>المراجعة الداخلية</w:t>
      </w:r>
      <w:r w:rsidRPr="00F816BC">
        <w:rPr>
          <w:rtl/>
        </w:rPr>
        <w:t xml:space="preserve"> وإجراءات </w:t>
      </w:r>
      <w:r w:rsidRPr="003C7D26">
        <w:rPr>
          <w:rFonts w:hint="cs"/>
          <w:u w:val="single"/>
          <w:rtl/>
        </w:rPr>
        <w:t>المراجعة</w:t>
      </w:r>
      <w:r w:rsidRPr="003C7D26">
        <w:rPr>
          <w:u w:val="single"/>
          <w:rtl/>
        </w:rPr>
        <w:t xml:space="preserve"> الجنائي</w:t>
      </w:r>
      <w:r w:rsidRPr="003C7D26">
        <w:rPr>
          <w:rFonts w:hint="cs"/>
          <w:u w:val="single"/>
          <w:rtl/>
        </w:rPr>
        <w:t>ة</w:t>
      </w:r>
      <w:r w:rsidRPr="00F816BC">
        <w:rPr>
          <w:rtl/>
        </w:rPr>
        <w:t xml:space="preserve">. ولوحظ مزيد من التقدم في تنفيذ توصيات </w:t>
      </w:r>
      <w:r w:rsidRPr="00F816BC">
        <w:rPr>
          <w:rFonts w:hint="cs"/>
          <w:rtl/>
        </w:rPr>
        <w:t>المراجعة</w:t>
      </w:r>
      <w:r w:rsidRPr="00F816BC">
        <w:rPr>
          <w:rtl/>
        </w:rPr>
        <w:t xml:space="preserve"> الداخلي</w:t>
      </w:r>
      <w:r w:rsidRPr="00F816BC">
        <w:rPr>
          <w:rFonts w:hint="cs"/>
          <w:rtl/>
        </w:rPr>
        <w:t>ة</w:t>
      </w:r>
      <w:r w:rsidRPr="00F816BC">
        <w:rPr>
          <w:rtl/>
        </w:rPr>
        <w:t xml:space="preserve"> حتى 31 مارس </w:t>
      </w:r>
      <w:r>
        <w:t>2024</w:t>
      </w:r>
      <w:r w:rsidRPr="00F816BC">
        <w:rPr>
          <w:rtl/>
        </w:rPr>
        <w:t>، على النحو المبين أدناه:</w:t>
      </w:r>
    </w:p>
    <w:tbl>
      <w:tblPr>
        <w:tblStyle w:val="TableGrid"/>
        <w:bidiVisual/>
        <w:tblW w:w="5000" w:type="pct"/>
        <w:tblLook w:val="04A0" w:firstRow="1" w:lastRow="0" w:firstColumn="1" w:lastColumn="0" w:noHBand="0" w:noVBand="1"/>
      </w:tblPr>
      <w:tblGrid>
        <w:gridCol w:w="3109"/>
        <w:gridCol w:w="696"/>
        <w:gridCol w:w="696"/>
        <w:gridCol w:w="693"/>
        <w:gridCol w:w="732"/>
        <w:gridCol w:w="661"/>
        <w:gridCol w:w="695"/>
        <w:gridCol w:w="693"/>
        <w:gridCol w:w="695"/>
        <w:gridCol w:w="959"/>
      </w:tblGrid>
      <w:tr w:rsidR="00D25B65" w:rsidRPr="00E550A1" w14:paraId="438B52B0" w14:textId="77777777" w:rsidTr="00E550A1">
        <w:trPr>
          <w:trHeight w:val="300"/>
        </w:trPr>
        <w:tc>
          <w:tcPr>
            <w:tcW w:w="1614" w:type="pct"/>
            <w:shd w:val="clear" w:color="auto" w:fill="000000" w:themeFill="text1"/>
            <w:noWrap/>
            <w:hideMark/>
          </w:tcPr>
          <w:p w14:paraId="03A2D5F3" w14:textId="77777777" w:rsidR="00D25B65" w:rsidRPr="00E550A1" w:rsidRDefault="00D25B65" w:rsidP="001F3951">
            <w:pPr>
              <w:pStyle w:val="TableHead"/>
              <w:rPr>
                <w:lang w:eastAsia="en-GB"/>
              </w:rPr>
            </w:pPr>
            <w:r w:rsidRPr="00E550A1">
              <w:rPr>
                <w:rtl/>
                <w:lang w:eastAsia="en-GB"/>
              </w:rPr>
              <w:t>حالة تنفيذ توصيات المراجعة الداخلية</w:t>
            </w:r>
          </w:p>
        </w:tc>
        <w:tc>
          <w:tcPr>
            <w:tcW w:w="361" w:type="pct"/>
            <w:shd w:val="clear" w:color="auto" w:fill="000000" w:themeFill="text1"/>
            <w:noWrap/>
            <w:hideMark/>
          </w:tcPr>
          <w:p w14:paraId="18F670AB" w14:textId="77777777" w:rsidR="00D25B65" w:rsidRPr="00E550A1" w:rsidRDefault="00D25B65" w:rsidP="001F3951">
            <w:pPr>
              <w:pStyle w:val="TableHead"/>
              <w:rPr>
                <w:lang w:eastAsia="en-GB"/>
              </w:rPr>
            </w:pPr>
            <w:r w:rsidRPr="00E550A1">
              <w:rPr>
                <w:lang w:eastAsia="en-GB"/>
              </w:rPr>
              <w:t>2016</w:t>
            </w:r>
          </w:p>
        </w:tc>
        <w:tc>
          <w:tcPr>
            <w:tcW w:w="361" w:type="pct"/>
            <w:shd w:val="clear" w:color="auto" w:fill="000000" w:themeFill="text1"/>
            <w:noWrap/>
            <w:hideMark/>
          </w:tcPr>
          <w:p w14:paraId="414D1C19" w14:textId="77777777" w:rsidR="00D25B65" w:rsidRPr="00E550A1" w:rsidRDefault="00D25B65" w:rsidP="001F3951">
            <w:pPr>
              <w:pStyle w:val="TableHead"/>
              <w:rPr>
                <w:lang w:eastAsia="en-GB"/>
              </w:rPr>
            </w:pPr>
            <w:r w:rsidRPr="00E550A1">
              <w:rPr>
                <w:lang w:eastAsia="en-GB"/>
              </w:rPr>
              <w:t>2017</w:t>
            </w:r>
          </w:p>
        </w:tc>
        <w:tc>
          <w:tcPr>
            <w:tcW w:w="360" w:type="pct"/>
            <w:shd w:val="clear" w:color="auto" w:fill="000000" w:themeFill="text1"/>
            <w:noWrap/>
            <w:hideMark/>
          </w:tcPr>
          <w:p w14:paraId="463BCBF7" w14:textId="77777777" w:rsidR="00D25B65" w:rsidRPr="00E550A1" w:rsidRDefault="00D25B65" w:rsidP="001F3951">
            <w:pPr>
              <w:pStyle w:val="TableHead"/>
              <w:rPr>
                <w:lang w:eastAsia="en-GB"/>
              </w:rPr>
            </w:pPr>
            <w:r w:rsidRPr="00E550A1">
              <w:rPr>
                <w:lang w:eastAsia="en-GB"/>
              </w:rPr>
              <w:t>2018</w:t>
            </w:r>
          </w:p>
        </w:tc>
        <w:tc>
          <w:tcPr>
            <w:tcW w:w="380" w:type="pct"/>
            <w:shd w:val="clear" w:color="auto" w:fill="000000" w:themeFill="text1"/>
            <w:noWrap/>
            <w:hideMark/>
          </w:tcPr>
          <w:p w14:paraId="7F0C973F" w14:textId="77777777" w:rsidR="00D25B65" w:rsidRPr="00E550A1" w:rsidRDefault="00D25B65" w:rsidP="001F3951">
            <w:pPr>
              <w:pStyle w:val="TableHead"/>
              <w:rPr>
                <w:lang w:eastAsia="en-GB"/>
              </w:rPr>
            </w:pPr>
            <w:r w:rsidRPr="00E550A1">
              <w:rPr>
                <w:lang w:eastAsia="en-GB"/>
              </w:rPr>
              <w:t>2019</w:t>
            </w:r>
          </w:p>
        </w:tc>
        <w:tc>
          <w:tcPr>
            <w:tcW w:w="343" w:type="pct"/>
            <w:shd w:val="clear" w:color="auto" w:fill="000000" w:themeFill="text1"/>
            <w:noWrap/>
            <w:hideMark/>
          </w:tcPr>
          <w:p w14:paraId="211347E5" w14:textId="77777777" w:rsidR="00D25B65" w:rsidRPr="00E550A1" w:rsidRDefault="00D25B65" w:rsidP="001F3951">
            <w:pPr>
              <w:pStyle w:val="TableHead"/>
              <w:rPr>
                <w:lang w:eastAsia="en-GB"/>
              </w:rPr>
            </w:pPr>
            <w:r w:rsidRPr="00E550A1">
              <w:rPr>
                <w:lang w:eastAsia="en-GB"/>
              </w:rPr>
              <w:t>2020</w:t>
            </w:r>
          </w:p>
        </w:tc>
        <w:tc>
          <w:tcPr>
            <w:tcW w:w="361" w:type="pct"/>
            <w:shd w:val="clear" w:color="auto" w:fill="000000" w:themeFill="text1"/>
            <w:noWrap/>
            <w:hideMark/>
          </w:tcPr>
          <w:p w14:paraId="7BB9E757" w14:textId="77777777" w:rsidR="00D25B65" w:rsidRPr="00E550A1" w:rsidRDefault="00D25B65" w:rsidP="001F3951">
            <w:pPr>
              <w:pStyle w:val="TableHead"/>
              <w:rPr>
                <w:lang w:eastAsia="en-GB"/>
              </w:rPr>
            </w:pPr>
            <w:r w:rsidRPr="00E550A1">
              <w:rPr>
                <w:lang w:eastAsia="en-GB"/>
              </w:rPr>
              <w:t>2021</w:t>
            </w:r>
          </w:p>
        </w:tc>
        <w:tc>
          <w:tcPr>
            <w:tcW w:w="360" w:type="pct"/>
            <w:shd w:val="clear" w:color="auto" w:fill="000000" w:themeFill="text1"/>
            <w:noWrap/>
            <w:hideMark/>
          </w:tcPr>
          <w:p w14:paraId="25ECFBEE" w14:textId="77777777" w:rsidR="00D25B65" w:rsidRPr="00E550A1" w:rsidRDefault="00D25B65" w:rsidP="001F3951">
            <w:pPr>
              <w:pStyle w:val="TableHead"/>
              <w:rPr>
                <w:lang w:eastAsia="en-GB"/>
              </w:rPr>
            </w:pPr>
            <w:r w:rsidRPr="00E550A1">
              <w:rPr>
                <w:lang w:eastAsia="en-GB"/>
              </w:rPr>
              <w:t>2022</w:t>
            </w:r>
          </w:p>
        </w:tc>
        <w:tc>
          <w:tcPr>
            <w:tcW w:w="361" w:type="pct"/>
            <w:shd w:val="clear" w:color="auto" w:fill="000000" w:themeFill="text1"/>
            <w:noWrap/>
            <w:hideMark/>
          </w:tcPr>
          <w:p w14:paraId="0F898EBD" w14:textId="77777777" w:rsidR="00D25B65" w:rsidRPr="00E550A1" w:rsidRDefault="00D25B65" w:rsidP="001F3951">
            <w:pPr>
              <w:pStyle w:val="TableHead"/>
              <w:rPr>
                <w:lang w:eastAsia="en-GB"/>
              </w:rPr>
            </w:pPr>
            <w:r w:rsidRPr="00E550A1">
              <w:rPr>
                <w:lang w:eastAsia="en-GB"/>
              </w:rPr>
              <w:t>2023</w:t>
            </w:r>
          </w:p>
        </w:tc>
        <w:tc>
          <w:tcPr>
            <w:tcW w:w="498" w:type="pct"/>
            <w:shd w:val="clear" w:color="auto" w:fill="000000" w:themeFill="text1"/>
            <w:noWrap/>
            <w:hideMark/>
          </w:tcPr>
          <w:p w14:paraId="2B35A1C2" w14:textId="77777777" w:rsidR="00D25B65" w:rsidRPr="00E550A1" w:rsidRDefault="00D25B65" w:rsidP="001F3951">
            <w:pPr>
              <w:pStyle w:val="TableHead"/>
              <w:rPr>
                <w:lang w:eastAsia="en-GB"/>
              </w:rPr>
            </w:pPr>
            <w:r w:rsidRPr="00E550A1">
              <w:rPr>
                <w:rtl/>
                <w:lang w:eastAsia="en-GB"/>
              </w:rPr>
              <w:t>المجموع</w:t>
            </w:r>
          </w:p>
        </w:tc>
      </w:tr>
      <w:tr w:rsidR="00E550A1" w:rsidRPr="00E550A1" w14:paraId="4613FB22" w14:textId="77777777" w:rsidTr="00E550A1">
        <w:trPr>
          <w:trHeight w:val="288"/>
        </w:trPr>
        <w:tc>
          <w:tcPr>
            <w:tcW w:w="1614" w:type="pct"/>
            <w:noWrap/>
            <w:hideMark/>
          </w:tcPr>
          <w:p w14:paraId="52F00127" w14:textId="2026E08F" w:rsidR="00E550A1" w:rsidRPr="00E550A1" w:rsidRDefault="00E550A1" w:rsidP="00E550A1">
            <w:pPr>
              <w:pStyle w:val="Tabletexte"/>
            </w:pPr>
            <w:r w:rsidRPr="00E550A1">
              <w:rPr>
                <w:rtl/>
              </w:rPr>
              <w:t>عدد تقارير/مذكرات المراجعة</w:t>
            </w:r>
          </w:p>
        </w:tc>
        <w:tc>
          <w:tcPr>
            <w:tcW w:w="361" w:type="pct"/>
            <w:noWrap/>
            <w:vAlign w:val="center"/>
            <w:hideMark/>
          </w:tcPr>
          <w:p w14:paraId="5C691F7D" w14:textId="52E19132" w:rsidR="00E550A1" w:rsidRPr="00E550A1" w:rsidRDefault="00E550A1" w:rsidP="00CA5A4A">
            <w:pPr>
              <w:pStyle w:val="Tabletexte"/>
              <w:jc w:val="left"/>
            </w:pPr>
            <w:r w:rsidRPr="00E550A1">
              <w:rPr>
                <w:color w:val="000000"/>
                <w:lang w:eastAsia="en-GB"/>
              </w:rPr>
              <w:t>4</w:t>
            </w:r>
          </w:p>
        </w:tc>
        <w:tc>
          <w:tcPr>
            <w:tcW w:w="361" w:type="pct"/>
            <w:noWrap/>
            <w:vAlign w:val="center"/>
            <w:hideMark/>
          </w:tcPr>
          <w:p w14:paraId="47E9F4F2" w14:textId="41AE5D44" w:rsidR="00E550A1" w:rsidRPr="00E550A1" w:rsidRDefault="00E550A1" w:rsidP="00CA5A4A">
            <w:pPr>
              <w:pStyle w:val="Tabletexte"/>
              <w:jc w:val="left"/>
            </w:pPr>
            <w:r w:rsidRPr="00E550A1">
              <w:rPr>
                <w:color w:val="000000"/>
                <w:lang w:eastAsia="en-GB"/>
              </w:rPr>
              <w:t>6</w:t>
            </w:r>
          </w:p>
        </w:tc>
        <w:tc>
          <w:tcPr>
            <w:tcW w:w="360" w:type="pct"/>
            <w:noWrap/>
            <w:vAlign w:val="center"/>
            <w:hideMark/>
          </w:tcPr>
          <w:p w14:paraId="7566CF63" w14:textId="0EC59F13" w:rsidR="00E550A1" w:rsidRPr="00E550A1" w:rsidRDefault="00E550A1" w:rsidP="00CA5A4A">
            <w:pPr>
              <w:pStyle w:val="Tabletexte"/>
              <w:jc w:val="left"/>
            </w:pPr>
            <w:r w:rsidRPr="00E550A1">
              <w:rPr>
                <w:color w:val="000000"/>
                <w:lang w:eastAsia="en-GB"/>
              </w:rPr>
              <w:t>4</w:t>
            </w:r>
          </w:p>
        </w:tc>
        <w:tc>
          <w:tcPr>
            <w:tcW w:w="380" w:type="pct"/>
            <w:noWrap/>
            <w:vAlign w:val="center"/>
            <w:hideMark/>
          </w:tcPr>
          <w:p w14:paraId="042F0340" w14:textId="60B11B6A" w:rsidR="00E550A1" w:rsidRPr="00E550A1" w:rsidRDefault="00E550A1" w:rsidP="00CA5A4A">
            <w:pPr>
              <w:pStyle w:val="Tabletexte"/>
              <w:jc w:val="left"/>
            </w:pPr>
            <w:r w:rsidRPr="00E550A1">
              <w:rPr>
                <w:color w:val="000000"/>
                <w:lang w:eastAsia="en-GB"/>
              </w:rPr>
              <w:t>2</w:t>
            </w:r>
          </w:p>
        </w:tc>
        <w:tc>
          <w:tcPr>
            <w:tcW w:w="343" w:type="pct"/>
            <w:noWrap/>
            <w:vAlign w:val="center"/>
            <w:hideMark/>
          </w:tcPr>
          <w:p w14:paraId="1A9C7283" w14:textId="0D0A5D7E" w:rsidR="00E550A1" w:rsidRPr="00E550A1" w:rsidRDefault="00E550A1" w:rsidP="00CA5A4A">
            <w:pPr>
              <w:pStyle w:val="Tabletexte"/>
              <w:jc w:val="left"/>
            </w:pPr>
            <w:r w:rsidRPr="00E550A1">
              <w:rPr>
                <w:color w:val="000000"/>
                <w:lang w:eastAsia="en-GB"/>
              </w:rPr>
              <w:t>2</w:t>
            </w:r>
          </w:p>
        </w:tc>
        <w:tc>
          <w:tcPr>
            <w:tcW w:w="361" w:type="pct"/>
            <w:noWrap/>
            <w:vAlign w:val="center"/>
            <w:hideMark/>
          </w:tcPr>
          <w:p w14:paraId="7EE1D145" w14:textId="6F620D6D" w:rsidR="00E550A1" w:rsidRPr="00E550A1" w:rsidRDefault="00E550A1" w:rsidP="00CA5A4A">
            <w:pPr>
              <w:pStyle w:val="Tabletexte"/>
              <w:jc w:val="left"/>
            </w:pPr>
            <w:r w:rsidRPr="00E550A1">
              <w:rPr>
                <w:color w:val="000000"/>
                <w:lang w:eastAsia="en-GB"/>
              </w:rPr>
              <w:t>2</w:t>
            </w:r>
          </w:p>
        </w:tc>
        <w:tc>
          <w:tcPr>
            <w:tcW w:w="360" w:type="pct"/>
            <w:noWrap/>
            <w:vAlign w:val="center"/>
            <w:hideMark/>
          </w:tcPr>
          <w:p w14:paraId="3826416C" w14:textId="553B375E" w:rsidR="00E550A1" w:rsidRPr="00E550A1" w:rsidRDefault="00E550A1" w:rsidP="00CA5A4A">
            <w:pPr>
              <w:pStyle w:val="Tabletexte"/>
              <w:jc w:val="left"/>
            </w:pPr>
            <w:r w:rsidRPr="00E550A1">
              <w:rPr>
                <w:color w:val="000000"/>
                <w:lang w:eastAsia="en-GB"/>
              </w:rPr>
              <w:t>3</w:t>
            </w:r>
          </w:p>
        </w:tc>
        <w:tc>
          <w:tcPr>
            <w:tcW w:w="361" w:type="pct"/>
            <w:noWrap/>
            <w:vAlign w:val="center"/>
            <w:hideMark/>
          </w:tcPr>
          <w:p w14:paraId="2EA8A1BB" w14:textId="1EBCE706" w:rsidR="00E550A1" w:rsidRPr="00E550A1" w:rsidRDefault="00E550A1" w:rsidP="00CA5A4A">
            <w:pPr>
              <w:pStyle w:val="Tabletexte"/>
              <w:jc w:val="left"/>
            </w:pPr>
            <w:r w:rsidRPr="00E550A1">
              <w:rPr>
                <w:color w:val="000000"/>
                <w:lang w:eastAsia="en-GB"/>
              </w:rPr>
              <w:t>2</w:t>
            </w:r>
          </w:p>
        </w:tc>
        <w:tc>
          <w:tcPr>
            <w:tcW w:w="498" w:type="pct"/>
            <w:noWrap/>
            <w:vAlign w:val="center"/>
            <w:hideMark/>
          </w:tcPr>
          <w:p w14:paraId="16514014" w14:textId="6A6E9BBD" w:rsidR="00E550A1" w:rsidRPr="00E550A1" w:rsidRDefault="00E550A1" w:rsidP="00CA5A4A">
            <w:pPr>
              <w:pStyle w:val="Tabletexte"/>
              <w:jc w:val="left"/>
            </w:pPr>
            <w:r w:rsidRPr="00E550A1">
              <w:rPr>
                <w:color w:val="000000"/>
                <w:lang w:eastAsia="en-GB"/>
              </w:rPr>
              <w:t>25</w:t>
            </w:r>
          </w:p>
        </w:tc>
      </w:tr>
      <w:tr w:rsidR="00E550A1" w:rsidRPr="00E550A1" w14:paraId="7940B658" w14:textId="77777777" w:rsidTr="00E550A1">
        <w:trPr>
          <w:trHeight w:val="288"/>
        </w:trPr>
        <w:tc>
          <w:tcPr>
            <w:tcW w:w="1614" w:type="pct"/>
            <w:noWrap/>
            <w:hideMark/>
          </w:tcPr>
          <w:p w14:paraId="07962637" w14:textId="77777777" w:rsidR="00E550A1" w:rsidRPr="00E550A1" w:rsidRDefault="00E550A1" w:rsidP="00E550A1">
            <w:pPr>
              <w:pStyle w:val="Tabletexte"/>
              <w:rPr>
                <w:b/>
                <w:bCs/>
              </w:rPr>
            </w:pPr>
            <w:r w:rsidRPr="00E550A1">
              <w:rPr>
                <w:b/>
                <w:bCs/>
                <w:spacing w:val="-2"/>
                <w:rtl/>
              </w:rPr>
              <w:t>التوصيات</w:t>
            </w:r>
            <w:r w:rsidRPr="00E550A1">
              <w:rPr>
                <w:b/>
                <w:bCs/>
                <w:spacing w:val="-2"/>
              </w:rPr>
              <w:t> </w:t>
            </w:r>
            <w:r w:rsidRPr="00E550A1">
              <w:rPr>
                <w:b/>
                <w:bCs/>
                <w:spacing w:val="-2"/>
                <w:rtl/>
              </w:rPr>
              <w:t>-</w:t>
            </w:r>
            <w:r w:rsidRPr="00E550A1">
              <w:rPr>
                <w:b/>
                <w:bCs/>
                <w:spacing w:val="-2"/>
              </w:rPr>
              <w:t> </w:t>
            </w:r>
            <w:r w:rsidRPr="00E550A1">
              <w:rPr>
                <w:b/>
                <w:bCs/>
                <w:spacing w:val="-2"/>
                <w:rtl/>
              </w:rPr>
              <w:t>المجموع</w:t>
            </w:r>
          </w:p>
        </w:tc>
        <w:tc>
          <w:tcPr>
            <w:tcW w:w="361" w:type="pct"/>
            <w:noWrap/>
            <w:vAlign w:val="center"/>
            <w:hideMark/>
          </w:tcPr>
          <w:p w14:paraId="2644BDCF" w14:textId="75CF390E" w:rsidR="00E550A1" w:rsidRPr="00E550A1" w:rsidRDefault="00E550A1" w:rsidP="00CA5A4A">
            <w:pPr>
              <w:pStyle w:val="Tabletexte"/>
              <w:jc w:val="left"/>
              <w:rPr>
                <w:b/>
                <w:bCs/>
              </w:rPr>
            </w:pPr>
            <w:r w:rsidRPr="00E550A1">
              <w:rPr>
                <w:b/>
                <w:bCs/>
                <w:color w:val="000000"/>
                <w:lang w:eastAsia="en-GB"/>
              </w:rPr>
              <w:t>15</w:t>
            </w:r>
          </w:p>
        </w:tc>
        <w:tc>
          <w:tcPr>
            <w:tcW w:w="361" w:type="pct"/>
            <w:noWrap/>
            <w:vAlign w:val="center"/>
            <w:hideMark/>
          </w:tcPr>
          <w:p w14:paraId="36328006" w14:textId="2EE237C6" w:rsidR="00E550A1" w:rsidRPr="00E550A1" w:rsidRDefault="00E550A1" w:rsidP="00CA5A4A">
            <w:pPr>
              <w:pStyle w:val="Tabletexte"/>
              <w:jc w:val="left"/>
              <w:rPr>
                <w:b/>
                <w:bCs/>
              </w:rPr>
            </w:pPr>
            <w:r w:rsidRPr="00E550A1">
              <w:rPr>
                <w:b/>
                <w:bCs/>
                <w:color w:val="000000"/>
                <w:lang w:eastAsia="en-GB"/>
              </w:rPr>
              <w:t>46</w:t>
            </w:r>
          </w:p>
        </w:tc>
        <w:tc>
          <w:tcPr>
            <w:tcW w:w="360" w:type="pct"/>
            <w:noWrap/>
            <w:vAlign w:val="center"/>
            <w:hideMark/>
          </w:tcPr>
          <w:p w14:paraId="4A662724" w14:textId="2433FB82" w:rsidR="00E550A1" w:rsidRPr="00E550A1" w:rsidRDefault="00E550A1" w:rsidP="00CA5A4A">
            <w:pPr>
              <w:pStyle w:val="Tabletexte"/>
              <w:jc w:val="left"/>
              <w:rPr>
                <w:b/>
                <w:bCs/>
              </w:rPr>
            </w:pPr>
            <w:r w:rsidRPr="00E550A1">
              <w:rPr>
                <w:b/>
                <w:bCs/>
                <w:color w:val="000000"/>
                <w:lang w:eastAsia="en-GB"/>
              </w:rPr>
              <w:t>26</w:t>
            </w:r>
          </w:p>
        </w:tc>
        <w:tc>
          <w:tcPr>
            <w:tcW w:w="380" w:type="pct"/>
            <w:noWrap/>
            <w:vAlign w:val="center"/>
            <w:hideMark/>
          </w:tcPr>
          <w:p w14:paraId="4BF87C6D" w14:textId="51DC50C1" w:rsidR="00E550A1" w:rsidRPr="00E550A1" w:rsidRDefault="00E550A1" w:rsidP="00CA5A4A">
            <w:pPr>
              <w:pStyle w:val="Tabletexte"/>
              <w:jc w:val="left"/>
              <w:rPr>
                <w:b/>
                <w:bCs/>
              </w:rPr>
            </w:pPr>
            <w:r w:rsidRPr="00E550A1">
              <w:rPr>
                <w:b/>
                <w:bCs/>
                <w:color w:val="000000"/>
                <w:lang w:eastAsia="en-GB"/>
              </w:rPr>
              <w:t>15</w:t>
            </w:r>
          </w:p>
        </w:tc>
        <w:tc>
          <w:tcPr>
            <w:tcW w:w="343" w:type="pct"/>
            <w:noWrap/>
            <w:vAlign w:val="center"/>
            <w:hideMark/>
          </w:tcPr>
          <w:p w14:paraId="16CA2E1A" w14:textId="4D781757" w:rsidR="00E550A1" w:rsidRPr="00E550A1" w:rsidRDefault="00E550A1" w:rsidP="00CA5A4A">
            <w:pPr>
              <w:pStyle w:val="Tabletexte"/>
              <w:jc w:val="left"/>
              <w:rPr>
                <w:b/>
                <w:bCs/>
              </w:rPr>
            </w:pPr>
            <w:r w:rsidRPr="00E550A1">
              <w:rPr>
                <w:b/>
                <w:bCs/>
                <w:color w:val="000000"/>
                <w:lang w:eastAsia="en-GB"/>
              </w:rPr>
              <w:t>9</w:t>
            </w:r>
          </w:p>
        </w:tc>
        <w:tc>
          <w:tcPr>
            <w:tcW w:w="361" w:type="pct"/>
            <w:noWrap/>
            <w:vAlign w:val="center"/>
            <w:hideMark/>
          </w:tcPr>
          <w:p w14:paraId="65576061" w14:textId="73288E4E" w:rsidR="00E550A1" w:rsidRPr="00E550A1" w:rsidRDefault="00E550A1" w:rsidP="00CA5A4A">
            <w:pPr>
              <w:pStyle w:val="Tabletexte"/>
              <w:jc w:val="left"/>
              <w:rPr>
                <w:b/>
                <w:bCs/>
              </w:rPr>
            </w:pPr>
            <w:r w:rsidRPr="00E550A1">
              <w:rPr>
                <w:b/>
                <w:bCs/>
                <w:color w:val="000000"/>
                <w:lang w:eastAsia="en-GB"/>
              </w:rPr>
              <w:t>19</w:t>
            </w:r>
          </w:p>
        </w:tc>
        <w:tc>
          <w:tcPr>
            <w:tcW w:w="360" w:type="pct"/>
            <w:noWrap/>
            <w:vAlign w:val="center"/>
            <w:hideMark/>
          </w:tcPr>
          <w:p w14:paraId="64194745" w14:textId="67941428" w:rsidR="00E550A1" w:rsidRPr="00E550A1" w:rsidRDefault="00E550A1" w:rsidP="00CA5A4A">
            <w:pPr>
              <w:pStyle w:val="Tabletexte"/>
              <w:jc w:val="left"/>
              <w:rPr>
                <w:b/>
                <w:bCs/>
              </w:rPr>
            </w:pPr>
            <w:r w:rsidRPr="00E550A1">
              <w:rPr>
                <w:b/>
                <w:bCs/>
                <w:color w:val="000000"/>
                <w:lang w:eastAsia="en-GB"/>
              </w:rPr>
              <w:t>38</w:t>
            </w:r>
          </w:p>
        </w:tc>
        <w:tc>
          <w:tcPr>
            <w:tcW w:w="361" w:type="pct"/>
            <w:noWrap/>
            <w:vAlign w:val="center"/>
            <w:hideMark/>
          </w:tcPr>
          <w:p w14:paraId="38D020B2" w14:textId="549CFA09" w:rsidR="00E550A1" w:rsidRPr="00E550A1" w:rsidRDefault="00E550A1" w:rsidP="00CA5A4A">
            <w:pPr>
              <w:pStyle w:val="Tabletexte"/>
              <w:jc w:val="left"/>
              <w:rPr>
                <w:b/>
                <w:bCs/>
              </w:rPr>
            </w:pPr>
            <w:r w:rsidRPr="00E550A1">
              <w:rPr>
                <w:b/>
                <w:bCs/>
                <w:color w:val="000000"/>
                <w:lang w:eastAsia="en-GB"/>
              </w:rPr>
              <w:t>42</w:t>
            </w:r>
          </w:p>
        </w:tc>
        <w:tc>
          <w:tcPr>
            <w:tcW w:w="498" w:type="pct"/>
            <w:noWrap/>
            <w:vAlign w:val="center"/>
            <w:hideMark/>
          </w:tcPr>
          <w:p w14:paraId="23832575" w14:textId="68AE6607" w:rsidR="00E550A1" w:rsidRPr="00E550A1" w:rsidRDefault="00E550A1" w:rsidP="00CA5A4A">
            <w:pPr>
              <w:pStyle w:val="Tabletexte"/>
              <w:jc w:val="left"/>
              <w:rPr>
                <w:b/>
                <w:bCs/>
              </w:rPr>
            </w:pPr>
            <w:r w:rsidRPr="00E550A1">
              <w:rPr>
                <w:b/>
                <w:bCs/>
                <w:color w:val="000000"/>
                <w:lang w:eastAsia="en-GB"/>
              </w:rPr>
              <w:t>210</w:t>
            </w:r>
          </w:p>
        </w:tc>
      </w:tr>
      <w:tr w:rsidR="00E550A1" w:rsidRPr="00E550A1" w14:paraId="0C6C85C4" w14:textId="77777777" w:rsidTr="00E550A1">
        <w:trPr>
          <w:trHeight w:val="288"/>
        </w:trPr>
        <w:tc>
          <w:tcPr>
            <w:tcW w:w="1614" w:type="pct"/>
            <w:noWrap/>
            <w:hideMark/>
          </w:tcPr>
          <w:p w14:paraId="42A03AB1" w14:textId="27C3DF36" w:rsidR="00E550A1" w:rsidRPr="00E550A1" w:rsidRDefault="00E550A1" w:rsidP="00E550A1">
            <w:pPr>
              <w:pStyle w:val="Tabletexte"/>
              <w:tabs>
                <w:tab w:val="clear" w:pos="794"/>
                <w:tab w:val="left" w:pos="170"/>
              </w:tabs>
            </w:pPr>
            <w:r w:rsidRPr="00E550A1">
              <w:tab/>
            </w:r>
            <w:r w:rsidRPr="00E550A1">
              <w:rPr>
                <w:rtl/>
              </w:rPr>
              <w:t>الجاري تنفيذها</w:t>
            </w:r>
          </w:p>
        </w:tc>
        <w:tc>
          <w:tcPr>
            <w:tcW w:w="361" w:type="pct"/>
            <w:noWrap/>
            <w:vAlign w:val="center"/>
            <w:hideMark/>
          </w:tcPr>
          <w:p w14:paraId="17F8615C" w14:textId="0C1D9E8D" w:rsidR="00E550A1" w:rsidRPr="00E550A1" w:rsidRDefault="00E550A1" w:rsidP="00CA5A4A">
            <w:pPr>
              <w:pStyle w:val="Tabletexte"/>
              <w:jc w:val="left"/>
            </w:pPr>
            <w:r w:rsidRPr="00E550A1">
              <w:rPr>
                <w:color w:val="000000"/>
                <w:lang w:eastAsia="en-GB"/>
              </w:rPr>
              <w:t>2</w:t>
            </w:r>
          </w:p>
        </w:tc>
        <w:tc>
          <w:tcPr>
            <w:tcW w:w="361" w:type="pct"/>
            <w:noWrap/>
            <w:vAlign w:val="center"/>
            <w:hideMark/>
          </w:tcPr>
          <w:p w14:paraId="2EBBBDB8" w14:textId="4120DC0F" w:rsidR="00E550A1" w:rsidRPr="00E550A1" w:rsidRDefault="00E550A1" w:rsidP="00CA5A4A">
            <w:pPr>
              <w:pStyle w:val="Tabletexte"/>
              <w:jc w:val="left"/>
            </w:pPr>
            <w:r w:rsidRPr="00E550A1">
              <w:rPr>
                <w:color w:val="000000"/>
                <w:lang w:eastAsia="en-GB"/>
              </w:rPr>
              <w:t>5</w:t>
            </w:r>
          </w:p>
        </w:tc>
        <w:tc>
          <w:tcPr>
            <w:tcW w:w="360" w:type="pct"/>
            <w:noWrap/>
            <w:vAlign w:val="center"/>
            <w:hideMark/>
          </w:tcPr>
          <w:p w14:paraId="736A17A1" w14:textId="35B3C2DE" w:rsidR="00E550A1" w:rsidRPr="00E550A1" w:rsidRDefault="00E550A1" w:rsidP="00CA5A4A">
            <w:pPr>
              <w:pStyle w:val="Tabletexte"/>
              <w:jc w:val="left"/>
            </w:pPr>
            <w:r w:rsidRPr="00E550A1">
              <w:rPr>
                <w:color w:val="000000"/>
                <w:lang w:eastAsia="en-GB"/>
              </w:rPr>
              <w:t>3</w:t>
            </w:r>
          </w:p>
        </w:tc>
        <w:tc>
          <w:tcPr>
            <w:tcW w:w="380" w:type="pct"/>
            <w:noWrap/>
            <w:vAlign w:val="center"/>
            <w:hideMark/>
          </w:tcPr>
          <w:p w14:paraId="481968E2" w14:textId="70199772" w:rsidR="00E550A1" w:rsidRPr="00E550A1" w:rsidRDefault="00E550A1" w:rsidP="00CA5A4A">
            <w:pPr>
              <w:pStyle w:val="Tabletexte"/>
              <w:jc w:val="left"/>
            </w:pPr>
            <w:r w:rsidRPr="00E550A1">
              <w:rPr>
                <w:color w:val="000000"/>
                <w:lang w:eastAsia="en-GB"/>
              </w:rPr>
              <w:t>0</w:t>
            </w:r>
          </w:p>
        </w:tc>
        <w:tc>
          <w:tcPr>
            <w:tcW w:w="343" w:type="pct"/>
            <w:noWrap/>
            <w:vAlign w:val="center"/>
            <w:hideMark/>
          </w:tcPr>
          <w:p w14:paraId="11D98770" w14:textId="79676152" w:rsidR="00E550A1" w:rsidRPr="00E550A1" w:rsidRDefault="00E550A1" w:rsidP="00CA5A4A">
            <w:pPr>
              <w:pStyle w:val="Tabletexte"/>
              <w:jc w:val="left"/>
            </w:pPr>
            <w:r w:rsidRPr="00E550A1">
              <w:rPr>
                <w:color w:val="000000"/>
                <w:lang w:eastAsia="en-GB"/>
              </w:rPr>
              <w:t>1</w:t>
            </w:r>
          </w:p>
        </w:tc>
        <w:tc>
          <w:tcPr>
            <w:tcW w:w="361" w:type="pct"/>
            <w:noWrap/>
            <w:vAlign w:val="center"/>
            <w:hideMark/>
          </w:tcPr>
          <w:p w14:paraId="612D854A" w14:textId="37233A0E" w:rsidR="00E550A1" w:rsidRPr="00E550A1" w:rsidRDefault="00E550A1" w:rsidP="00CA5A4A">
            <w:pPr>
              <w:pStyle w:val="Tabletexte"/>
              <w:jc w:val="left"/>
            </w:pPr>
            <w:r w:rsidRPr="00E550A1">
              <w:rPr>
                <w:color w:val="000000"/>
                <w:lang w:eastAsia="en-GB"/>
              </w:rPr>
              <w:t>12</w:t>
            </w:r>
          </w:p>
        </w:tc>
        <w:tc>
          <w:tcPr>
            <w:tcW w:w="360" w:type="pct"/>
            <w:noWrap/>
            <w:vAlign w:val="center"/>
            <w:hideMark/>
          </w:tcPr>
          <w:p w14:paraId="2A5F4B2A" w14:textId="37DA02BB" w:rsidR="00E550A1" w:rsidRPr="00E550A1" w:rsidRDefault="00E550A1" w:rsidP="00CA5A4A">
            <w:pPr>
              <w:pStyle w:val="Tabletexte"/>
              <w:jc w:val="left"/>
            </w:pPr>
            <w:r w:rsidRPr="00E550A1">
              <w:rPr>
                <w:color w:val="000000"/>
                <w:lang w:eastAsia="en-GB"/>
              </w:rPr>
              <w:t>15</w:t>
            </w:r>
          </w:p>
        </w:tc>
        <w:tc>
          <w:tcPr>
            <w:tcW w:w="361" w:type="pct"/>
            <w:noWrap/>
            <w:vAlign w:val="center"/>
            <w:hideMark/>
          </w:tcPr>
          <w:p w14:paraId="24D35796" w14:textId="54280518" w:rsidR="00E550A1" w:rsidRPr="00E550A1" w:rsidRDefault="00E550A1" w:rsidP="00CA5A4A">
            <w:pPr>
              <w:pStyle w:val="Tabletexte"/>
              <w:jc w:val="left"/>
            </w:pPr>
            <w:r w:rsidRPr="00E550A1">
              <w:rPr>
                <w:color w:val="000000"/>
                <w:lang w:eastAsia="en-GB"/>
              </w:rPr>
              <w:t>24</w:t>
            </w:r>
          </w:p>
        </w:tc>
        <w:tc>
          <w:tcPr>
            <w:tcW w:w="498" w:type="pct"/>
            <w:noWrap/>
            <w:vAlign w:val="center"/>
            <w:hideMark/>
          </w:tcPr>
          <w:p w14:paraId="5AD3DA5A" w14:textId="3D271F79" w:rsidR="00E550A1" w:rsidRPr="00E550A1" w:rsidRDefault="00E550A1" w:rsidP="00CA5A4A">
            <w:pPr>
              <w:pStyle w:val="Tabletexte"/>
              <w:jc w:val="left"/>
            </w:pPr>
            <w:r w:rsidRPr="00E550A1">
              <w:rPr>
                <w:color w:val="000000"/>
                <w:lang w:eastAsia="en-GB"/>
              </w:rPr>
              <w:t>62</w:t>
            </w:r>
          </w:p>
        </w:tc>
      </w:tr>
      <w:tr w:rsidR="00E550A1" w:rsidRPr="00E550A1" w14:paraId="2A00296A" w14:textId="77777777" w:rsidTr="00E550A1">
        <w:trPr>
          <w:trHeight w:val="288"/>
        </w:trPr>
        <w:tc>
          <w:tcPr>
            <w:tcW w:w="1614" w:type="pct"/>
            <w:noWrap/>
            <w:hideMark/>
          </w:tcPr>
          <w:p w14:paraId="3A54663A" w14:textId="73ABBC69" w:rsidR="00E550A1" w:rsidRPr="00E550A1" w:rsidRDefault="00E550A1" w:rsidP="00E550A1">
            <w:pPr>
              <w:pStyle w:val="Tabletexte"/>
              <w:tabs>
                <w:tab w:val="clear" w:pos="794"/>
                <w:tab w:val="left" w:pos="170"/>
              </w:tabs>
            </w:pPr>
            <w:r w:rsidRPr="00E550A1">
              <w:tab/>
            </w:r>
            <w:r w:rsidRPr="00E550A1">
              <w:rPr>
                <w:rtl/>
              </w:rPr>
              <w:t>المتأخر تنفيذها/لم يبدأ تنفيذها</w:t>
            </w:r>
          </w:p>
        </w:tc>
        <w:tc>
          <w:tcPr>
            <w:tcW w:w="361" w:type="pct"/>
            <w:noWrap/>
            <w:vAlign w:val="center"/>
            <w:hideMark/>
          </w:tcPr>
          <w:p w14:paraId="52E2977C" w14:textId="13E759B1" w:rsidR="00E550A1" w:rsidRPr="00E550A1" w:rsidRDefault="00E550A1" w:rsidP="00CA5A4A">
            <w:pPr>
              <w:pStyle w:val="Tabletexte"/>
              <w:jc w:val="left"/>
            </w:pPr>
            <w:r w:rsidRPr="00E550A1">
              <w:rPr>
                <w:color w:val="000000"/>
                <w:lang w:eastAsia="en-GB"/>
              </w:rPr>
              <w:t>0</w:t>
            </w:r>
          </w:p>
        </w:tc>
        <w:tc>
          <w:tcPr>
            <w:tcW w:w="361" w:type="pct"/>
            <w:noWrap/>
            <w:vAlign w:val="center"/>
            <w:hideMark/>
          </w:tcPr>
          <w:p w14:paraId="59DA56C6" w14:textId="20624CA6" w:rsidR="00E550A1" w:rsidRPr="00E550A1" w:rsidRDefault="00E550A1" w:rsidP="00CA5A4A">
            <w:pPr>
              <w:pStyle w:val="Tabletexte"/>
              <w:jc w:val="left"/>
            </w:pPr>
            <w:r w:rsidRPr="00E550A1">
              <w:rPr>
                <w:color w:val="000000"/>
                <w:lang w:eastAsia="en-GB"/>
              </w:rPr>
              <w:t>0</w:t>
            </w:r>
          </w:p>
        </w:tc>
        <w:tc>
          <w:tcPr>
            <w:tcW w:w="360" w:type="pct"/>
            <w:noWrap/>
            <w:vAlign w:val="center"/>
            <w:hideMark/>
          </w:tcPr>
          <w:p w14:paraId="283FC4E5" w14:textId="3E7CC25F" w:rsidR="00E550A1" w:rsidRPr="00E550A1" w:rsidRDefault="00E550A1" w:rsidP="00CA5A4A">
            <w:pPr>
              <w:pStyle w:val="Tabletexte"/>
              <w:jc w:val="left"/>
            </w:pPr>
            <w:r w:rsidRPr="00E550A1">
              <w:rPr>
                <w:color w:val="000000"/>
                <w:lang w:eastAsia="en-GB"/>
              </w:rPr>
              <w:t>0</w:t>
            </w:r>
          </w:p>
        </w:tc>
        <w:tc>
          <w:tcPr>
            <w:tcW w:w="380" w:type="pct"/>
            <w:noWrap/>
            <w:vAlign w:val="center"/>
            <w:hideMark/>
          </w:tcPr>
          <w:p w14:paraId="31714C4D" w14:textId="636C1278" w:rsidR="00E550A1" w:rsidRPr="00E550A1" w:rsidRDefault="00E550A1" w:rsidP="00CA5A4A">
            <w:pPr>
              <w:pStyle w:val="Tabletexte"/>
              <w:jc w:val="left"/>
            </w:pPr>
            <w:r w:rsidRPr="00E550A1">
              <w:rPr>
                <w:color w:val="000000"/>
                <w:lang w:eastAsia="en-GB"/>
              </w:rPr>
              <w:t>0</w:t>
            </w:r>
          </w:p>
        </w:tc>
        <w:tc>
          <w:tcPr>
            <w:tcW w:w="343" w:type="pct"/>
            <w:noWrap/>
            <w:vAlign w:val="center"/>
            <w:hideMark/>
          </w:tcPr>
          <w:p w14:paraId="6288E7E8" w14:textId="50AE3003" w:rsidR="00E550A1" w:rsidRPr="00E550A1" w:rsidRDefault="00E550A1" w:rsidP="00CA5A4A">
            <w:pPr>
              <w:pStyle w:val="Tabletexte"/>
              <w:jc w:val="left"/>
            </w:pPr>
            <w:r w:rsidRPr="00E550A1">
              <w:rPr>
                <w:color w:val="000000"/>
                <w:lang w:eastAsia="en-GB"/>
              </w:rPr>
              <w:t>0</w:t>
            </w:r>
          </w:p>
        </w:tc>
        <w:tc>
          <w:tcPr>
            <w:tcW w:w="361" w:type="pct"/>
            <w:noWrap/>
            <w:vAlign w:val="center"/>
            <w:hideMark/>
          </w:tcPr>
          <w:p w14:paraId="3935A97D" w14:textId="2B94BBB8" w:rsidR="00E550A1" w:rsidRPr="00E550A1" w:rsidRDefault="00E550A1" w:rsidP="00CA5A4A">
            <w:pPr>
              <w:pStyle w:val="Tabletexte"/>
              <w:jc w:val="left"/>
            </w:pPr>
            <w:r w:rsidRPr="00E550A1">
              <w:rPr>
                <w:color w:val="000000"/>
                <w:lang w:eastAsia="en-GB"/>
              </w:rPr>
              <w:t>0</w:t>
            </w:r>
          </w:p>
        </w:tc>
        <w:tc>
          <w:tcPr>
            <w:tcW w:w="360" w:type="pct"/>
            <w:noWrap/>
            <w:vAlign w:val="center"/>
            <w:hideMark/>
          </w:tcPr>
          <w:p w14:paraId="5AB40410" w14:textId="01D6EFB8" w:rsidR="00E550A1" w:rsidRPr="00E550A1" w:rsidRDefault="00E550A1" w:rsidP="00CA5A4A">
            <w:pPr>
              <w:pStyle w:val="Tabletexte"/>
              <w:jc w:val="left"/>
            </w:pPr>
            <w:r w:rsidRPr="00E550A1">
              <w:rPr>
                <w:color w:val="000000"/>
                <w:lang w:eastAsia="en-GB"/>
              </w:rPr>
              <w:t>1</w:t>
            </w:r>
          </w:p>
        </w:tc>
        <w:tc>
          <w:tcPr>
            <w:tcW w:w="361" w:type="pct"/>
            <w:noWrap/>
            <w:vAlign w:val="center"/>
            <w:hideMark/>
          </w:tcPr>
          <w:p w14:paraId="470CC9FB" w14:textId="634ABC5C" w:rsidR="00E550A1" w:rsidRPr="00E550A1" w:rsidRDefault="00E550A1" w:rsidP="00CA5A4A">
            <w:pPr>
              <w:pStyle w:val="Tabletexte"/>
              <w:jc w:val="left"/>
            </w:pPr>
            <w:r w:rsidRPr="00E550A1">
              <w:rPr>
                <w:color w:val="000000"/>
                <w:lang w:eastAsia="en-GB"/>
              </w:rPr>
              <w:t>4</w:t>
            </w:r>
          </w:p>
        </w:tc>
        <w:tc>
          <w:tcPr>
            <w:tcW w:w="498" w:type="pct"/>
            <w:noWrap/>
            <w:vAlign w:val="center"/>
            <w:hideMark/>
          </w:tcPr>
          <w:p w14:paraId="50AD78CD" w14:textId="51246FD8" w:rsidR="00E550A1" w:rsidRPr="00E550A1" w:rsidRDefault="00E550A1" w:rsidP="00CA5A4A">
            <w:pPr>
              <w:pStyle w:val="Tabletexte"/>
              <w:jc w:val="left"/>
            </w:pPr>
            <w:r w:rsidRPr="00E550A1">
              <w:rPr>
                <w:color w:val="000000"/>
                <w:lang w:eastAsia="en-GB"/>
              </w:rPr>
              <w:t>5</w:t>
            </w:r>
          </w:p>
        </w:tc>
      </w:tr>
      <w:tr w:rsidR="00E550A1" w:rsidRPr="00E550A1" w14:paraId="033D112F" w14:textId="77777777" w:rsidTr="00E550A1">
        <w:trPr>
          <w:trHeight w:val="288"/>
        </w:trPr>
        <w:tc>
          <w:tcPr>
            <w:tcW w:w="1614" w:type="pct"/>
            <w:noWrap/>
            <w:hideMark/>
          </w:tcPr>
          <w:p w14:paraId="63419249" w14:textId="1E67FFA8" w:rsidR="00E550A1" w:rsidRPr="00E550A1" w:rsidRDefault="00E550A1" w:rsidP="00E550A1">
            <w:pPr>
              <w:pStyle w:val="Tabletexte"/>
              <w:tabs>
                <w:tab w:val="clear" w:pos="794"/>
                <w:tab w:val="left" w:pos="170"/>
              </w:tabs>
            </w:pPr>
            <w:r w:rsidRPr="00E550A1">
              <w:tab/>
            </w:r>
            <w:r w:rsidRPr="00E550A1">
              <w:rPr>
                <w:rtl/>
              </w:rPr>
              <w:t>التي أُقفل</w:t>
            </w:r>
            <w:r w:rsidRPr="00E550A1">
              <w:t> </w:t>
            </w:r>
            <w:r w:rsidRPr="00E550A1">
              <w:rPr>
                <w:rtl/>
              </w:rPr>
              <w:t>ملفها</w:t>
            </w:r>
          </w:p>
        </w:tc>
        <w:tc>
          <w:tcPr>
            <w:tcW w:w="361" w:type="pct"/>
            <w:noWrap/>
            <w:vAlign w:val="center"/>
            <w:hideMark/>
          </w:tcPr>
          <w:p w14:paraId="6595DEFF" w14:textId="1DF6C0C7" w:rsidR="00E550A1" w:rsidRPr="00E550A1" w:rsidRDefault="00E550A1" w:rsidP="00CA5A4A">
            <w:pPr>
              <w:pStyle w:val="Tabletexte"/>
              <w:jc w:val="left"/>
            </w:pPr>
            <w:r w:rsidRPr="00E550A1">
              <w:rPr>
                <w:color w:val="000000"/>
                <w:lang w:eastAsia="en-GB"/>
              </w:rPr>
              <w:t>13</w:t>
            </w:r>
          </w:p>
        </w:tc>
        <w:tc>
          <w:tcPr>
            <w:tcW w:w="361" w:type="pct"/>
            <w:noWrap/>
            <w:vAlign w:val="center"/>
            <w:hideMark/>
          </w:tcPr>
          <w:p w14:paraId="4198CCBB" w14:textId="3EC8865B" w:rsidR="00E550A1" w:rsidRPr="00E550A1" w:rsidRDefault="00E550A1" w:rsidP="00CA5A4A">
            <w:pPr>
              <w:pStyle w:val="Tabletexte"/>
              <w:jc w:val="left"/>
            </w:pPr>
            <w:r w:rsidRPr="00E550A1">
              <w:rPr>
                <w:color w:val="000000"/>
                <w:lang w:eastAsia="en-GB"/>
              </w:rPr>
              <w:t>41</w:t>
            </w:r>
          </w:p>
        </w:tc>
        <w:tc>
          <w:tcPr>
            <w:tcW w:w="360" w:type="pct"/>
            <w:noWrap/>
            <w:vAlign w:val="center"/>
            <w:hideMark/>
          </w:tcPr>
          <w:p w14:paraId="1DF2F196" w14:textId="31AF9593" w:rsidR="00E550A1" w:rsidRPr="00E550A1" w:rsidRDefault="00E550A1" w:rsidP="00CA5A4A">
            <w:pPr>
              <w:pStyle w:val="Tabletexte"/>
              <w:jc w:val="left"/>
            </w:pPr>
            <w:r w:rsidRPr="00E550A1">
              <w:rPr>
                <w:color w:val="000000"/>
                <w:lang w:eastAsia="en-GB"/>
              </w:rPr>
              <w:t>23</w:t>
            </w:r>
          </w:p>
        </w:tc>
        <w:tc>
          <w:tcPr>
            <w:tcW w:w="380" w:type="pct"/>
            <w:noWrap/>
            <w:vAlign w:val="center"/>
            <w:hideMark/>
          </w:tcPr>
          <w:p w14:paraId="0C2ABE31" w14:textId="709DB1DE" w:rsidR="00E550A1" w:rsidRPr="00E550A1" w:rsidRDefault="00E550A1" w:rsidP="00CA5A4A">
            <w:pPr>
              <w:pStyle w:val="Tabletexte"/>
              <w:jc w:val="left"/>
            </w:pPr>
            <w:r w:rsidRPr="00E550A1">
              <w:rPr>
                <w:color w:val="000000"/>
                <w:lang w:eastAsia="en-GB"/>
              </w:rPr>
              <w:t>15</w:t>
            </w:r>
          </w:p>
        </w:tc>
        <w:tc>
          <w:tcPr>
            <w:tcW w:w="343" w:type="pct"/>
            <w:noWrap/>
            <w:vAlign w:val="center"/>
            <w:hideMark/>
          </w:tcPr>
          <w:p w14:paraId="5ECF2834" w14:textId="3F6EAB7F" w:rsidR="00E550A1" w:rsidRPr="00E550A1" w:rsidRDefault="00E550A1" w:rsidP="00CA5A4A">
            <w:pPr>
              <w:pStyle w:val="Tabletexte"/>
              <w:jc w:val="left"/>
            </w:pPr>
            <w:r w:rsidRPr="00E550A1">
              <w:rPr>
                <w:color w:val="000000"/>
                <w:lang w:eastAsia="en-GB"/>
              </w:rPr>
              <w:t>8</w:t>
            </w:r>
          </w:p>
        </w:tc>
        <w:tc>
          <w:tcPr>
            <w:tcW w:w="361" w:type="pct"/>
            <w:noWrap/>
            <w:vAlign w:val="center"/>
            <w:hideMark/>
          </w:tcPr>
          <w:p w14:paraId="4C463AE4" w14:textId="4536EC30" w:rsidR="00E550A1" w:rsidRPr="00E550A1" w:rsidRDefault="00E550A1" w:rsidP="00CA5A4A">
            <w:pPr>
              <w:pStyle w:val="Tabletexte"/>
              <w:jc w:val="left"/>
            </w:pPr>
            <w:r w:rsidRPr="00E550A1">
              <w:rPr>
                <w:color w:val="000000"/>
                <w:lang w:eastAsia="en-GB"/>
              </w:rPr>
              <w:t>7</w:t>
            </w:r>
          </w:p>
        </w:tc>
        <w:tc>
          <w:tcPr>
            <w:tcW w:w="360" w:type="pct"/>
            <w:noWrap/>
            <w:vAlign w:val="center"/>
            <w:hideMark/>
          </w:tcPr>
          <w:p w14:paraId="3D4E1B2A" w14:textId="61461885" w:rsidR="00E550A1" w:rsidRPr="00E550A1" w:rsidRDefault="00E550A1" w:rsidP="00CA5A4A">
            <w:pPr>
              <w:pStyle w:val="Tabletexte"/>
              <w:jc w:val="left"/>
            </w:pPr>
            <w:r w:rsidRPr="00E550A1">
              <w:rPr>
                <w:color w:val="000000"/>
                <w:lang w:eastAsia="en-GB"/>
              </w:rPr>
              <w:t>22</w:t>
            </w:r>
          </w:p>
        </w:tc>
        <w:tc>
          <w:tcPr>
            <w:tcW w:w="361" w:type="pct"/>
            <w:noWrap/>
            <w:vAlign w:val="center"/>
            <w:hideMark/>
          </w:tcPr>
          <w:p w14:paraId="7874E808" w14:textId="5B3E5245" w:rsidR="00E550A1" w:rsidRPr="00E550A1" w:rsidRDefault="00E550A1" w:rsidP="00CA5A4A">
            <w:pPr>
              <w:pStyle w:val="Tabletexte"/>
              <w:jc w:val="left"/>
            </w:pPr>
            <w:r w:rsidRPr="00E550A1">
              <w:rPr>
                <w:color w:val="000000"/>
                <w:lang w:eastAsia="en-GB"/>
              </w:rPr>
              <w:t>14</w:t>
            </w:r>
          </w:p>
        </w:tc>
        <w:tc>
          <w:tcPr>
            <w:tcW w:w="498" w:type="pct"/>
            <w:noWrap/>
            <w:vAlign w:val="center"/>
            <w:hideMark/>
          </w:tcPr>
          <w:p w14:paraId="37F66993" w14:textId="3C44F923" w:rsidR="00E550A1" w:rsidRPr="00E550A1" w:rsidRDefault="00E550A1" w:rsidP="00CA5A4A">
            <w:pPr>
              <w:pStyle w:val="Tabletexte"/>
              <w:jc w:val="left"/>
            </w:pPr>
            <w:r w:rsidRPr="00E550A1">
              <w:rPr>
                <w:color w:val="000000"/>
                <w:lang w:eastAsia="en-GB"/>
              </w:rPr>
              <w:t>143</w:t>
            </w:r>
          </w:p>
        </w:tc>
      </w:tr>
      <w:tr w:rsidR="00D25B65" w:rsidRPr="00E550A1" w14:paraId="39E224D8" w14:textId="77777777" w:rsidTr="00E550A1">
        <w:trPr>
          <w:trHeight w:val="288"/>
        </w:trPr>
        <w:tc>
          <w:tcPr>
            <w:tcW w:w="1614" w:type="pct"/>
            <w:noWrap/>
            <w:hideMark/>
          </w:tcPr>
          <w:p w14:paraId="58C8F750" w14:textId="77777777" w:rsidR="00D25B65" w:rsidRPr="00E550A1" w:rsidRDefault="00D25B65" w:rsidP="001F3951">
            <w:pPr>
              <w:pStyle w:val="Tabletexte"/>
            </w:pPr>
            <w:r w:rsidRPr="00E550A1">
              <w:rPr>
                <w:spacing w:val="-2"/>
                <w:rtl/>
              </w:rPr>
              <w:t>النسبة المئوية للتوصيات الجاري تنفيذها</w:t>
            </w:r>
          </w:p>
        </w:tc>
        <w:tc>
          <w:tcPr>
            <w:tcW w:w="361" w:type="pct"/>
            <w:noWrap/>
            <w:hideMark/>
          </w:tcPr>
          <w:p w14:paraId="30C49D98" w14:textId="77777777" w:rsidR="00D25B65" w:rsidRPr="00E550A1" w:rsidRDefault="00D25B65" w:rsidP="00CA5A4A">
            <w:pPr>
              <w:pStyle w:val="Tabletexte"/>
              <w:jc w:val="left"/>
            </w:pPr>
            <w:r w:rsidRPr="00E550A1">
              <w:t>%13</w:t>
            </w:r>
          </w:p>
        </w:tc>
        <w:tc>
          <w:tcPr>
            <w:tcW w:w="361" w:type="pct"/>
            <w:noWrap/>
            <w:hideMark/>
          </w:tcPr>
          <w:p w14:paraId="01DE9F6C" w14:textId="77777777" w:rsidR="00D25B65" w:rsidRPr="00E550A1" w:rsidRDefault="00D25B65" w:rsidP="00CA5A4A">
            <w:pPr>
              <w:pStyle w:val="Tabletexte"/>
              <w:jc w:val="left"/>
            </w:pPr>
            <w:r w:rsidRPr="00E550A1">
              <w:t>%11</w:t>
            </w:r>
          </w:p>
        </w:tc>
        <w:tc>
          <w:tcPr>
            <w:tcW w:w="360" w:type="pct"/>
            <w:noWrap/>
            <w:hideMark/>
          </w:tcPr>
          <w:p w14:paraId="5496A57C" w14:textId="77777777" w:rsidR="00D25B65" w:rsidRPr="00E550A1" w:rsidRDefault="00D25B65" w:rsidP="00CA5A4A">
            <w:pPr>
              <w:pStyle w:val="Tabletexte"/>
              <w:jc w:val="left"/>
            </w:pPr>
            <w:r w:rsidRPr="00E550A1">
              <w:t>%12</w:t>
            </w:r>
          </w:p>
        </w:tc>
        <w:tc>
          <w:tcPr>
            <w:tcW w:w="380" w:type="pct"/>
            <w:noWrap/>
            <w:hideMark/>
          </w:tcPr>
          <w:p w14:paraId="3257692E" w14:textId="77777777" w:rsidR="00D25B65" w:rsidRPr="00E550A1" w:rsidRDefault="00D25B65" w:rsidP="00CA5A4A">
            <w:pPr>
              <w:pStyle w:val="Tabletexte"/>
              <w:jc w:val="left"/>
            </w:pPr>
            <w:r w:rsidRPr="00E550A1">
              <w:t>%0</w:t>
            </w:r>
          </w:p>
        </w:tc>
        <w:tc>
          <w:tcPr>
            <w:tcW w:w="343" w:type="pct"/>
            <w:noWrap/>
            <w:hideMark/>
          </w:tcPr>
          <w:p w14:paraId="5E6AE01A" w14:textId="77777777" w:rsidR="00D25B65" w:rsidRPr="00E550A1" w:rsidRDefault="00D25B65" w:rsidP="00CA5A4A">
            <w:pPr>
              <w:pStyle w:val="Tabletexte"/>
              <w:jc w:val="left"/>
            </w:pPr>
            <w:r w:rsidRPr="00E550A1">
              <w:t>%11</w:t>
            </w:r>
          </w:p>
        </w:tc>
        <w:tc>
          <w:tcPr>
            <w:tcW w:w="361" w:type="pct"/>
            <w:noWrap/>
            <w:hideMark/>
          </w:tcPr>
          <w:p w14:paraId="45242FD8" w14:textId="77777777" w:rsidR="00D25B65" w:rsidRPr="00E550A1" w:rsidRDefault="00D25B65" w:rsidP="00CA5A4A">
            <w:pPr>
              <w:pStyle w:val="Tabletexte"/>
              <w:jc w:val="left"/>
            </w:pPr>
            <w:r w:rsidRPr="00E550A1">
              <w:t>%63</w:t>
            </w:r>
          </w:p>
        </w:tc>
        <w:tc>
          <w:tcPr>
            <w:tcW w:w="360" w:type="pct"/>
            <w:noWrap/>
            <w:hideMark/>
          </w:tcPr>
          <w:p w14:paraId="184C489D" w14:textId="77777777" w:rsidR="00D25B65" w:rsidRPr="00E550A1" w:rsidRDefault="00D25B65" w:rsidP="00CA5A4A">
            <w:pPr>
              <w:pStyle w:val="Tabletexte"/>
              <w:jc w:val="left"/>
            </w:pPr>
            <w:r w:rsidRPr="00E550A1">
              <w:t>%39</w:t>
            </w:r>
          </w:p>
        </w:tc>
        <w:tc>
          <w:tcPr>
            <w:tcW w:w="361" w:type="pct"/>
            <w:noWrap/>
            <w:hideMark/>
          </w:tcPr>
          <w:p w14:paraId="418A6C07" w14:textId="77777777" w:rsidR="00D25B65" w:rsidRPr="00E550A1" w:rsidRDefault="00D25B65" w:rsidP="00CA5A4A">
            <w:pPr>
              <w:pStyle w:val="Tabletexte"/>
              <w:jc w:val="left"/>
            </w:pPr>
            <w:r w:rsidRPr="00E550A1">
              <w:t>%57</w:t>
            </w:r>
          </w:p>
        </w:tc>
        <w:tc>
          <w:tcPr>
            <w:tcW w:w="498" w:type="pct"/>
            <w:noWrap/>
            <w:hideMark/>
          </w:tcPr>
          <w:p w14:paraId="765F1CD6" w14:textId="77777777" w:rsidR="00D25B65" w:rsidRPr="00E550A1" w:rsidRDefault="00D25B65" w:rsidP="00CA5A4A">
            <w:pPr>
              <w:pStyle w:val="Tabletexte"/>
              <w:jc w:val="left"/>
            </w:pPr>
            <w:r w:rsidRPr="00E550A1">
              <w:t>%30</w:t>
            </w:r>
          </w:p>
        </w:tc>
      </w:tr>
      <w:tr w:rsidR="00D25B65" w:rsidRPr="00E550A1" w14:paraId="35908ADB" w14:textId="77777777" w:rsidTr="00E550A1">
        <w:trPr>
          <w:trHeight w:val="288"/>
        </w:trPr>
        <w:tc>
          <w:tcPr>
            <w:tcW w:w="1614" w:type="pct"/>
            <w:noWrap/>
            <w:hideMark/>
          </w:tcPr>
          <w:p w14:paraId="33AC49E9" w14:textId="77777777" w:rsidR="00D25B65" w:rsidRPr="00E550A1" w:rsidRDefault="00D25B65" w:rsidP="001F3951">
            <w:pPr>
              <w:pStyle w:val="Tabletexte"/>
            </w:pPr>
            <w:r w:rsidRPr="00E550A1">
              <w:rPr>
                <w:spacing w:val="-4"/>
                <w:rtl/>
              </w:rPr>
              <w:t>النسبة المئوية للتوصيات المتأخَر تنفيذها</w:t>
            </w:r>
          </w:p>
        </w:tc>
        <w:tc>
          <w:tcPr>
            <w:tcW w:w="361" w:type="pct"/>
            <w:noWrap/>
            <w:hideMark/>
          </w:tcPr>
          <w:p w14:paraId="739C4882" w14:textId="77777777" w:rsidR="00D25B65" w:rsidRPr="00E550A1" w:rsidRDefault="00D25B65" w:rsidP="00CA5A4A">
            <w:pPr>
              <w:pStyle w:val="Tabletexte"/>
              <w:jc w:val="left"/>
            </w:pPr>
            <w:r w:rsidRPr="00E550A1">
              <w:t>%0</w:t>
            </w:r>
          </w:p>
        </w:tc>
        <w:tc>
          <w:tcPr>
            <w:tcW w:w="361" w:type="pct"/>
            <w:noWrap/>
            <w:hideMark/>
          </w:tcPr>
          <w:p w14:paraId="4D968D66" w14:textId="77777777" w:rsidR="00D25B65" w:rsidRPr="00E550A1" w:rsidRDefault="00D25B65" w:rsidP="00CA5A4A">
            <w:pPr>
              <w:pStyle w:val="Tabletexte"/>
              <w:jc w:val="left"/>
            </w:pPr>
            <w:r w:rsidRPr="00E550A1">
              <w:t>%0</w:t>
            </w:r>
          </w:p>
        </w:tc>
        <w:tc>
          <w:tcPr>
            <w:tcW w:w="360" w:type="pct"/>
            <w:noWrap/>
            <w:hideMark/>
          </w:tcPr>
          <w:p w14:paraId="23BB6ABB" w14:textId="77777777" w:rsidR="00D25B65" w:rsidRPr="00E550A1" w:rsidRDefault="00D25B65" w:rsidP="00CA5A4A">
            <w:pPr>
              <w:pStyle w:val="Tabletexte"/>
              <w:jc w:val="left"/>
            </w:pPr>
            <w:r w:rsidRPr="00E550A1">
              <w:t>%0</w:t>
            </w:r>
          </w:p>
        </w:tc>
        <w:tc>
          <w:tcPr>
            <w:tcW w:w="380" w:type="pct"/>
            <w:noWrap/>
            <w:hideMark/>
          </w:tcPr>
          <w:p w14:paraId="67FA5841" w14:textId="77777777" w:rsidR="00D25B65" w:rsidRPr="00E550A1" w:rsidRDefault="00D25B65" w:rsidP="00CA5A4A">
            <w:pPr>
              <w:pStyle w:val="Tabletexte"/>
              <w:jc w:val="left"/>
            </w:pPr>
            <w:r w:rsidRPr="00E550A1">
              <w:t>%0</w:t>
            </w:r>
          </w:p>
        </w:tc>
        <w:tc>
          <w:tcPr>
            <w:tcW w:w="343" w:type="pct"/>
            <w:noWrap/>
            <w:hideMark/>
          </w:tcPr>
          <w:p w14:paraId="0A18AB08" w14:textId="77777777" w:rsidR="00D25B65" w:rsidRPr="00E550A1" w:rsidRDefault="00D25B65" w:rsidP="00CA5A4A">
            <w:pPr>
              <w:pStyle w:val="Tabletexte"/>
              <w:jc w:val="left"/>
            </w:pPr>
            <w:r w:rsidRPr="00E550A1">
              <w:t>%0</w:t>
            </w:r>
          </w:p>
        </w:tc>
        <w:tc>
          <w:tcPr>
            <w:tcW w:w="361" w:type="pct"/>
            <w:noWrap/>
            <w:hideMark/>
          </w:tcPr>
          <w:p w14:paraId="6F65F738" w14:textId="77777777" w:rsidR="00D25B65" w:rsidRPr="00E550A1" w:rsidRDefault="00D25B65" w:rsidP="00CA5A4A">
            <w:pPr>
              <w:pStyle w:val="Tabletexte"/>
              <w:jc w:val="left"/>
            </w:pPr>
            <w:r w:rsidRPr="00E550A1">
              <w:t>%0</w:t>
            </w:r>
          </w:p>
        </w:tc>
        <w:tc>
          <w:tcPr>
            <w:tcW w:w="360" w:type="pct"/>
            <w:noWrap/>
            <w:hideMark/>
          </w:tcPr>
          <w:p w14:paraId="35CA0AB8" w14:textId="77777777" w:rsidR="00D25B65" w:rsidRPr="00E550A1" w:rsidRDefault="00D25B65" w:rsidP="00CA5A4A">
            <w:pPr>
              <w:pStyle w:val="Tabletexte"/>
              <w:jc w:val="left"/>
            </w:pPr>
            <w:r w:rsidRPr="00E550A1">
              <w:t>%3</w:t>
            </w:r>
          </w:p>
        </w:tc>
        <w:tc>
          <w:tcPr>
            <w:tcW w:w="361" w:type="pct"/>
            <w:noWrap/>
            <w:hideMark/>
          </w:tcPr>
          <w:p w14:paraId="2309F390" w14:textId="77777777" w:rsidR="00D25B65" w:rsidRPr="00E550A1" w:rsidRDefault="00D25B65" w:rsidP="00CA5A4A">
            <w:pPr>
              <w:pStyle w:val="Tabletexte"/>
              <w:jc w:val="left"/>
            </w:pPr>
            <w:r w:rsidRPr="00E550A1">
              <w:t>%10</w:t>
            </w:r>
          </w:p>
        </w:tc>
        <w:tc>
          <w:tcPr>
            <w:tcW w:w="498" w:type="pct"/>
            <w:noWrap/>
            <w:hideMark/>
          </w:tcPr>
          <w:p w14:paraId="4FD19010" w14:textId="77777777" w:rsidR="00D25B65" w:rsidRPr="00E550A1" w:rsidRDefault="00D25B65" w:rsidP="00CA5A4A">
            <w:pPr>
              <w:pStyle w:val="Tabletexte"/>
              <w:jc w:val="left"/>
            </w:pPr>
            <w:r w:rsidRPr="00E550A1">
              <w:t>%2</w:t>
            </w:r>
          </w:p>
        </w:tc>
      </w:tr>
      <w:tr w:rsidR="00D25B65" w:rsidRPr="00E550A1" w14:paraId="23C8372F" w14:textId="77777777" w:rsidTr="00E550A1">
        <w:trPr>
          <w:trHeight w:val="300"/>
        </w:trPr>
        <w:tc>
          <w:tcPr>
            <w:tcW w:w="1614" w:type="pct"/>
            <w:noWrap/>
            <w:hideMark/>
          </w:tcPr>
          <w:p w14:paraId="052BD39F" w14:textId="77777777" w:rsidR="00D25B65" w:rsidRPr="00E550A1" w:rsidRDefault="00D25B65" w:rsidP="001F3951">
            <w:pPr>
              <w:pStyle w:val="Tabletexte"/>
            </w:pPr>
            <w:r w:rsidRPr="00E550A1">
              <w:rPr>
                <w:spacing w:val="-2"/>
                <w:rtl/>
              </w:rPr>
              <w:t>النسبة المئوية للتوصيات التي أُقفل ملفها</w:t>
            </w:r>
          </w:p>
        </w:tc>
        <w:tc>
          <w:tcPr>
            <w:tcW w:w="361" w:type="pct"/>
            <w:noWrap/>
            <w:hideMark/>
          </w:tcPr>
          <w:p w14:paraId="7D6228FD" w14:textId="77777777" w:rsidR="00D25B65" w:rsidRPr="00E550A1" w:rsidRDefault="00D25B65" w:rsidP="00CA5A4A">
            <w:pPr>
              <w:pStyle w:val="Tabletexte"/>
              <w:jc w:val="left"/>
            </w:pPr>
            <w:r w:rsidRPr="00E550A1">
              <w:t>%87</w:t>
            </w:r>
          </w:p>
        </w:tc>
        <w:tc>
          <w:tcPr>
            <w:tcW w:w="361" w:type="pct"/>
            <w:noWrap/>
            <w:hideMark/>
          </w:tcPr>
          <w:p w14:paraId="39CB74E3" w14:textId="77777777" w:rsidR="00D25B65" w:rsidRPr="00E550A1" w:rsidRDefault="00D25B65" w:rsidP="00CA5A4A">
            <w:pPr>
              <w:pStyle w:val="Tabletexte"/>
              <w:jc w:val="left"/>
            </w:pPr>
            <w:r w:rsidRPr="00E550A1">
              <w:t>%89</w:t>
            </w:r>
          </w:p>
        </w:tc>
        <w:tc>
          <w:tcPr>
            <w:tcW w:w="360" w:type="pct"/>
            <w:noWrap/>
            <w:hideMark/>
          </w:tcPr>
          <w:p w14:paraId="4D4FEF6C" w14:textId="77777777" w:rsidR="00D25B65" w:rsidRPr="00E550A1" w:rsidRDefault="00D25B65" w:rsidP="00CA5A4A">
            <w:pPr>
              <w:pStyle w:val="Tabletexte"/>
              <w:jc w:val="left"/>
            </w:pPr>
            <w:r w:rsidRPr="00E550A1">
              <w:t>%88</w:t>
            </w:r>
          </w:p>
        </w:tc>
        <w:tc>
          <w:tcPr>
            <w:tcW w:w="380" w:type="pct"/>
            <w:noWrap/>
            <w:hideMark/>
          </w:tcPr>
          <w:p w14:paraId="0EA0DC9A" w14:textId="77777777" w:rsidR="00D25B65" w:rsidRPr="00E550A1" w:rsidRDefault="00D25B65" w:rsidP="00CA5A4A">
            <w:pPr>
              <w:pStyle w:val="Tabletexte"/>
              <w:jc w:val="left"/>
            </w:pPr>
            <w:r w:rsidRPr="00E550A1">
              <w:t>%100</w:t>
            </w:r>
          </w:p>
        </w:tc>
        <w:tc>
          <w:tcPr>
            <w:tcW w:w="343" w:type="pct"/>
            <w:noWrap/>
            <w:hideMark/>
          </w:tcPr>
          <w:p w14:paraId="4C3BB5AB" w14:textId="77777777" w:rsidR="00D25B65" w:rsidRPr="00E550A1" w:rsidRDefault="00D25B65" w:rsidP="00CA5A4A">
            <w:pPr>
              <w:pStyle w:val="Tabletexte"/>
              <w:jc w:val="left"/>
            </w:pPr>
            <w:r w:rsidRPr="00E550A1">
              <w:t>%89</w:t>
            </w:r>
          </w:p>
        </w:tc>
        <w:tc>
          <w:tcPr>
            <w:tcW w:w="361" w:type="pct"/>
            <w:noWrap/>
            <w:hideMark/>
          </w:tcPr>
          <w:p w14:paraId="29B54407" w14:textId="77777777" w:rsidR="00D25B65" w:rsidRPr="00E550A1" w:rsidRDefault="00D25B65" w:rsidP="00CA5A4A">
            <w:pPr>
              <w:pStyle w:val="Tabletexte"/>
              <w:jc w:val="left"/>
            </w:pPr>
            <w:r w:rsidRPr="00E550A1">
              <w:t>%37</w:t>
            </w:r>
          </w:p>
        </w:tc>
        <w:tc>
          <w:tcPr>
            <w:tcW w:w="360" w:type="pct"/>
            <w:noWrap/>
            <w:hideMark/>
          </w:tcPr>
          <w:p w14:paraId="29FF9164" w14:textId="77777777" w:rsidR="00D25B65" w:rsidRPr="00E550A1" w:rsidRDefault="00D25B65" w:rsidP="00CA5A4A">
            <w:pPr>
              <w:pStyle w:val="Tabletexte"/>
              <w:jc w:val="left"/>
            </w:pPr>
            <w:r w:rsidRPr="00E550A1">
              <w:t>%58</w:t>
            </w:r>
          </w:p>
        </w:tc>
        <w:tc>
          <w:tcPr>
            <w:tcW w:w="361" w:type="pct"/>
            <w:noWrap/>
            <w:hideMark/>
          </w:tcPr>
          <w:p w14:paraId="4C7982CB" w14:textId="77777777" w:rsidR="00D25B65" w:rsidRPr="00E550A1" w:rsidRDefault="00D25B65" w:rsidP="00CA5A4A">
            <w:pPr>
              <w:pStyle w:val="Tabletexte"/>
              <w:jc w:val="left"/>
            </w:pPr>
            <w:r w:rsidRPr="00E550A1">
              <w:t>%33</w:t>
            </w:r>
          </w:p>
        </w:tc>
        <w:tc>
          <w:tcPr>
            <w:tcW w:w="498" w:type="pct"/>
            <w:noWrap/>
            <w:hideMark/>
          </w:tcPr>
          <w:p w14:paraId="6C9B7AF0" w14:textId="77777777" w:rsidR="00D25B65" w:rsidRPr="00E550A1" w:rsidRDefault="00D25B65" w:rsidP="00CA5A4A">
            <w:pPr>
              <w:pStyle w:val="Tabletexte"/>
              <w:jc w:val="left"/>
            </w:pPr>
            <w:r w:rsidRPr="00E550A1">
              <w:t>%68</w:t>
            </w:r>
          </w:p>
        </w:tc>
      </w:tr>
    </w:tbl>
    <w:p w14:paraId="312D78B9" w14:textId="6985901A" w:rsidR="00D25B65" w:rsidRDefault="00D25B65" w:rsidP="00CA5A4A">
      <w:pPr>
        <w:pStyle w:val="Note"/>
        <w:tabs>
          <w:tab w:val="clear" w:pos="794"/>
          <w:tab w:val="left" w:pos="425"/>
        </w:tabs>
        <w:spacing w:before="120"/>
        <w:rPr>
          <w:rtl/>
        </w:rPr>
      </w:pPr>
      <w:r w:rsidRPr="00E550A1">
        <w:rPr>
          <w:rFonts w:hint="cs"/>
          <w:rtl/>
        </w:rPr>
        <w:t>*</w:t>
      </w:r>
      <w:r w:rsidRPr="00E550A1">
        <w:rPr>
          <w:rtl/>
        </w:rPr>
        <w:tab/>
      </w:r>
      <w:r w:rsidRPr="00E550A1">
        <w:rPr>
          <w:rFonts w:hint="cs"/>
          <w:rtl/>
        </w:rPr>
        <w:t>أُقفل ملف جميع التوصيات الصادرة قبل 2016.</w:t>
      </w:r>
      <w:r w:rsidR="004612AD">
        <w:rPr>
          <w:rFonts w:hint="cs"/>
          <w:rtl/>
        </w:rPr>
        <w:t xml:space="preserve"> </w:t>
      </w:r>
    </w:p>
    <w:p w14:paraId="0CF73B19" w14:textId="6B8B9174" w:rsidR="00D25B65" w:rsidRDefault="00D25B65" w:rsidP="00D25B6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D25B65" w:rsidSect="006C3242">
      <w:footerReference w:type="default" r:id="rId13"/>
      <w:headerReference w:type="firs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1D06" w14:textId="77777777" w:rsidR="00D16FFD" w:rsidRDefault="00D16FFD" w:rsidP="006C3242">
      <w:pPr>
        <w:spacing w:before="0" w:line="240" w:lineRule="auto"/>
      </w:pPr>
      <w:r>
        <w:separator/>
      </w:r>
    </w:p>
  </w:endnote>
  <w:endnote w:type="continuationSeparator" w:id="0">
    <w:p w14:paraId="7B906462" w14:textId="77777777" w:rsidR="00D16FFD" w:rsidRDefault="00D16FFD"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2F6AC304" w14:textId="77777777" w:rsidTr="00357086">
      <w:trPr>
        <w:jc w:val="center"/>
      </w:trPr>
      <w:tc>
        <w:tcPr>
          <w:tcW w:w="868" w:type="pct"/>
          <w:vAlign w:val="center"/>
        </w:tcPr>
        <w:p w14:paraId="47788969" w14:textId="37A9B8E2" w:rsidR="00F50E3F" w:rsidRPr="007B0AA0" w:rsidRDefault="00AA3297"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r>
            <w:rPr>
              <w:rFonts w:ascii="Calibri" w:hAnsi="Calibri" w:cs="Arial"/>
              <w:noProof/>
              <w:sz w:val="18"/>
            </w:rPr>
            <w:t>R2400665</w:t>
          </w:r>
        </w:p>
      </w:tc>
      <w:tc>
        <w:tcPr>
          <w:tcW w:w="3912" w:type="pct"/>
        </w:tcPr>
        <w:p w14:paraId="763C69F7" w14:textId="64D798A8"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D375BA">
            <w:rPr>
              <w:rFonts w:ascii="Calibri" w:hAnsi="Calibri" w:cs="Arial"/>
              <w:bCs/>
              <w:color w:val="7F7F7F"/>
              <w:sz w:val="18"/>
            </w:rPr>
            <w:t>44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6BA2D5B"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DC84AD1" w14:textId="55FEDB25" w:rsidR="00387876" w:rsidRPr="00AB12A7" w:rsidRDefault="00387876" w:rsidP="00387876">
    <w:pPr>
      <w:pStyle w:val="Footer"/>
      <w:tabs>
        <w:tab w:val="clear" w:pos="4153"/>
        <w:tab w:val="clear" w:pos="8306"/>
        <w:tab w:val="center" w:pos="5103"/>
        <w:tab w:val="right" w:pos="9639"/>
      </w:tabs>
      <w:spacing w:before="120"/>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20392506" w14:textId="77777777" w:rsidTr="00F50E3F">
      <w:trPr>
        <w:jc w:val="center"/>
      </w:trPr>
      <w:tc>
        <w:tcPr>
          <w:tcW w:w="868" w:type="pct"/>
          <w:vAlign w:val="center"/>
        </w:tcPr>
        <w:p w14:paraId="3C030683" w14:textId="77777777" w:rsidR="007B0AA0" w:rsidRPr="007B0AA0" w:rsidRDefault="00AA3297"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B1DA4C8" w14:textId="45969CC3"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D375BA">
            <w:rPr>
              <w:rFonts w:ascii="Calibri" w:hAnsi="Calibri" w:cs="Arial"/>
              <w:bCs/>
              <w:color w:val="7F7F7F"/>
              <w:sz w:val="18"/>
            </w:rPr>
            <w:t>44</w:t>
          </w:r>
          <w:r w:rsidRPr="007B0AA0">
            <w:rPr>
              <w:rFonts w:ascii="Calibri" w:hAnsi="Calibri" w:cs="Arial"/>
              <w:bCs/>
              <w:color w:val="7F7F7F"/>
              <w:sz w:val="18"/>
            </w:rPr>
            <w:t>-</w:t>
          </w:r>
          <w:r>
            <w:rPr>
              <w:rFonts w:ascii="Calibri" w:hAnsi="Calibri" w:cs="Arial"/>
              <w:bCs/>
              <w:color w:val="7F7F7F"/>
              <w:sz w:val="18"/>
            </w:rPr>
            <w:t>A</w:t>
          </w:r>
        </w:p>
      </w:tc>
      <w:tc>
        <w:tcPr>
          <w:tcW w:w="220" w:type="pct"/>
        </w:tcPr>
        <w:p w14:paraId="1B477AA7"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B4E0E2D" w14:textId="49251BB4" w:rsidR="00387876" w:rsidRPr="00AB12A7" w:rsidRDefault="00387876" w:rsidP="00387876">
    <w:pPr>
      <w:pStyle w:val="Footer"/>
      <w:tabs>
        <w:tab w:val="clear" w:pos="4153"/>
        <w:tab w:val="clear" w:pos="8306"/>
        <w:tab w:val="center" w:pos="5103"/>
        <w:tab w:val="right" w:pos="9639"/>
      </w:tabs>
      <w:spacing w:before="120"/>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6F740" w14:textId="77777777" w:rsidR="00D16FFD" w:rsidRDefault="00D16FFD" w:rsidP="006C3242">
      <w:pPr>
        <w:spacing w:before="0" w:line="240" w:lineRule="auto"/>
      </w:pPr>
      <w:r>
        <w:separator/>
      </w:r>
    </w:p>
  </w:footnote>
  <w:footnote w:type="continuationSeparator" w:id="0">
    <w:p w14:paraId="365837C0" w14:textId="77777777" w:rsidR="00D16FFD" w:rsidRDefault="00D16FFD" w:rsidP="006C3242">
      <w:pPr>
        <w:spacing w:before="0" w:line="240" w:lineRule="auto"/>
      </w:pPr>
      <w:r>
        <w:continuationSeparator/>
      </w:r>
    </w:p>
  </w:footnote>
  <w:footnote w:id="1">
    <w:p w14:paraId="0A3240FF" w14:textId="3328BD75" w:rsidR="00D375BA" w:rsidRPr="00AE4530" w:rsidRDefault="00D375BA" w:rsidP="00D375BA">
      <w:pPr>
        <w:pStyle w:val="Footnotetexte"/>
        <w:rPr>
          <w:sz w:val="18"/>
          <w:szCs w:val="18"/>
          <w:rtl/>
          <w:lang w:bidi="ar-SY"/>
        </w:rPr>
      </w:pPr>
      <w:r w:rsidRPr="00AE4530">
        <w:rPr>
          <w:rStyle w:val="FootnoteReference"/>
        </w:rPr>
        <w:footnoteRef/>
      </w:r>
      <w:r w:rsidRPr="00AE4530">
        <w:rPr>
          <w:rFonts w:hint="cs"/>
          <w:sz w:val="18"/>
          <w:szCs w:val="18"/>
          <w:rtl/>
        </w:rPr>
        <w:tab/>
      </w:r>
      <w:r w:rsidRPr="00DF4705">
        <w:rPr>
          <w:rFonts w:hint="cs"/>
          <w:sz w:val="18"/>
          <w:szCs w:val="18"/>
          <w:rtl/>
        </w:rPr>
        <w:t xml:space="preserve">الأمر الإداري رقم </w:t>
      </w:r>
      <w:r w:rsidRPr="00DF4705">
        <w:rPr>
          <w:sz w:val="18"/>
          <w:szCs w:val="18"/>
        </w:rPr>
        <w:t>13/09</w:t>
      </w:r>
      <w:r w:rsidRPr="00DF4705">
        <w:rPr>
          <w:rFonts w:hint="cs"/>
          <w:sz w:val="18"/>
          <w:szCs w:val="18"/>
          <w:rtl/>
        </w:rPr>
        <w:t>، الصادر عن الأمين العام في </w:t>
      </w:r>
      <w:r w:rsidRPr="00DF4705">
        <w:rPr>
          <w:sz w:val="18"/>
          <w:szCs w:val="18"/>
        </w:rPr>
        <w:t>27</w:t>
      </w:r>
      <w:r w:rsidRPr="00DF4705">
        <w:rPr>
          <w:rFonts w:hint="cs"/>
          <w:sz w:val="18"/>
          <w:szCs w:val="18"/>
          <w:rtl/>
        </w:rPr>
        <w:t> يونيو </w:t>
      </w:r>
      <w:r w:rsidRPr="00DF4705">
        <w:rPr>
          <w:sz w:val="18"/>
          <w:szCs w:val="18"/>
        </w:rPr>
        <w:t>2013</w:t>
      </w:r>
      <w:r>
        <w:rPr>
          <w:rFonts w:hint="cs"/>
          <w:sz w:val="18"/>
          <w:szCs w:val="18"/>
          <w:rtl/>
          <w:lang w:bidi="ar-EG"/>
        </w:rPr>
        <w:t xml:space="preserve"> </w:t>
      </w:r>
      <w:r w:rsidR="001C126D">
        <w:rPr>
          <w:rFonts w:hint="cs"/>
          <w:sz w:val="18"/>
          <w:szCs w:val="18"/>
          <w:rtl/>
          <w:lang w:bidi="ar-EG"/>
        </w:rPr>
        <w:t>-</w:t>
      </w:r>
      <w:r>
        <w:rPr>
          <w:rFonts w:hint="cs"/>
          <w:sz w:val="18"/>
          <w:szCs w:val="18"/>
          <w:rtl/>
          <w:lang w:bidi="ar-EG"/>
        </w:rPr>
        <w:t xml:space="preserve"> لا</w:t>
      </w:r>
      <w:r w:rsidR="001C126D">
        <w:rPr>
          <w:rFonts w:hint="eastAsia"/>
          <w:sz w:val="18"/>
          <w:szCs w:val="18"/>
          <w:rtl/>
          <w:lang w:bidi="ar-EG"/>
        </w:rPr>
        <w:t> </w:t>
      </w:r>
      <w:r>
        <w:rPr>
          <w:rFonts w:hint="cs"/>
          <w:sz w:val="18"/>
          <w:szCs w:val="18"/>
          <w:rtl/>
          <w:lang w:bidi="ar-EG"/>
        </w:rPr>
        <w:t>يزال سارياً حتى اعتماد ميثاق جديد للرقابة</w:t>
      </w:r>
      <w:r w:rsidR="00A60CE1">
        <w:rPr>
          <w:rFonts w:hint="cs"/>
          <w:sz w:val="18"/>
          <w:szCs w:val="18"/>
          <w:rtl/>
          <w:lang w:bidi="ar-SY"/>
        </w:rPr>
        <w:t>.</w:t>
      </w:r>
    </w:p>
  </w:footnote>
  <w:footnote w:id="2">
    <w:p w14:paraId="44F433DA" w14:textId="3CF90C3E" w:rsidR="00D375BA" w:rsidRPr="00AE4530" w:rsidRDefault="00D375BA" w:rsidP="00D375BA">
      <w:pPr>
        <w:pStyle w:val="Footnotetexte"/>
        <w:rPr>
          <w:sz w:val="18"/>
          <w:szCs w:val="18"/>
        </w:rPr>
      </w:pPr>
      <w:r w:rsidRPr="00AE4530">
        <w:rPr>
          <w:rStyle w:val="FootnoteReference"/>
        </w:rPr>
        <w:footnoteRef/>
      </w:r>
      <w:r w:rsidRPr="00AE4530">
        <w:rPr>
          <w:sz w:val="18"/>
          <w:szCs w:val="18"/>
        </w:rPr>
        <w:tab/>
      </w:r>
      <w:r w:rsidRPr="00AE4530">
        <w:rPr>
          <w:rFonts w:hint="cs"/>
          <w:sz w:val="18"/>
          <w:szCs w:val="18"/>
          <w:rtl/>
        </w:rPr>
        <w:t xml:space="preserve">معهد </w:t>
      </w:r>
      <w:r>
        <w:rPr>
          <w:rFonts w:hint="cs"/>
          <w:sz w:val="18"/>
          <w:szCs w:val="18"/>
          <w:rtl/>
        </w:rPr>
        <w:t>ال</w:t>
      </w:r>
      <w:r w:rsidRPr="00AE4530">
        <w:rPr>
          <w:rFonts w:hint="cs"/>
          <w:sz w:val="18"/>
          <w:szCs w:val="18"/>
          <w:rtl/>
        </w:rPr>
        <w:t>مراجعي</w:t>
      </w:r>
      <w:r>
        <w:rPr>
          <w:rFonts w:hint="cs"/>
          <w:sz w:val="18"/>
          <w:szCs w:val="18"/>
          <w:rtl/>
        </w:rPr>
        <w:t>ن</w:t>
      </w:r>
      <w:r w:rsidRPr="00AE4530">
        <w:rPr>
          <w:rFonts w:hint="cs"/>
          <w:sz w:val="18"/>
          <w:szCs w:val="18"/>
          <w:rtl/>
        </w:rPr>
        <w:t xml:space="preserve"> الداخليين، </w:t>
      </w:r>
      <w:hyperlink r:id="rId1" w:history="1">
        <w:r w:rsidRPr="00AE4530">
          <w:rPr>
            <w:rStyle w:val="Hyperlink"/>
            <w:sz w:val="18"/>
            <w:szCs w:val="18"/>
          </w:rPr>
          <w:t>www.theiia.org</w:t>
        </w:r>
      </w:hyperlink>
      <w:r w:rsidR="00A60CE1" w:rsidRPr="00A60CE1">
        <w:rPr>
          <w:rFonts w:hint="cs"/>
          <w:rtl/>
        </w:rPr>
        <w:t>.</w:t>
      </w:r>
    </w:p>
  </w:footnote>
  <w:footnote w:id="3">
    <w:p w14:paraId="6D9AF726" w14:textId="17022CC8" w:rsidR="00D375BA" w:rsidRDefault="00D375BA" w:rsidP="00D375BA">
      <w:pPr>
        <w:pStyle w:val="Footnotetexte"/>
      </w:pPr>
      <w:r>
        <w:rPr>
          <w:rStyle w:val="FootnoteReference"/>
        </w:rPr>
        <w:footnoteRef/>
      </w:r>
      <w:r w:rsidR="00766D9C">
        <w:rPr>
          <w:sz w:val="18"/>
          <w:szCs w:val="18"/>
          <w:rtl/>
        </w:rPr>
        <w:tab/>
      </w:r>
      <w:r w:rsidRPr="00A30E6A">
        <w:rPr>
          <w:sz w:val="18"/>
          <w:szCs w:val="18"/>
        </w:rPr>
        <w:t>2500</w:t>
      </w:r>
      <w:r w:rsidRPr="00A30E6A">
        <w:rPr>
          <w:sz w:val="18"/>
          <w:szCs w:val="18"/>
          <w:lang w:bidi="ar-EG"/>
        </w:rPr>
        <w:t>. A1</w:t>
      </w:r>
      <w:r w:rsidRPr="00A30E6A">
        <w:rPr>
          <w:rFonts w:hint="cs"/>
          <w:sz w:val="18"/>
          <w:szCs w:val="18"/>
          <w:rtl/>
          <w:lang w:bidi="ar-EG"/>
        </w:rPr>
        <w:t xml:space="preserve"> - </w:t>
      </w:r>
      <w:r w:rsidRPr="00A30E6A">
        <w:rPr>
          <w:rFonts w:hint="cs"/>
          <w:sz w:val="18"/>
          <w:szCs w:val="18"/>
          <w:rtl/>
        </w:rPr>
        <w:t>يتعين</w:t>
      </w:r>
      <w:r w:rsidRPr="00A30E6A">
        <w:rPr>
          <w:rFonts w:hint="cs"/>
          <w:sz w:val="18"/>
          <w:szCs w:val="18"/>
          <w:rtl/>
          <w:lang w:bidi="ar-EG"/>
        </w:rPr>
        <w:t xml:space="preserve"> على الرئيس التنفيذي للمراجعة إنشاء عملية متابعة لرصد وضمان التنفيذ الفعلي للإجراءات التي اتخذها المديرون أو قبول الإدارة العليا مُخاطرة عدم اتخاذ إجراءات.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2600"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A816A6A" wp14:editId="21DC2433">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DBEBC"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15657B24" wp14:editId="7131D9E9">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FD"/>
    <w:rsid w:val="00031A6C"/>
    <w:rsid w:val="0006468A"/>
    <w:rsid w:val="00090574"/>
    <w:rsid w:val="0009186A"/>
    <w:rsid w:val="000C1C0E"/>
    <w:rsid w:val="000C548A"/>
    <w:rsid w:val="00115452"/>
    <w:rsid w:val="00116EEC"/>
    <w:rsid w:val="00124E13"/>
    <w:rsid w:val="00195B5F"/>
    <w:rsid w:val="001C0169"/>
    <w:rsid w:val="001C126D"/>
    <w:rsid w:val="001D1D50"/>
    <w:rsid w:val="001D6745"/>
    <w:rsid w:val="001E446E"/>
    <w:rsid w:val="002154EE"/>
    <w:rsid w:val="002276D2"/>
    <w:rsid w:val="0023097B"/>
    <w:rsid w:val="0023283D"/>
    <w:rsid w:val="002564A0"/>
    <w:rsid w:val="0026373E"/>
    <w:rsid w:val="00271C43"/>
    <w:rsid w:val="00290728"/>
    <w:rsid w:val="002978F4"/>
    <w:rsid w:val="002B028D"/>
    <w:rsid w:val="002E6541"/>
    <w:rsid w:val="00334924"/>
    <w:rsid w:val="003409BC"/>
    <w:rsid w:val="00357185"/>
    <w:rsid w:val="00383829"/>
    <w:rsid w:val="00386F19"/>
    <w:rsid w:val="00387876"/>
    <w:rsid w:val="003F4B29"/>
    <w:rsid w:val="0042686F"/>
    <w:rsid w:val="004317D8"/>
    <w:rsid w:val="00434183"/>
    <w:rsid w:val="00443869"/>
    <w:rsid w:val="00447F32"/>
    <w:rsid w:val="004612AD"/>
    <w:rsid w:val="004B7334"/>
    <w:rsid w:val="004E11DC"/>
    <w:rsid w:val="00510CBA"/>
    <w:rsid w:val="00525DDD"/>
    <w:rsid w:val="005409AC"/>
    <w:rsid w:val="00542B9D"/>
    <w:rsid w:val="0055516A"/>
    <w:rsid w:val="00562A38"/>
    <w:rsid w:val="0058491B"/>
    <w:rsid w:val="00592EA5"/>
    <w:rsid w:val="005A3170"/>
    <w:rsid w:val="00610CC3"/>
    <w:rsid w:val="00671072"/>
    <w:rsid w:val="00677396"/>
    <w:rsid w:val="0069200F"/>
    <w:rsid w:val="006A65CB"/>
    <w:rsid w:val="006C3242"/>
    <w:rsid w:val="006C7CC0"/>
    <w:rsid w:val="006F63F7"/>
    <w:rsid w:val="007025C7"/>
    <w:rsid w:val="00706D7A"/>
    <w:rsid w:val="00722F0D"/>
    <w:rsid w:val="00731E98"/>
    <w:rsid w:val="0074420E"/>
    <w:rsid w:val="00766D9C"/>
    <w:rsid w:val="00783E26"/>
    <w:rsid w:val="007A64A7"/>
    <w:rsid w:val="007B0AA0"/>
    <w:rsid w:val="007B6EE8"/>
    <w:rsid w:val="007C3BC7"/>
    <w:rsid w:val="007C3BCD"/>
    <w:rsid w:val="007D4ACF"/>
    <w:rsid w:val="007F0787"/>
    <w:rsid w:val="007F1B66"/>
    <w:rsid w:val="00810B7B"/>
    <w:rsid w:val="0082358A"/>
    <w:rsid w:val="008235CD"/>
    <w:rsid w:val="008247DE"/>
    <w:rsid w:val="008339C0"/>
    <w:rsid w:val="00840B10"/>
    <w:rsid w:val="008513CB"/>
    <w:rsid w:val="008A21B0"/>
    <w:rsid w:val="008A7F84"/>
    <w:rsid w:val="008B21A9"/>
    <w:rsid w:val="008B2BDA"/>
    <w:rsid w:val="0091702E"/>
    <w:rsid w:val="00923B0C"/>
    <w:rsid w:val="0094021C"/>
    <w:rsid w:val="00952F86"/>
    <w:rsid w:val="00974B51"/>
    <w:rsid w:val="00982B28"/>
    <w:rsid w:val="009D313F"/>
    <w:rsid w:val="009F090C"/>
    <w:rsid w:val="00A47A5A"/>
    <w:rsid w:val="00A60CE1"/>
    <w:rsid w:val="00A6683B"/>
    <w:rsid w:val="00A91666"/>
    <w:rsid w:val="00A97F94"/>
    <w:rsid w:val="00AA3297"/>
    <w:rsid w:val="00AA7EA2"/>
    <w:rsid w:val="00AB12A7"/>
    <w:rsid w:val="00B03099"/>
    <w:rsid w:val="00B05BC8"/>
    <w:rsid w:val="00B6080B"/>
    <w:rsid w:val="00B64B47"/>
    <w:rsid w:val="00B91B14"/>
    <w:rsid w:val="00B95654"/>
    <w:rsid w:val="00C002DE"/>
    <w:rsid w:val="00C53BF8"/>
    <w:rsid w:val="00C66157"/>
    <w:rsid w:val="00C674FE"/>
    <w:rsid w:val="00C67501"/>
    <w:rsid w:val="00C75633"/>
    <w:rsid w:val="00CA5A4A"/>
    <w:rsid w:val="00CE2EE1"/>
    <w:rsid w:val="00CE3349"/>
    <w:rsid w:val="00CE36E5"/>
    <w:rsid w:val="00CF27F5"/>
    <w:rsid w:val="00CF3FFD"/>
    <w:rsid w:val="00D07EAB"/>
    <w:rsid w:val="00D10CCF"/>
    <w:rsid w:val="00D13941"/>
    <w:rsid w:val="00D16FFD"/>
    <w:rsid w:val="00D25B65"/>
    <w:rsid w:val="00D375BA"/>
    <w:rsid w:val="00D63735"/>
    <w:rsid w:val="00D77D0F"/>
    <w:rsid w:val="00DA1CF0"/>
    <w:rsid w:val="00DC1E02"/>
    <w:rsid w:val="00DC24B4"/>
    <w:rsid w:val="00DC5FB0"/>
    <w:rsid w:val="00DF16DC"/>
    <w:rsid w:val="00E17F18"/>
    <w:rsid w:val="00E45211"/>
    <w:rsid w:val="00E473C5"/>
    <w:rsid w:val="00E550A1"/>
    <w:rsid w:val="00E61BE8"/>
    <w:rsid w:val="00E92863"/>
    <w:rsid w:val="00E95327"/>
    <w:rsid w:val="00EB796D"/>
    <w:rsid w:val="00EE622F"/>
    <w:rsid w:val="00F058DC"/>
    <w:rsid w:val="00F20903"/>
    <w:rsid w:val="00F24FC4"/>
    <w:rsid w:val="00F2676C"/>
    <w:rsid w:val="00F363FE"/>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36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FollowedHyperlink">
    <w:name w:val="FollowedHyperlink"/>
    <w:basedOn w:val="DefaultParagraphFont"/>
    <w:uiPriority w:val="99"/>
    <w:semiHidden/>
    <w:unhideWhenUsed/>
    <w:rsid w:val="00D375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itu.int%2Fdms_pub%2Fitu-s%2Fmd%2F23%2Fcl%2Fc%2FS23-CL-C-0053!!MSW-A.docx&amp;wdOrigin=BROWSELI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2-CWGFHR15-C-0003/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INF-0005/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en/council/Pages/form-internal-audit.aspx" TargetMode="External"/><Relationship Id="rId4" Type="http://schemas.openxmlformats.org/officeDocument/2006/relationships/settings" Target="settings.xml"/><Relationship Id="rId9" Type="http://schemas.openxmlformats.org/officeDocument/2006/relationships/hyperlink" Target="https://www.itu.int/en/council/ties/Documents/Financial-regulations/S-GEN-REG_RGTFIN-2022-PDF-A.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khalil\Desktop\Doc_TRAD\www.thei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2024-05-24T10:22:00Z</dcterms:created>
  <dcterms:modified xsi:type="dcterms:W3CDTF">2024-05-24T10:22:00Z</dcterms:modified>
  <cp:category>Conference document</cp:category>
</cp:coreProperties>
</file>