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EC50A1" w14:paraId="1E1F0138" w14:textId="77777777" w:rsidTr="00E31DCE">
        <w:trPr>
          <w:cantSplit/>
          <w:trHeight w:val="23"/>
        </w:trPr>
        <w:tc>
          <w:tcPr>
            <w:tcW w:w="3969" w:type="dxa"/>
            <w:vMerge w:val="restart"/>
            <w:tcMar>
              <w:left w:w="0" w:type="dxa"/>
            </w:tcMar>
          </w:tcPr>
          <w:p w14:paraId="4A2953E4" w14:textId="0AAF3071" w:rsidR="00796BD3" w:rsidRPr="00EC50A1"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EC50A1">
              <w:rPr>
                <w:b/>
                <w:lang w:val="ru-RU"/>
              </w:rPr>
              <w:t>Пункт повестки дня:</w:t>
            </w:r>
            <w:r w:rsidR="00D42F17" w:rsidRPr="00EC50A1">
              <w:rPr>
                <w:b/>
                <w:lang w:val="ru-RU"/>
              </w:rPr>
              <w:t xml:space="preserve"> ADM 2</w:t>
            </w:r>
          </w:p>
        </w:tc>
        <w:tc>
          <w:tcPr>
            <w:tcW w:w="5245" w:type="dxa"/>
          </w:tcPr>
          <w:p w14:paraId="2E842227" w14:textId="5BED8677" w:rsidR="00796BD3" w:rsidRPr="00EC50A1" w:rsidRDefault="0033025A" w:rsidP="00E31DCE">
            <w:pPr>
              <w:tabs>
                <w:tab w:val="left" w:pos="851"/>
              </w:tabs>
              <w:spacing w:before="0" w:line="240" w:lineRule="atLeast"/>
              <w:jc w:val="right"/>
              <w:rPr>
                <w:b/>
                <w:lang w:val="ru-RU"/>
              </w:rPr>
            </w:pPr>
            <w:r w:rsidRPr="00EC50A1">
              <w:rPr>
                <w:b/>
                <w:lang w:val="ru-RU"/>
              </w:rPr>
              <w:t xml:space="preserve">Документ </w:t>
            </w:r>
            <w:r w:rsidR="00796BD3" w:rsidRPr="00EC50A1">
              <w:rPr>
                <w:b/>
                <w:lang w:val="ru-RU"/>
              </w:rPr>
              <w:t>C2</w:t>
            </w:r>
            <w:r w:rsidR="00660449" w:rsidRPr="00EC50A1">
              <w:rPr>
                <w:b/>
                <w:lang w:val="ru-RU"/>
              </w:rPr>
              <w:t>4</w:t>
            </w:r>
            <w:r w:rsidR="00796BD3" w:rsidRPr="00EC50A1">
              <w:rPr>
                <w:b/>
                <w:lang w:val="ru-RU"/>
              </w:rPr>
              <w:t>/</w:t>
            </w:r>
            <w:r w:rsidR="00D42F17" w:rsidRPr="00EC50A1">
              <w:rPr>
                <w:b/>
                <w:lang w:val="ru-RU"/>
              </w:rPr>
              <w:t>41</w:t>
            </w:r>
            <w:r w:rsidR="00796BD3" w:rsidRPr="00EC50A1">
              <w:rPr>
                <w:b/>
                <w:lang w:val="ru-RU"/>
              </w:rPr>
              <w:t>-R</w:t>
            </w:r>
          </w:p>
        </w:tc>
      </w:tr>
      <w:tr w:rsidR="00796BD3" w:rsidRPr="00EC50A1" w14:paraId="50E2EA71" w14:textId="77777777" w:rsidTr="00E31DCE">
        <w:trPr>
          <w:cantSplit/>
        </w:trPr>
        <w:tc>
          <w:tcPr>
            <w:tcW w:w="3969" w:type="dxa"/>
            <w:vMerge/>
          </w:tcPr>
          <w:p w14:paraId="267E8D06" w14:textId="77777777" w:rsidR="00796BD3" w:rsidRPr="00EC50A1"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5FF4E430" w14:textId="11378708" w:rsidR="00796BD3" w:rsidRPr="00EC50A1" w:rsidRDefault="00D42F17" w:rsidP="00E31DCE">
            <w:pPr>
              <w:tabs>
                <w:tab w:val="left" w:pos="851"/>
              </w:tabs>
              <w:spacing w:before="0"/>
              <w:jc w:val="right"/>
              <w:rPr>
                <w:b/>
                <w:lang w:val="ru-RU"/>
              </w:rPr>
            </w:pPr>
            <w:r w:rsidRPr="00EC50A1">
              <w:rPr>
                <w:b/>
                <w:lang w:val="ru-RU"/>
              </w:rPr>
              <w:t>22 февраля</w:t>
            </w:r>
            <w:r w:rsidR="00796BD3" w:rsidRPr="00EC50A1">
              <w:rPr>
                <w:b/>
                <w:lang w:val="ru-RU"/>
              </w:rPr>
              <w:t xml:space="preserve"> 202</w:t>
            </w:r>
            <w:r w:rsidR="00660449" w:rsidRPr="00EC50A1">
              <w:rPr>
                <w:b/>
                <w:lang w:val="ru-RU"/>
              </w:rPr>
              <w:t>4</w:t>
            </w:r>
            <w:r w:rsidRPr="00EC50A1">
              <w:rPr>
                <w:b/>
                <w:lang w:val="ru-RU"/>
              </w:rPr>
              <w:t xml:space="preserve"> года</w:t>
            </w:r>
          </w:p>
        </w:tc>
      </w:tr>
      <w:tr w:rsidR="00796BD3" w:rsidRPr="00EC50A1" w14:paraId="6FFABE32" w14:textId="77777777" w:rsidTr="00E31DCE">
        <w:trPr>
          <w:cantSplit/>
          <w:trHeight w:val="23"/>
        </w:trPr>
        <w:tc>
          <w:tcPr>
            <w:tcW w:w="3969" w:type="dxa"/>
            <w:vMerge/>
          </w:tcPr>
          <w:p w14:paraId="2C48C532" w14:textId="77777777" w:rsidR="00796BD3" w:rsidRPr="00EC50A1" w:rsidRDefault="00796BD3" w:rsidP="00E31DCE">
            <w:pPr>
              <w:tabs>
                <w:tab w:val="left" w:pos="851"/>
              </w:tabs>
              <w:spacing w:line="240" w:lineRule="atLeast"/>
              <w:rPr>
                <w:b/>
                <w:lang w:val="ru-RU"/>
              </w:rPr>
            </w:pPr>
            <w:bookmarkStart w:id="4" w:name="dorlang" w:colFirst="1" w:colLast="1"/>
            <w:bookmarkEnd w:id="3"/>
          </w:p>
        </w:tc>
        <w:tc>
          <w:tcPr>
            <w:tcW w:w="5245" w:type="dxa"/>
          </w:tcPr>
          <w:p w14:paraId="7EC1E853" w14:textId="77777777" w:rsidR="00796BD3" w:rsidRPr="00EC50A1" w:rsidRDefault="0033025A" w:rsidP="00E31DCE">
            <w:pPr>
              <w:tabs>
                <w:tab w:val="left" w:pos="851"/>
              </w:tabs>
              <w:spacing w:before="0" w:line="240" w:lineRule="atLeast"/>
              <w:jc w:val="right"/>
              <w:rPr>
                <w:b/>
                <w:lang w:val="ru-RU"/>
              </w:rPr>
            </w:pPr>
            <w:r w:rsidRPr="00EC50A1">
              <w:rPr>
                <w:b/>
                <w:lang w:val="ru-RU"/>
              </w:rPr>
              <w:t>Оригинал: английский</w:t>
            </w:r>
          </w:p>
        </w:tc>
      </w:tr>
      <w:tr w:rsidR="00796BD3" w:rsidRPr="00EC50A1" w14:paraId="0CA4A6F6" w14:textId="77777777" w:rsidTr="00E31DCE">
        <w:trPr>
          <w:cantSplit/>
          <w:trHeight w:val="23"/>
        </w:trPr>
        <w:tc>
          <w:tcPr>
            <w:tcW w:w="3969" w:type="dxa"/>
          </w:tcPr>
          <w:p w14:paraId="015F82B9" w14:textId="77777777" w:rsidR="00796BD3" w:rsidRPr="00EC50A1" w:rsidRDefault="00796BD3" w:rsidP="00E31DCE">
            <w:pPr>
              <w:tabs>
                <w:tab w:val="left" w:pos="851"/>
              </w:tabs>
              <w:spacing w:line="240" w:lineRule="atLeast"/>
              <w:rPr>
                <w:b/>
                <w:lang w:val="ru-RU"/>
              </w:rPr>
            </w:pPr>
          </w:p>
        </w:tc>
        <w:tc>
          <w:tcPr>
            <w:tcW w:w="5245" w:type="dxa"/>
          </w:tcPr>
          <w:p w14:paraId="48269EBD" w14:textId="77777777" w:rsidR="00796BD3" w:rsidRPr="00EC50A1" w:rsidRDefault="00796BD3" w:rsidP="00E31DCE">
            <w:pPr>
              <w:tabs>
                <w:tab w:val="left" w:pos="851"/>
              </w:tabs>
              <w:spacing w:before="0" w:line="240" w:lineRule="atLeast"/>
              <w:jc w:val="right"/>
              <w:rPr>
                <w:b/>
                <w:lang w:val="ru-RU"/>
              </w:rPr>
            </w:pPr>
          </w:p>
        </w:tc>
      </w:tr>
      <w:tr w:rsidR="00796BD3" w:rsidRPr="00EC50A1" w14:paraId="2B82CBBD" w14:textId="77777777" w:rsidTr="00E31DCE">
        <w:trPr>
          <w:cantSplit/>
        </w:trPr>
        <w:tc>
          <w:tcPr>
            <w:tcW w:w="9214" w:type="dxa"/>
            <w:gridSpan w:val="2"/>
            <w:tcMar>
              <w:left w:w="0" w:type="dxa"/>
            </w:tcMar>
          </w:tcPr>
          <w:p w14:paraId="23A5D255" w14:textId="77777777" w:rsidR="00796BD3" w:rsidRPr="00EC50A1" w:rsidRDefault="0033025A" w:rsidP="00672F8A">
            <w:pPr>
              <w:pStyle w:val="Source"/>
              <w:jc w:val="left"/>
              <w:rPr>
                <w:sz w:val="32"/>
                <w:szCs w:val="32"/>
                <w:lang w:val="ru-RU"/>
              </w:rPr>
            </w:pPr>
            <w:bookmarkStart w:id="5" w:name="dsource" w:colFirst="0" w:colLast="0"/>
            <w:bookmarkEnd w:id="4"/>
            <w:r w:rsidRPr="00EC50A1">
              <w:rPr>
                <w:rFonts w:cstheme="minorHAnsi"/>
                <w:sz w:val="32"/>
                <w:szCs w:val="32"/>
                <w:lang w:val="ru-RU"/>
              </w:rPr>
              <w:t>Отчет Генерального секретаря</w:t>
            </w:r>
          </w:p>
        </w:tc>
      </w:tr>
      <w:tr w:rsidR="00796BD3" w:rsidRPr="00150ADD" w14:paraId="43C303F5" w14:textId="77777777" w:rsidTr="00E31DCE">
        <w:trPr>
          <w:cantSplit/>
        </w:trPr>
        <w:tc>
          <w:tcPr>
            <w:tcW w:w="9214" w:type="dxa"/>
            <w:gridSpan w:val="2"/>
            <w:tcMar>
              <w:left w:w="0" w:type="dxa"/>
            </w:tcMar>
          </w:tcPr>
          <w:p w14:paraId="53CEE8BA" w14:textId="7FF7B933" w:rsidR="00796BD3" w:rsidRPr="00EC50A1" w:rsidRDefault="00D42F17" w:rsidP="00E31DCE">
            <w:pPr>
              <w:pStyle w:val="Subtitle"/>
              <w:framePr w:hSpace="0" w:wrap="auto" w:hAnchor="text" w:xAlign="left" w:yAlign="inline"/>
              <w:rPr>
                <w:sz w:val="32"/>
                <w:szCs w:val="32"/>
                <w:lang w:val="ru-RU"/>
              </w:rPr>
            </w:pPr>
            <w:bookmarkStart w:id="6" w:name="dtitle1" w:colFirst="0" w:colLast="0"/>
            <w:bookmarkEnd w:id="5"/>
            <w:r w:rsidRPr="00EC50A1">
              <w:rPr>
                <w:rFonts w:cstheme="minorHAnsi"/>
                <w:sz w:val="32"/>
                <w:szCs w:val="32"/>
                <w:lang w:val="ru-RU"/>
              </w:rPr>
              <w:t>ОТЧЕТ ВНЕШНЕГО АУДИТОРА ПО ФИНАНСОВОЙ ОТЧЕТНОСТИ МСЭ ЗА 2022 ГОД</w:t>
            </w:r>
          </w:p>
        </w:tc>
      </w:tr>
      <w:tr w:rsidR="00796BD3" w:rsidRPr="00150ADD" w14:paraId="5E3B6CCD" w14:textId="77777777" w:rsidTr="00E31DCE">
        <w:trPr>
          <w:cantSplit/>
        </w:trPr>
        <w:tc>
          <w:tcPr>
            <w:tcW w:w="9214" w:type="dxa"/>
            <w:gridSpan w:val="2"/>
            <w:tcBorders>
              <w:top w:val="single" w:sz="4" w:space="0" w:color="auto"/>
              <w:bottom w:val="single" w:sz="4" w:space="0" w:color="auto"/>
            </w:tcBorders>
            <w:tcMar>
              <w:left w:w="0" w:type="dxa"/>
            </w:tcMar>
          </w:tcPr>
          <w:p w14:paraId="2B7BA66C" w14:textId="505B5674" w:rsidR="00796BD3" w:rsidRPr="00EC50A1" w:rsidRDefault="0033025A" w:rsidP="00E31DCE">
            <w:pPr>
              <w:spacing w:before="160"/>
              <w:rPr>
                <w:b/>
                <w:bCs/>
                <w:sz w:val="24"/>
                <w:szCs w:val="24"/>
                <w:lang w:val="ru-RU"/>
              </w:rPr>
            </w:pPr>
            <w:r w:rsidRPr="00EC50A1">
              <w:rPr>
                <w:b/>
                <w:bCs/>
                <w:sz w:val="24"/>
                <w:szCs w:val="24"/>
                <w:lang w:val="ru-RU"/>
              </w:rPr>
              <w:t>Назначение</w:t>
            </w:r>
          </w:p>
          <w:p w14:paraId="41AC3D99" w14:textId="38B7893B" w:rsidR="00796BD3" w:rsidRPr="00EC50A1" w:rsidRDefault="00D42F17" w:rsidP="00E31DCE">
            <w:pPr>
              <w:rPr>
                <w:lang w:val="ru-RU"/>
              </w:rPr>
            </w:pPr>
            <w:r w:rsidRPr="00EC50A1">
              <w:rPr>
                <w:lang w:val="ru-RU"/>
              </w:rPr>
              <w:t>Настоящий документ содержит Отчет Внешнего аудитора по проверенной финансовой отчетности МСЭ за 2022 год.</w:t>
            </w:r>
          </w:p>
          <w:p w14:paraId="07C3F18C" w14:textId="77777777" w:rsidR="00796BD3" w:rsidRPr="00EC50A1" w:rsidRDefault="0033025A" w:rsidP="00E31DCE">
            <w:pPr>
              <w:spacing w:before="160"/>
              <w:rPr>
                <w:b/>
                <w:bCs/>
                <w:sz w:val="24"/>
                <w:szCs w:val="24"/>
                <w:lang w:val="ru-RU"/>
              </w:rPr>
            </w:pPr>
            <w:r w:rsidRPr="00EC50A1">
              <w:rPr>
                <w:b/>
                <w:bCs/>
                <w:sz w:val="24"/>
                <w:szCs w:val="24"/>
                <w:lang w:val="ru-RU"/>
              </w:rPr>
              <w:t>Необходимые действия Совета</w:t>
            </w:r>
          </w:p>
          <w:p w14:paraId="03164EF8" w14:textId="17D3B241" w:rsidR="00796BD3" w:rsidRPr="00EC50A1" w:rsidRDefault="00D42F17" w:rsidP="00E31DCE">
            <w:pPr>
              <w:rPr>
                <w:lang w:val="ru-RU"/>
              </w:rPr>
            </w:pPr>
            <w:r w:rsidRPr="00EC50A1">
              <w:rPr>
                <w:lang w:val="ru-RU"/>
              </w:rPr>
              <w:t>Совету предлагается рассмотреть и утвердить отчет Внешнего аудитора по финансовой отчетности МСЭ за 2022 год, проверенной Национальным ревизионным управлением (НРУ).</w:t>
            </w:r>
          </w:p>
          <w:p w14:paraId="0928E0F3" w14:textId="77777777" w:rsidR="00796BD3" w:rsidRPr="00EC50A1" w:rsidRDefault="00796BD3" w:rsidP="00E31DCE">
            <w:pPr>
              <w:spacing w:before="160"/>
              <w:rPr>
                <w:caps/>
                <w:sz w:val="20"/>
                <w:szCs w:val="18"/>
                <w:lang w:val="ru-RU"/>
              </w:rPr>
            </w:pPr>
            <w:r w:rsidRPr="00EC50A1">
              <w:rPr>
                <w:sz w:val="20"/>
                <w:szCs w:val="18"/>
                <w:lang w:val="ru-RU"/>
              </w:rPr>
              <w:t>__________________</w:t>
            </w:r>
          </w:p>
          <w:p w14:paraId="004A803B" w14:textId="77777777" w:rsidR="00796BD3" w:rsidRPr="00EC50A1" w:rsidRDefault="0033025A" w:rsidP="00E31DCE">
            <w:pPr>
              <w:spacing w:before="160"/>
              <w:rPr>
                <w:b/>
                <w:bCs/>
                <w:sz w:val="26"/>
                <w:szCs w:val="26"/>
                <w:lang w:val="ru-RU"/>
              </w:rPr>
            </w:pPr>
            <w:r w:rsidRPr="00EC50A1">
              <w:rPr>
                <w:b/>
                <w:bCs/>
                <w:sz w:val="24"/>
                <w:szCs w:val="24"/>
                <w:lang w:val="ru-RU"/>
              </w:rPr>
              <w:t>Справочные материалы</w:t>
            </w:r>
          </w:p>
          <w:p w14:paraId="45260284" w14:textId="1D51C966" w:rsidR="00796BD3" w:rsidRPr="00EC50A1" w:rsidRDefault="00150ADD" w:rsidP="00E31DCE">
            <w:pPr>
              <w:spacing w:after="160"/>
              <w:rPr>
                <w:lang w:val="ru-RU"/>
              </w:rPr>
            </w:pPr>
            <w:hyperlink r:id="rId8" w:history="1">
              <w:r w:rsidR="00D42F17" w:rsidRPr="00EC50A1">
                <w:rPr>
                  <w:i/>
                  <w:iCs/>
                  <w:color w:val="0000FF"/>
                  <w:u w:val="single"/>
                  <w:lang w:val="ru-RU"/>
                </w:rPr>
                <w:t>Финансовый регламент (версия 2018 г.)</w:t>
              </w:r>
            </w:hyperlink>
            <w:r w:rsidR="00D42F17" w:rsidRPr="00EC50A1">
              <w:rPr>
                <w:i/>
                <w:iCs/>
                <w:lang w:val="ru-RU"/>
              </w:rPr>
              <w:t>: Статья 28 и Дополнительные полномочия</w:t>
            </w:r>
          </w:p>
        </w:tc>
      </w:tr>
      <w:bookmarkEnd w:id="2"/>
      <w:bookmarkEnd w:id="6"/>
    </w:tbl>
    <w:p w14:paraId="28C9DD73" w14:textId="77777777" w:rsidR="00796BD3" w:rsidRPr="00EC50A1" w:rsidRDefault="00796BD3" w:rsidP="00796BD3">
      <w:pPr>
        <w:rPr>
          <w:lang w:val="ru-RU"/>
        </w:rPr>
      </w:pPr>
    </w:p>
    <w:p w14:paraId="251ED9F6" w14:textId="77777777" w:rsidR="00D42F17" w:rsidRPr="00EC50A1" w:rsidRDefault="00D42F17">
      <w:pPr>
        <w:tabs>
          <w:tab w:val="clear" w:pos="794"/>
          <w:tab w:val="clear" w:pos="1191"/>
          <w:tab w:val="clear" w:pos="1588"/>
          <w:tab w:val="clear" w:pos="1985"/>
        </w:tabs>
        <w:overflowPunct/>
        <w:autoSpaceDE/>
        <w:autoSpaceDN/>
        <w:adjustRightInd/>
        <w:spacing w:before="0"/>
        <w:textAlignment w:val="auto"/>
        <w:rPr>
          <w:lang w:val="ru-RU"/>
        </w:rPr>
      </w:pPr>
    </w:p>
    <w:p w14:paraId="0AE0091E" w14:textId="77777777" w:rsidR="00D42F17" w:rsidRPr="00EC50A1" w:rsidRDefault="00D42F17">
      <w:pPr>
        <w:tabs>
          <w:tab w:val="clear" w:pos="794"/>
          <w:tab w:val="clear" w:pos="1191"/>
          <w:tab w:val="clear" w:pos="1588"/>
          <w:tab w:val="clear" w:pos="1985"/>
        </w:tabs>
        <w:overflowPunct/>
        <w:autoSpaceDE/>
        <w:autoSpaceDN/>
        <w:adjustRightInd/>
        <w:spacing w:before="0"/>
        <w:textAlignment w:val="auto"/>
        <w:rPr>
          <w:lang w:val="ru-RU"/>
        </w:rPr>
        <w:sectPr w:rsidR="00D42F17" w:rsidRPr="00EC50A1" w:rsidSect="00D42F17">
          <w:headerReference w:type="default" r:id="rId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pPr>
    </w:p>
    <w:p w14:paraId="2600FEEC" w14:textId="77777777" w:rsidR="00D42F17" w:rsidRPr="00C62315" w:rsidRDefault="00D42F17" w:rsidP="00D42F17">
      <w:pPr>
        <w:pStyle w:val="zzDocType"/>
        <w:rPr>
          <w:rFonts w:asciiTheme="minorHAnsi" w:hAnsiTheme="minorHAnsi" w:cstheme="minorHAnsi"/>
          <w:sz w:val="22"/>
          <w:szCs w:val="28"/>
          <w:lang w:val="ru-RU"/>
        </w:rPr>
      </w:pPr>
      <w:r w:rsidRPr="00C62315">
        <w:rPr>
          <w:rFonts w:asciiTheme="minorHAnsi" w:hAnsiTheme="minorHAnsi" w:cstheme="minorHAnsi"/>
          <w:bCs/>
          <w:sz w:val="22"/>
          <w:szCs w:val="28"/>
          <w:lang w:val="ru-RU"/>
        </w:rPr>
        <w:lastRenderedPageBreak/>
        <w:t>Отчет для Совета</w:t>
      </w:r>
    </w:p>
    <w:p w14:paraId="0F407842" w14:textId="7AB9BFC8" w:rsidR="00D42F17" w:rsidRPr="00C62315" w:rsidRDefault="00EC50A1" w:rsidP="00D42F17">
      <w:pPr>
        <w:pStyle w:val="zzDocType"/>
        <w:rPr>
          <w:rFonts w:asciiTheme="minorHAnsi" w:hAnsiTheme="minorHAnsi" w:cstheme="minorHAnsi"/>
          <w:sz w:val="22"/>
          <w:szCs w:val="28"/>
          <w:lang w:val="ru-RU"/>
        </w:rPr>
      </w:pPr>
      <w:r w:rsidRPr="00C62315">
        <w:rPr>
          <w:rFonts w:asciiTheme="minorHAnsi" w:hAnsiTheme="minorHAnsi" w:cstheme="minorHAnsi"/>
          <w:bCs/>
          <w:sz w:val="22"/>
          <w:szCs w:val="28"/>
          <w:lang w:val="ru-RU"/>
        </w:rPr>
        <w:t>Я</w:t>
      </w:r>
      <w:r w:rsidR="00D42F17" w:rsidRPr="00C62315">
        <w:rPr>
          <w:rFonts w:asciiTheme="minorHAnsi" w:hAnsiTheme="minorHAnsi" w:cstheme="minorHAnsi"/>
          <w:bCs/>
          <w:sz w:val="22"/>
          <w:szCs w:val="28"/>
          <w:lang w:val="ru-RU"/>
        </w:rPr>
        <w:t>нварь 2024 года</w:t>
      </w:r>
    </w:p>
    <w:p w14:paraId="37522B42" w14:textId="77777777" w:rsidR="00D42F17" w:rsidRPr="00C62315" w:rsidRDefault="00D42F17" w:rsidP="00D42F17">
      <w:pPr>
        <w:pStyle w:val="zzDepartmentname"/>
        <w:rPr>
          <w:rFonts w:asciiTheme="minorHAnsi" w:hAnsiTheme="minorHAnsi" w:cstheme="minorHAnsi"/>
          <w:bCs/>
          <w:sz w:val="26"/>
          <w:szCs w:val="26"/>
          <w:lang w:val="ru-RU"/>
        </w:rPr>
      </w:pPr>
      <w:r w:rsidRPr="00C62315">
        <w:rPr>
          <w:rFonts w:asciiTheme="minorHAnsi" w:hAnsiTheme="minorHAnsi" w:cstheme="minorHAnsi"/>
          <w:bCs/>
          <w:sz w:val="26"/>
          <w:szCs w:val="26"/>
          <w:lang w:val="ru-RU"/>
        </w:rPr>
        <w:t>Международный союз электросвязи</w:t>
      </w:r>
    </w:p>
    <w:p w14:paraId="66524E0D" w14:textId="0D89393F" w:rsidR="00D42F17" w:rsidRPr="00C62315" w:rsidRDefault="00D42F17" w:rsidP="00D42F17">
      <w:pPr>
        <w:pStyle w:val="zzReporttitle"/>
        <w:rPr>
          <w:rFonts w:asciiTheme="minorHAnsi" w:hAnsiTheme="minorHAnsi" w:cstheme="minorHAnsi"/>
          <w:lang w:val="ru-RU"/>
        </w:rPr>
      </w:pPr>
      <w:r w:rsidRPr="00C62315">
        <w:rPr>
          <w:rFonts w:asciiTheme="minorHAnsi" w:hAnsiTheme="minorHAnsi" w:cstheme="minorHAnsi"/>
          <w:lang w:val="ru-RU"/>
        </w:rPr>
        <w:t>Отчет Внешнего аудитора по</w:t>
      </w:r>
      <w:r w:rsidR="00EC50A1" w:rsidRPr="00C62315">
        <w:rPr>
          <w:rFonts w:asciiTheme="minorHAnsi" w:hAnsiTheme="minorHAnsi" w:cstheme="minorHAnsi"/>
          <w:lang w:val="ru-RU"/>
        </w:rPr>
        <w:t> </w:t>
      </w:r>
      <w:r w:rsidRPr="00C62315">
        <w:rPr>
          <w:rFonts w:asciiTheme="minorHAnsi" w:hAnsiTheme="minorHAnsi" w:cstheme="minorHAnsi"/>
          <w:lang w:val="ru-RU"/>
        </w:rPr>
        <w:t>финансовой отчетности МСЭ за</w:t>
      </w:r>
      <w:r w:rsidR="00EC50A1" w:rsidRPr="00C62315">
        <w:rPr>
          <w:rFonts w:asciiTheme="minorHAnsi" w:hAnsiTheme="minorHAnsi" w:cstheme="minorHAnsi"/>
          <w:lang w:val="ru-RU"/>
        </w:rPr>
        <w:t> </w:t>
      </w:r>
      <w:r w:rsidRPr="00C62315">
        <w:rPr>
          <w:rFonts w:asciiTheme="minorHAnsi" w:hAnsiTheme="minorHAnsi" w:cstheme="minorHAnsi"/>
          <w:lang w:val="ru-RU"/>
        </w:rPr>
        <w:t>2022</w:t>
      </w:r>
      <w:r w:rsidR="00EC50A1" w:rsidRPr="00C62315">
        <w:rPr>
          <w:rFonts w:asciiTheme="minorHAnsi" w:hAnsiTheme="minorHAnsi" w:cstheme="minorHAnsi"/>
          <w:lang w:val="ru-RU"/>
        </w:rPr>
        <w:t> </w:t>
      </w:r>
      <w:r w:rsidRPr="00C62315">
        <w:rPr>
          <w:rFonts w:asciiTheme="minorHAnsi" w:hAnsiTheme="minorHAnsi" w:cstheme="minorHAnsi"/>
          <w:lang w:val="ru-RU"/>
        </w:rPr>
        <w:t>год</w:t>
      </w:r>
    </w:p>
    <w:p w14:paraId="5AD82799" w14:textId="650F7F58" w:rsidR="00D42F17" w:rsidRPr="00EC50A1" w:rsidRDefault="00D42F17">
      <w:pPr>
        <w:tabs>
          <w:tab w:val="clear" w:pos="794"/>
          <w:tab w:val="clear" w:pos="1191"/>
          <w:tab w:val="clear" w:pos="1588"/>
          <w:tab w:val="clear" w:pos="1985"/>
        </w:tabs>
        <w:overflowPunct/>
        <w:autoSpaceDE/>
        <w:autoSpaceDN/>
        <w:adjustRightInd/>
        <w:spacing w:before="0"/>
        <w:textAlignment w:val="auto"/>
        <w:rPr>
          <w:lang w:val="ru-RU"/>
        </w:rPr>
      </w:pPr>
      <w:r w:rsidRPr="00EC50A1">
        <w:rPr>
          <w:lang w:val="ru-RU"/>
        </w:rPr>
        <w:br w:type="page"/>
      </w:r>
    </w:p>
    <w:p w14:paraId="1E95446A" w14:textId="415505D2" w:rsidR="00796BD3" w:rsidRPr="0041297C" w:rsidRDefault="00EC50A1" w:rsidP="00796BD3">
      <w:pPr>
        <w:rPr>
          <w:sz w:val="32"/>
          <w:szCs w:val="28"/>
          <w:lang w:val="ru-RU"/>
        </w:rPr>
      </w:pPr>
      <w:r w:rsidRPr="0041297C">
        <w:rPr>
          <w:sz w:val="32"/>
          <w:szCs w:val="28"/>
          <w:lang w:val="ru-RU"/>
        </w:rPr>
        <w:lastRenderedPageBreak/>
        <w:t>Цель аудита заключается в том, чтобы предоставить Государствам-Членам независимые подтверждения достоверности, повысить эффективность управления финансами и руководства ими в МСЭ, а также содействовать достижению целей работы Союза посредством процесса внешнего аудита.</w:t>
      </w:r>
    </w:p>
    <w:p w14:paraId="22C977BD" w14:textId="260359A4" w:rsidR="00EC50A1" w:rsidRPr="00EC50A1" w:rsidRDefault="00EC50A1" w:rsidP="0041297C">
      <w:pPr>
        <w:pBdr>
          <w:top w:val="single" w:sz="4" w:space="1" w:color="auto"/>
        </w:pBdr>
        <w:spacing w:before="9000"/>
        <w:rPr>
          <w:lang w:val="ru-RU"/>
        </w:rPr>
      </w:pPr>
      <w:r w:rsidRPr="00EC50A1">
        <w:rPr>
          <w:lang w:val="ru-RU"/>
        </w:rPr>
        <w:t>Контролер и Генеральный ревизор является главой Национального ревизионного управления (НРУ) – высшего ревизионного учреждения Соединенного Королевства. Контролер и Генеральный ревизор и НРУ независимы от правительства Соединенного Королевства и обеспечивают надлежащее и эффективное расходование государственных средств и подотчетность Парламенту Соединенного Королевства. НРУ предоставляет услуги внешнего аудита ряду международных организаций и выполняет эти функции независимо от своей роли высшего ревизионного учреждения Соединенного Королевства.</w:t>
      </w:r>
    </w:p>
    <w:p w14:paraId="620FCADD" w14:textId="12E67926" w:rsidR="00EC50A1" w:rsidRPr="00EC50A1" w:rsidRDefault="00EC50A1">
      <w:pPr>
        <w:tabs>
          <w:tab w:val="clear" w:pos="794"/>
          <w:tab w:val="clear" w:pos="1191"/>
          <w:tab w:val="clear" w:pos="1588"/>
          <w:tab w:val="clear" w:pos="1985"/>
        </w:tabs>
        <w:overflowPunct/>
        <w:autoSpaceDE/>
        <w:autoSpaceDN/>
        <w:adjustRightInd/>
        <w:spacing w:before="0"/>
        <w:textAlignment w:val="auto"/>
        <w:rPr>
          <w:lang w:val="ru-RU"/>
        </w:rPr>
      </w:pPr>
      <w:r w:rsidRPr="00EC50A1">
        <w:rPr>
          <w:lang w:val="ru-RU"/>
        </w:rPr>
        <w:br w:type="page"/>
      </w:r>
    </w:p>
    <w:p w14:paraId="759F4086" w14:textId="77777777" w:rsidR="00EC50A1" w:rsidRPr="00C62315" w:rsidRDefault="00EC50A1" w:rsidP="00EC50A1">
      <w:pPr>
        <w:pStyle w:val="HeaderzzContents"/>
        <w:rPr>
          <w:rFonts w:asciiTheme="minorHAnsi" w:hAnsiTheme="minorHAnsi" w:cstheme="minorHAnsi"/>
          <w:sz w:val="44"/>
          <w:szCs w:val="44"/>
          <w:lang w:val="ru-RU"/>
        </w:rPr>
      </w:pPr>
      <w:r w:rsidRPr="00C62315">
        <w:rPr>
          <w:rFonts w:asciiTheme="minorHAnsi" w:hAnsiTheme="minorHAnsi" w:cstheme="minorHAnsi"/>
          <w:sz w:val="44"/>
          <w:szCs w:val="44"/>
          <w:lang w:val="ru-RU"/>
        </w:rPr>
        <w:lastRenderedPageBreak/>
        <w:t>Содержание</w:t>
      </w:r>
    </w:p>
    <w:p w14:paraId="1D388A5C" w14:textId="004005F4" w:rsidR="00EC50A1" w:rsidRPr="00EC50A1" w:rsidRDefault="00EC50A1" w:rsidP="00EC50A1">
      <w:pPr>
        <w:jc w:val="right"/>
        <w:rPr>
          <w:lang w:val="ru-RU"/>
        </w:rPr>
      </w:pPr>
      <w:r w:rsidRPr="00EC50A1">
        <w:rPr>
          <w:b/>
          <w:bCs/>
          <w:lang w:val="ru-RU"/>
        </w:rPr>
        <w:t>Стр</w:t>
      </w:r>
      <w:r>
        <w:rPr>
          <w:lang w:val="ru-RU"/>
        </w:rPr>
        <w:t>.</w:t>
      </w:r>
    </w:p>
    <w:p w14:paraId="1FC674B5" w14:textId="6BFC039B" w:rsidR="00EC50A1" w:rsidRDefault="00EC50A1" w:rsidP="00C62315">
      <w:pPr>
        <w:pStyle w:val="TOC1"/>
        <w:tabs>
          <w:tab w:val="clear" w:pos="8789"/>
          <w:tab w:val="center" w:pos="8931"/>
        </w:tabs>
        <w:rPr>
          <w:rFonts w:asciiTheme="minorHAnsi" w:eastAsiaTheme="minorEastAsia" w:hAnsiTheme="minorHAnsi" w:cstheme="minorBidi"/>
          <w:noProof/>
          <w:kern w:val="2"/>
          <w:szCs w:val="22"/>
          <w:lang w:eastAsia="en-GB"/>
          <w14:ligatures w14:val="standardContextual"/>
        </w:rPr>
      </w:pPr>
      <w:r>
        <w:rPr>
          <w:lang w:val="ru-RU"/>
        </w:rPr>
        <w:fldChar w:fldCharType="begin"/>
      </w:r>
      <w:r>
        <w:rPr>
          <w:lang w:val="ru-RU"/>
        </w:rPr>
        <w:instrText xml:space="preserve"> TOC \o "1-2" \h \z \u </w:instrText>
      </w:r>
      <w:r>
        <w:rPr>
          <w:lang w:val="ru-RU"/>
        </w:rPr>
        <w:fldChar w:fldCharType="separate"/>
      </w:r>
      <w:hyperlink w:anchor="_Toc163227687" w:history="1">
        <w:r w:rsidRPr="00EC50A1">
          <w:rPr>
            <w:rStyle w:val="Hyperlink"/>
            <w:b/>
            <w:bCs/>
            <w:noProof/>
            <w:lang w:val="ru-RU"/>
          </w:rPr>
          <w:t>Заключительный отчет об аудите</w:t>
        </w:r>
        <w:r>
          <w:rPr>
            <w:noProof/>
            <w:webHidden/>
          </w:rPr>
          <w:tab/>
        </w:r>
        <w:r>
          <w:rPr>
            <w:noProof/>
            <w:webHidden/>
          </w:rPr>
          <w:tab/>
        </w:r>
        <w:r w:rsidRPr="00EC50A1">
          <w:rPr>
            <w:b/>
            <w:bCs/>
            <w:noProof/>
            <w:webHidden/>
          </w:rPr>
          <w:fldChar w:fldCharType="begin"/>
        </w:r>
        <w:r w:rsidRPr="00EC50A1">
          <w:rPr>
            <w:b/>
            <w:bCs/>
            <w:noProof/>
            <w:webHidden/>
          </w:rPr>
          <w:instrText xml:space="preserve"> PAGEREF _Toc163227687 \h </w:instrText>
        </w:r>
        <w:r w:rsidRPr="00EC50A1">
          <w:rPr>
            <w:b/>
            <w:bCs/>
            <w:noProof/>
            <w:webHidden/>
          </w:rPr>
        </w:r>
        <w:r w:rsidRPr="00EC50A1">
          <w:rPr>
            <w:b/>
            <w:bCs/>
            <w:noProof/>
            <w:webHidden/>
          </w:rPr>
          <w:fldChar w:fldCharType="separate"/>
        </w:r>
        <w:r w:rsidR="0041297C">
          <w:rPr>
            <w:b/>
            <w:bCs/>
            <w:noProof/>
            <w:webHidden/>
          </w:rPr>
          <w:t>5</w:t>
        </w:r>
        <w:r w:rsidRPr="00EC50A1">
          <w:rPr>
            <w:b/>
            <w:bCs/>
            <w:noProof/>
            <w:webHidden/>
          </w:rPr>
          <w:fldChar w:fldCharType="end"/>
        </w:r>
      </w:hyperlink>
    </w:p>
    <w:p w14:paraId="1B781487" w14:textId="1EB67085" w:rsidR="00EC50A1" w:rsidRDefault="00150ADD" w:rsidP="00C62315">
      <w:pPr>
        <w:pStyle w:val="TOC2"/>
        <w:tabs>
          <w:tab w:val="clear" w:pos="8789"/>
          <w:tab w:val="center" w:pos="8931"/>
        </w:tabs>
        <w:rPr>
          <w:rFonts w:asciiTheme="minorHAnsi" w:eastAsiaTheme="minorEastAsia" w:hAnsiTheme="minorHAnsi" w:cstheme="minorBidi"/>
          <w:noProof/>
          <w:kern w:val="2"/>
          <w:szCs w:val="22"/>
          <w:lang w:eastAsia="en-GB"/>
          <w14:ligatures w14:val="standardContextual"/>
        </w:rPr>
      </w:pPr>
      <w:hyperlink w:anchor="_Toc163227688" w:history="1">
        <w:r w:rsidR="00EC50A1" w:rsidRPr="00A04460">
          <w:rPr>
            <w:rStyle w:val="Hyperlink"/>
            <w:noProof/>
            <w:lang w:val="ru-RU"/>
          </w:rPr>
          <w:t>Базовая информация</w:t>
        </w:r>
        <w:r w:rsidR="00EC50A1">
          <w:rPr>
            <w:noProof/>
            <w:webHidden/>
          </w:rPr>
          <w:tab/>
        </w:r>
        <w:r w:rsidR="00EC50A1">
          <w:rPr>
            <w:noProof/>
            <w:webHidden/>
          </w:rPr>
          <w:tab/>
        </w:r>
        <w:r w:rsidR="00EC50A1">
          <w:rPr>
            <w:noProof/>
            <w:webHidden/>
          </w:rPr>
          <w:fldChar w:fldCharType="begin"/>
        </w:r>
        <w:r w:rsidR="00EC50A1">
          <w:rPr>
            <w:noProof/>
            <w:webHidden/>
          </w:rPr>
          <w:instrText xml:space="preserve"> PAGEREF _Toc163227688 \h </w:instrText>
        </w:r>
        <w:r w:rsidR="00EC50A1">
          <w:rPr>
            <w:noProof/>
            <w:webHidden/>
          </w:rPr>
        </w:r>
        <w:r w:rsidR="00EC50A1">
          <w:rPr>
            <w:noProof/>
            <w:webHidden/>
          </w:rPr>
          <w:fldChar w:fldCharType="separate"/>
        </w:r>
        <w:r w:rsidR="0041297C">
          <w:rPr>
            <w:noProof/>
            <w:webHidden/>
          </w:rPr>
          <w:t>5</w:t>
        </w:r>
        <w:r w:rsidR="00EC50A1">
          <w:rPr>
            <w:noProof/>
            <w:webHidden/>
          </w:rPr>
          <w:fldChar w:fldCharType="end"/>
        </w:r>
      </w:hyperlink>
    </w:p>
    <w:p w14:paraId="68B85189" w14:textId="3037D81D" w:rsidR="00EC50A1" w:rsidRDefault="00150ADD" w:rsidP="00C62315">
      <w:pPr>
        <w:pStyle w:val="TOC2"/>
        <w:tabs>
          <w:tab w:val="clear" w:pos="8789"/>
          <w:tab w:val="center" w:pos="8931"/>
        </w:tabs>
        <w:rPr>
          <w:rFonts w:asciiTheme="minorHAnsi" w:eastAsiaTheme="minorEastAsia" w:hAnsiTheme="minorHAnsi" w:cstheme="minorBidi"/>
          <w:noProof/>
          <w:kern w:val="2"/>
          <w:szCs w:val="22"/>
          <w:lang w:eastAsia="en-GB"/>
          <w14:ligatures w14:val="standardContextual"/>
        </w:rPr>
      </w:pPr>
      <w:hyperlink w:anchor="_Toc163227689" w:history="1">
        <w:r w:rsidR="00EC50A1" w:rsidRPr="00A04460">
          <w:rPr>
            <w:rStyle w:val="Hyperlink"/>
            <w:noProof/>
            <w:lang w:val="ru-RU"/>
          </w:rPr>
          <w:t>Аудиторские заключения</w:t>
        </w:r>
        <w:r w:rsidR="00EC50A1">
          <w:rPr>
            <w:noProof/>
            <w:webHidden/>
          </w:rPr>
          <w:tab/>
        </w:r>
        <w:r w:rsidR="00EC50A1">
          <w:rPr>
            <w:noProof/>
            <w:webHidden/>
          </w:rPr>
          <w:tab/>
        </w:r>
        <w:r w:rsidR="00EC50A1">
          <w:rPr>
            <w:noProof/>
            <w:webHidden/>
          </w:rPr>
          <w:fldChar w:fldCharType="begin"/>
        </w:r>
        <w:r w:rsidR="00EC50A1">
          <w:rPr>
            <w:noProof/>
            <w:webHidden/>
          </w:rPr>
          <w:instrText xml:space="preserve"> PAGEREF _Toc163227689 \h </w:instrText>
        </w:r>
        <w:r w:rsidR="00EC50A1">
          <w:rPr>
            <w:noProof/>
            <w:webHidden/>
          </w:rPr>
        </w:r>
        <w:r w:rsidR="00EC50A1">
          <w:rPr>
            <w:noProof/>
            <w:webHidden/>
          </w:rPr>
          <w:fldChar w:fldCharType="separate"/>
        </w:r>
        <w:r w:rsidR="0041297C">
          <w:rPr>
            <w:noProof/>
            <w:webHidden/>
          </w:rPr>
          <w:t>5</w:t>
        </w:r>
        <w:r w:rsidR="00EC50A1">
          <w:rPr>
            <w:noProof/>
            <w:webHidden/>
          </w:rPr>
          <w:fldChar w:fldCharType="end"/>
        </w:r>
      </w:hyperlink>
    </w:p>
    <w:p w14:paraId="021CF474" w14:textId="377F4B71" w:rsidR="00EC50A1" w:rsidRDefault="00150ADD" w:rsidP="00C62315">
      <w:pPr>
        <w:pStyle w:val="TOC2"/>
        <w:tabs>
          <w:tab w:val="clear" w:pos="8789"/>
          <w:tab w:val="center" w:pos="8931"/>
        </w:tabs>
        <w:rPr>
          <w:rFonts w:asciiTheme="minorHAnsi" w:eastAsiaTheme="minorEastAsia" w:hAnsiTheme="minorHAnsi" w:cstheme="minorBidi"/>
          <w:noProof/>
          <w:kern w:val="2"/>
          <w:szCs w:val="22"/>
          <w:lang w:eastAsia="en-GB"/>
          <w14:ligatures w14:val="standardContextual"/>
        </w:rPr>
      </w:pPr>
      <w:hyperlink w:anchor="_Toc163227690" w:history="1">
        <w:r w:rsidR="00EC50A1" w:rsidRPr="00A04460">
          <w:rPr>
            <w:rStyle w:val="Hyperlink"/>
            <w:noProof/>
            <w:lang w:val="ru-RU"/>
          </w:rPr>
          <w:t>Представление финансовой отчетности</w:t>
        </w:r>
        <w:r w:rsidR="00EC50A1">
          <w:rPr>
            <w:noProof/>
            <w:webHidden/>
          </w:rPr>
          <w:tab/>
        </w:r>
        <w:r w:rsidR="00EC50A1">
          <w:rPr>
            <w:noProof/>
            <w:webHidden/>
          </w:rPr>
          <w:tab/>
        </w:r>
        <w:r w:rsidR="00EC50A1">
          <w:rPr>
            <w:noProof/>
            <w:webHidden/>
          </w:rPr>
          <w:fldChar w:fldCharType="begin"/>
        </w:r>
        <w:r w:rsidR="00EC50A1">
          <w:rPr>
            <w:noProof/>
            <w:webHidden/>
          </w:rPr>
          <w:instrText xml:space="preserve"> PAGEREF _Toc163227690 \h </w:instrText>
        </w:r>
        <w:r w:rsidR="00EC50A1">
          <w:rPr>
            <w:noProof/>
            <w:webHidden/>
          </w:rPr>
        </w:r>
        <w:r w:rsidR="00EC50A1">
          <w:rPr>
            <w:noProof/>
            <w:webHidden/>
          </w:rPr>
          <w:fldChar w:fldCharType="separate"/>
        </w:r>
        <w:r w:rsidR="0041297C">
          <w:rPr>
            <w:noProof/>
            <w:webHidden/>
          </w:rPr>
          <w:t>6</w:t>
        </w:r>
        <w:r w:rsidR="00EC50A1">
          <w:rPr>
            <w:noProof/>
            <w:webHidden/>
          </w:rPr>
          <w:fldChar w:fldCharType="end"/>
        </w:r>
      </w:hyperlink>
    </w:p>
    <w:p w14:paraId="2BDAA709" w14:textId="62916C8B" w:rsidR="00EC50A1" w:rsidRDefault="00150ADD" w:rsidP="00C62315">
      <w:pPr>
        <w:pStyle w:val="TOC2"/>
        <w:tabs>
          <w:tab w:val="clear" w:pos="8789"/>
          <w:tab w:val="center" w:pos="8931"/>
        </w:tabs>
        <w:rPr>
          <w:rFonts w:asciiTheme="minorHAnsi" w:eastAsiaTheme="minorEastAsia" w:hAnsiTheme="minorHAnsi" w:cstheme="minorBidi"/>
          <w:noProof/>
          <w:kern w:val="2"/>
          <w:szCs w:val="22"/>
          <w:lang w:eastAsia="en-GB"/>
          <w14:ligatures w14:val="standardContextual"/>
        </w:rPr>
      </w:pPr>
      <w:hyperlink w:anchor="_Toc163227691" w:history="1">
        <w:r w:rsidR="00EC50A1" w:rsidRPr="00A04460">
          <w:rPr>
            <w:rStyle w:val="Hyperlink"/>
            <w:noProof/>
            <w:lang w:val="ru-RU"/>
          </w:rPr>
          <w:t>Финансовый комментарий</w:t>
        </w:r>
        <w:r w:rsidR="00EC50A1">
          <w:rPr>
            <w:noProof/>
            <w:webHidden/>
          </w:rPr>
          <w:tab/>
        </w:r>
        <w:r w:rsidR="00EC50A1">
          <w:rPr>
            <w:noProof/>
            <w:webHidden/>
          </w:rPr>
          <w:tab/>
        </w:r>
        <w:r w:rsidR="00EC50A1">
          <w:rPr>
            <w:noProof/>
            <w:webHidden/>
          </w:rPr>
          <w:fldChar w:fldCharType="begin"/>
        </w:r>
        <w:r w:rsidR="00EC50A1">
          <w:rPr>
            <w:noProof/>
            <w:webHidden/>
          </w:rPr>
          <w:instrText xml:space="preserve"> PAGEREF _Toc163227691 \h </w:instrText>
        </w:r>
        <w:r w:rsidR="00EC50A1">
          <w:rPr>
            <w:noProof/>
            <w:webHidden/>
          </w:rPr>
        </w:r>
        <w:r w:rsidR="00EC50A1">
          <w:rPr>
            <w:noProof/>
            <w:webHidden/>
          </w:rPr>
          <w:fldChar w:fldCharType="separate"/>
        </w:r>
        <w:r w:rsidR="0041297C">
          <w:rPr>
            <w:noProof/>
            <w:webHidden/>
          </w:rPr>
          <w:t>9</w:t>
        </w:r>
        <w:r w:rsidR="00EC50A1">
          <w:rPr>
            <w:noProof/>
            <w:webHidden/>
          </w:rPr>
          <w:fldChar w:fldCharType="end"/>
        </w:r>
      </w:hyperlink>
    </w:p>
    <w:p w14:paraId="7E46D424" w14:textId="4C194B25" w:rsidR="00EC50A1" w:rsidRDefault="00150ADD" w:rsidP="00C62315">
      <w:pPr>
        <w:pStyle w:val="TOC2"/>
        <w:tabs>
          <w:tab w:val="clear" w:pos="8789"/>
          <w:tab w:val="center" w:pos="8931"/>
        </w:tabs>
        <w:rPr>
          <w:rFonts w:asciiTheme="minorHAnsi" w:eastAsiaTheme="minorEastAsia" w:hAnsiTheme="minorHAnsi" w:cstheme="minorBidi"/>
          <w:noProof/>
          <w:kern w:val="2"/>
          <w:szCs w:val="22"/>
          <w:lang w:eastAsia="en-GB"/>
          <w14:ligatures w14:val="standardContextual"/>
        </w:rPr>
      </w:pPr>
      <w:hyperlink w:anchor="_Toc163227692" w:history="1">
        <w:r w:rsidR="00EC50A1" w:rsidRPr="00A04460">
          <w:rPr>
            <w:rStyle w:val="Hyperlink"/>
            <w:noProof/>
            <w:lang w:val="ru-RU"/>
          </w:rPr>
          <w:t>Управление финансами</w:t>
        </w:r>
        <w:r w:rsidR="00EC50A1">
          <w:rPr>
            <w:noProof/>
            <w:webHidden/>
          </w:rPr>
          <w:tab/>
        </w:r>
        <w:r w:rsidR="00EC50A1">
          <w:rPr>
            <w:noProof/>
            <w:webHidden/>
          </w:rPr>
          <w:tab/>
        </w:r>
        <w:r w:rsidR="00EC50A1">
          <w:rPr>
            <w:noProof/>
            <w:webHidden/>
          </w:rPr>
          <w:fldChar w:fldCharType="begin"/>
        </w:r>
        <w:r w:rsidR="00EC50A1">
          <w:rPr>
            <w:noProof/>
            <w:webHidden/>
          </w:rPr>
          <w:instrText xml:space="preserve"> PAGEREF _Toc163227692 \h </w:instrText>
        </w:r>
        <w:r w:rsidR="00EC50A1">
          <w:rPr>
            <w:noProof/>
            <w:webHidden/>
          </w:rPr>
        </w:r>
        <w:r w:rsidR="00EC50A1">
          <w:rPr>
            <w:noProof/>
            <w:webHidden/>
          </w:rPr>
          <w:fldChar w:fldCharType="separate"/>
        </w:r>
        <w:r w:rsidR="0041297C">
          <w:rPr>
            <w:noProof/>
            <w:webHidden/>
          </w:rPr>
          <w:t>11</w:t>
        </w:r>
        <w:r w:rsidR="00EC50A1">
          <w:rPr>
            <w:noProof/>
            <w:webHidden/>
          </w:rPr>
          <w:fldChar w:fldCharType="end"/>
        </w:r>
      </w:hyperlink>
    </w:p>
    <w:p w14:paraId="7E45720B" w14:textId="0E3B619B" w:rsidR="00EC50A1" w:rsidRDefault="00150ADD" w:rsidP="00C62315">
      <w:pPr>
        <w:pStyle w:val="TOC2"/>
        <w:tabs>
          <w:tab w:val="clear" w:pos="8789"/>
          <w:tab w:val="center" w:pos="8931"/>
        </w:tabs>
        <w:rPr>
          <w:rFonts w:asciiTheme="minorHAnsi" w:eastAsiaTheme="minorEastAsia" w:hAnsiTheme="minorHAnsi" w:cstheme="minorBidi"/>
          <w:noProof/>
          <w:kern w:val="2"/>
          <w:szCs w:val="22"/>
          <w:lang w:eastAsia="en-GB"/>
          <w14:ligatures w14:val="standardContextual"/>
        </w:rPr>
      </w:pPr>
      <w:hyperlink w:anchor="_Toc163227693" w:history="1">
        <w:r w:rsidR="00EC50A1" w:rsidRPr="00A04460">
          <w:rPr>
            <w:rStyle w:val="Hyperlink"/>
            <w:noProof/>
            <w:lang w:val="ru-RU"/>
          </w:rPr>
          <w:t>Другие вопросы для Членов</w:t>
        </w:r>
        <w:r w:rsidR="00EC50A1">
          <w:rPr>
            <w:noProof/>
            <w:webHidden/>
          </w:rPr>
          <w:tab/>
        </w:r>
        <w:r w:rsidR="00EC50A1">
          <w:rPr>
            <w:noProof/>
            <w:webHidden/>
          </w:rPr>
          <w:tab/>
        </w:r>
        <w:r w:rsidR="00EC50A1">
          <w:rPr>
            <w:noProof/>
            <w:webHidden/>
          </w:rPr>
          <w:fldChar w:fldCharType="begin"/>
        </w:r>
        <w:r w:rsidR="00EC50A1">
          <w:rPr>
            <w:noProof/>
            <w:webHidden/>
          </w:rPr>
          <w:instrText xml:space="preserve"> PAGEREF _Toc163227693 \h </w:instrText>
        </w:r>
        <w:r w:rsidR="00EC50A1">
          <w:rPr>
            <w:noProof/>
            <w:webHidden/>
          </w:rPr>
        </w:r>
        <w:r w:rsidR="00EC50A1">
          <w:rPr>
            <w:noProof/>
            <w:webHidden/>
          </w:rPr>
          <w:fldChar w:fldCharType="separate"/>
        </w:r>
        <w:r w:rsidR="0041297C">
          <w:rPr>
            <w:noProof/>
            <w:webHidden/>
          </w:rPr>
          <w:t>18</w:t>
        </w:r>
        <w:r w:rsidR="00EC50A1">
          <w:rPr>
            <w:noProof/>
            <w:webHidden/>
          </w:rPr>
          <w:fldChar w:fldCharType="end"/>
        </w:r>
      </w:hyperlink>
    </w:p>
    <w:p w14:paraId="493511B2" w14:textId="2F9F32D0" w:rsidR="00EC50A1" w:rsidRDefault="00150ADD" w:rsidP="00C62315">
      <w:pPr>
        <w:pStyle w:val="TOC2"/>
        <w:tabs>
          <w:tab w:val="clear" w:pos="8789"/>
          <w:tab w:val="center" w:pos="8931"/>
        </w:tabs>
        <w:rPr>
          <w:rFonts w:asciiTheme="minorHAnsi" w:eastAsiaTheme="minorEastAsia" w:hAnsiTheme="minorHAnsi" w:cstheme="minorBidi"/>
          <w:noProof/>
          <w:kern w:val="2"/>
          <w:szCs w:val="22"/>
          <w:lang w:eastAsia="en-GB"/>
          <w14:ligatures w14:val="standardContextual"/>
        </w:rPr>
      </w:pPr>
      <w:hyperlink w:anchor="_Toc163227694" w:history="1">
        <w:r w:rsidR="00EC50A1" w:rsidRPr="00A04460">
          <w:rPr>
            <w:rStyle w:val="Hyperlink"/>
            <w:noProof/>
            <w:lang w:val="ru-RU"/>
          </w:rPr>
          <w:t>Выражение признательности</w:t>
        </w:r>
        <w:r w:rsidR="00EC50A1">
          <w:rPr>
            <w:noProof/>
            <w:webHidden/>
          </w:rPr>
          <w:tab/>
        </w:r>
        <w:r w:rsidR="00EC50A1">
          <w:rPr>
            <w:noProof/>
            <w:webHidden/>
          </w:rPr>
          <w:tab/>
        </w:r>
        <w:r w:rsidR="00EC50A1">
          <w:rPr>
            <w:noProof/>
            <w:webHidden/>
          </w:rPr>
          <w:fldChar w:fldCharType="begin"/>
        </w:r>
        <w:r w:rsidR="00EC50A1">
          <w:rPr>
            <w:noProof/>
            <w:webHidden/>
          </w:rPr>
          <w:instrText xml:space="preserve"> PAGEREF _Toc163227694 \h </w:instrText>
        </w:r>
        <w:r w:rsidR="00EC50A1">
          <w:rPr>
            <w:noProof/>
            <w:webHidden/>
          </w:rPr>
        </w:r>
        <w:r w:rsidR="00EC50A1">
          <w:rPr>
            <w:noProof/>
            <w:webHidden/>
          </w:rPr>
          <w:fldChar w:fldCharType="separate"/>
        </w:r>
        <w:r w:rsidR="0041297C">
          <w:rPr>
            <w:noProof/>
            <w:webHidden/>
          </w:rPr>
          <w:t>18</w:t>
        </w:r>
        <w:r w:rsidR="00EC50A1">
          <w:rPr>
            <w:noProof/>
            <w:webHidden/>
          </w:rPr>
          <w:fldChar w:fldCharType="end"/>
        </w:r>
      </w:hyperlink>
    </w:p>
    <w:p w14:paraId="4AA0F21A" w14:textId="77777777" w:rsidR="009A78C9" w:rsidRDefault="00EC50A1" w:rsidP="00EC50A1">
      <w:pPr>
        <w:rPr>
          <w:lang w:val="ru-RU"/>
        </w:rPr>
        <w:sectPr w:rsidR="009A78C9" w:rsidSect="00D42F17">
          <w:headerReference w:type="default" r:id="rId13"/>
          <w:headerReference w:type="first" r:id="rId14"/>
          <w:footerReference w:type="first" r:id="rId15"/>
          <w:pgSz w:w="11907" w:h="16834"/>
          <w:pgMar w:top="1418" w:right="1418" w:bottom="1418" w:left="1418" w:header="720" w:footer="720" w:gutter="0"/>
          <w:paperSrc w:first="286" w:other="286"/>
          <w:cols w:space="720"/>
          <w:titlePg/>
        </w:sectPr>
      </w:pPr>
      <w:r>
        <w:rPr>
          <w:lang w:val="ru-RU"/>
        </w:rPr>
        <w:fldChar w:fldCharType="end"/>
      </w:r>
    </w:p>
    <w:p w14:paraId="4AF607DB" w14:textId="6BB93DA0" w:rsidR="00EC50A1" w:rsidRPr="00EC50A1" w:rsidRDefault="00EC50A1" w:rsidP="009A78C9">
      <w:pPr>
        <w:pStyle w:val="Heading1"/>
        <w:rPr>
          <w:lang w:val="ru-RU"/>
        </w:rPr>
      </w:pPr>
      <w:bookmarkStart w:id="8" w:name="_Toc163060670"/>
      <w:bookmarkStart w:id="9" w:name="_Toc163227687"/>
      <w:r w:rsidRPr="00EC50A1">
        <w:rPr>
          <w:lang w:val="ru-RU"/>
        </w:rPr>
        <w:t>Заключительный отчет об аудите</w:t>
      </w:r>
      <w:bookmarkEnd w:id="8"/>
      <w:bookmarkEnd w:id="9"/>
    </w:p>
    <w:p w14:paraId="5B98453B" w14:textId="77777777" w:rsidR="00EC50A1" w:rsidRPr="00EC50A1" w:rsidRDefault="00EC50A1" w:rsidP="00EC50A1">
      <w:pPr>
        <w:pStyle w:val="Heading2"/>
        <w:rPr>
          <w:lang w:val="ru-RU"/>
        </w:rPr>
      </w:pPr>
      <w:bookmarkStart w:id="10" w:name="_Toc163060671"/>
      <w:bookmarkStart w:id="11" w:name="_Toc163227688"/>
      <w:r w:rsidRPr="00EC50A1">
        <w:rPr>
          <w:lang w:val="ru-RU"/>
        </w:rPr>
        <w:t>Базовая информация</w:t>
      </w:r>
      <w:bookmarkEnd w:id="10"/>
      <w:bookmarkEnd w:id="11"/>
    </w:p>
    <w:p w14:paraId="7BA4DF1E" w14:textId="1F8A75BE" w:rsidR="00EC50A1" w:rsidRPr="00EC50A1" w:rsidRDefault="00810D30" w:rsidP="00300852">
      <w:pPr>
        <w:rPr>
          <w:lang w:val="ru-RU"/>
        </w:rPr>
      </w:pPr>
      <w:bookmarkStart w:id="12" w:name="_Toc243706531"/>
      <w:r w:rsidRPr="00300852">
        <w:rPr>
          <w:b/>
          <w:bCs/>
          <w:lang w:val="ru-RU"/>
        </w:rPr>
        <w:t>1</w:t>
      </w:r>
      <w:r>
        <w:rPr>
          <w:lang w:val="ru-RU"/>
        </w:rPr>
        <w:tab/>
      </w:r>
      <w:r w:rsidR="00EC50A1" w:rsidRPr="00EC50A1">
        <w:rPr>
          <w:lang w:val="ru-RU"/>
        </w:rPr>
        <w:t>Международный союз электросвязи (МСЭ) является специализированным учреждением Организации Объединенных Наций в области информационно-коммуникационных технологий. Он был основан в 1865 году для содействия международным соединениям в сетях связи. Он осуществляет распределение глобального радиочастотного спектра и спутниковых орбит, разрабатывает технические стандарты, которые обеспечивают беспрепятственное взаимодействие сетей и технологий, и направляет усилия на расширение доступа к электросвязи/ИКТ в обслуживаемых в недостаточной степени сообществах во всем мире.</w:t>
      </w:r>
    </w:p>
    <w:p w14:paraId="7F10774F" w14:textId="5149F8CE" w:rsidR="00EC50A1" w:rsidRPr="00EC50A1" w:rsidRDefault="00810D30" w:rsidP="00300852">
      <w:pPr>
        <w:rPr>
          <w:lang w:val="ru-RU"/>
        </w:rPr>
      </w:pPr>
      <w:r w:rsidRPr="00300852">
        <w:rPr>
          <w:b/>
          <w:bCs/>
          <w:lang w:val="ru-RU"/>
        </w:rPr>
        <w:t>2</w:t>
      </w:r>
      <w:r>
        <w:rPr>
          <w:lang w:val="ru-RU"/>
        </w:rPr>
        <w:tab/>
      </w:r>
      <w:r w:rsidR="00EC50A1" w:rsidRPr="00EC50A1">
        <w:rPr>
          <w:lang w:val="ru-RU"/>
        </w:rPr>
        <w:t>Национальное ревизионное управление Соединенного Королевства было назначено внешним аудитором МСЭ на четырехлетний срок, начавшийся 1 января 2022 года. В</w:t>
      </w:r>
      <w:r w:rsidR="00C34F8E">
        <w:rPr>
          <w:lang w:val="ru-RU"/>
        </w:rPr>
        <w:t> </w:t>
      </w:r>
      <w:r w:rsidR="00EC50A1" w:rsidRPr="00EC50A1">
        <w:rPr>
          <w:lang w:val="ru-RU"/>
        </w:rPr>
        <w:t>соответствии с первоначальными выводами по результатам проведенной аудиторской проверки финансовой отчетности за 2022 год Генеральный секретарь просила предоставить Секретариату дополнительное время для рассмотрения выявленных проблем и пересмотра финансовой отчетности за 2022 год и последующего повторного представления этой отчетности для аудиторской проверки.</w:t>
      </w:r>
    </w:p>
    <w:p w14:paraId="35BE03D1" w14:textId="58232D77" w:rsidR="00EC50A1" w:rsidRPr="00EC50A1" w:rsidRDefault="00810D30" w:rsidP="00300852">
      <w:pPr>
        <w:rPr>
          <w:lang w:val="ru-RU"/>
        </w:rPr>
      </w:pPr>
      <w:r w:rsidRPr="00300852">
        <w:rPr>
          <w:b/>
          <w:bCs/>
          <w:lang w:val="ru-RU"/>
        </w:rPr>
        <w:t>3</w:t>
      </w:r>
      <w:r>
        <w:rPr>
          <w:lang w:val="ru-RU"/>
        </w:rPr>
        <w:tab/>
      </w:r>
      <w:r w:rsidR="00EC50A1" w:rsidRPr="00EC50A1">
        <w:rPr>
          <w:lang w:val="ru-RU"/>
        </w:rPr>
        <w:t xml:space="preserve">Членам должно быть известно, что в июне нами был представлен промежуточный отчет Совету, и дополнительная информация была предоставлена в октябре. В предыдущем отчете были освещены выявленные значительные проблемы управления финансами, а также содержатся существенные выводы и рекомендации по управлению и надзору в МСЭ, управлению изменениями и проекту строительства нового здания. В заключительном отчете за 2022 год представлен обзор аудиторских заключений и вопросов, касающихся управления финансами МСЭ. Два представленные нами отчета следует рассматривать как совокупные замечания по результатам выполненной аудиторской проверки за 2022 год. </w:t>
      </w:r>
    </w:p>
    <w:p w14:paraId="55A534FA" w14:textId="42EC61DD" w:rsidR="00EC50A1" w:rsidRPr="00EC50A1" w:rsidRDefault="00810D30" w:rsidP="00300852">
      <w:pPr>
        <w:rPr>
          <w:lang w:val="ru-RU"/>
        </w:rPr>
      </w:pPr>
      <w:r w:rsidRPr="00300852">
        <w:rPr>
          <w:b/>
          <w:bCs/>
          <w:lang w:val="ru-RU"/>
        </w:rPr>
        <w:t>4</w:t>
      </w:r>
      <w:r>
        <w:rPr>
          <w:lang w:val="ru-RU"/>
        </w:rPr>
        <w:tab/>
      </w:r>
      <w:r w:rsidR="00EC50A1" w:rsidRPr="00EC50A1">
        <w:rPr>
          <w:lang w:val="ru-RU"/>
        </w:rPr>
        <w:t>Выводы и рекомендации были обсуждены с руководством. В соответствии с передовой практикой результаты выполненной нами аудиторской проверки финансовой деятельности были доведены до сведения Независимого консультативного комитета по управлению (IMAC) до завершения нашей работы. Языком оригинала настоящего отчета является английский. Официальной является версия на английском языке.</w:t>
      </w:r>
    </w:p>
    <w:p w14:paraId="3DEE42AC" w14:textId="77777777" w:rsidR="00EC50A1" w:rsidRPr="00EC50A1" w:rsidRDefault="00EC50A1" w:rsidP="00EC50A1">
      <w:pPr>
        <w:pStyle w:val="Heading2"/>
        <w:rPr>
          <w:lang w:val="ru-RU"/>
        </w:rPr>
      </w:pPr>
      <w:bookmarkStart w:id="13" w:name="_Toc163060672"/>
      <w:bookmarkStart w:id="14" w:name="_Toc163227689"/>
      <w:bookmarkEnd w:id="12"/>
      <w:r w:rsidRPr="00EC50A1">
        <w:rPr>
          <w:lang w:val="ru-RU"/>
        </w:rPr>
        <w:t>Аудиторские заключения</w:t>
      </w:r>
      <w:bookmarkEnd w:id="13"/>
      <w:bookmarkEnd w:id="14"/>
    </w:p>
    <w:p w14:paraId="788090E1" w14:textId="3E0E842C" w:rsidR="00EC50A1" w:rsidRPr="00EC50A1" w:rsidRDefault="00810D30" w:rsidP="00300852">
      <w:pPr>
        <w:rPr>
          <w:lang w:val="ru-RU"/>
        </w:rPr>
      </w:pPr>
      <w:r w:rsidRPr="00300852">
        <w:rPr>
          <w:b/>
          <w:bCs/>
          <w:lang w:val="ru-RU"/>
        </w:rPr>
        <w:t>5</w:t>
      </w:r>
      <w:r>
        <w:rPr>
          <w:lang w:val="ru-RU"/>
        </w:rPr>
        <w:tab/>
      </w:r>
      <w:r w:rsidR="00EC50A1" w:rsidRPr="00EC50A1">
        <w:rPr>
          <w:lang w:val="ru-RU"/>
        </w:rPr>
        <w:t xml:space="preserve">Аудиторская проверка включала общий анализ учетных процедур МСЭ и оценку внутреннего контроля, который влияет на наши аудиторские заключения; а также проверку учетных записей и других подтверждающих сведений, которые были сочтены необходимыми. Процедуры аудита были главным образом предназначены для вынесения заключений по этим вопросам. Аудиторская проверка не включала выполнение подробного анализа всех аспектов бюджетных и финансовых информационных систем, и результаты не должны рассматриваться как всеобъемлющее заключение по этим аспектам. Также была проведена проверка для обеспечения точного отражения учетных записей в финансовой отчетности и их корректного представления. </w:t>
      </w:r>
    </w:p>
    <w:p w14:paraId="7743041E" w14:textId="77777777" w:rsidR="00EC50A1" w:rsidRPr="00EC50A1" w:rsidRDefault="00EC50A1" w:rsidP="00EC50A1">
      <w:pPr>
        <w:pStyle w:val="Heading3"/>
        <w:rPr>
          <w:lang w:val="ru-RU"/>
        </w:rPr>
      </w:pPr>
      <w:r w:rsidRPr="00EC50A1">
        <w:rPr>
          <w:bCs/>
          <w:lang w:val="ru-RU"/>
        </w:rPr>
        <w:t>Заключение по финансовой отчетности</w:t>
      </w:r>
    </w:p>
    <w:p w14:paraId="6101E0D1" w14:textId="428599A6" w:rsidR="00EC50A1" w:rsidRPr="00EC50A1" w:rsidRDefault="00810D30" w:rsidP="00300852">
      <w:pPr>
        <w:rPr>
          <w:lang w:val="ru-RU"/>
        </w:rPr>
      </w:pPr>
      <w:r w:rsidRPr="00300852">
        <w:rPr>
          <w:b/>
          <w:bCs/>
          <w:lang w:val="ru-RU"/>
        </w:rPr>
        <w:t>6</w:t>
      </w:r>
      <w:r>
        <w:rPr>
          <w:lang w:val="ru-RU"/>
        </w:rPr>
        <w:tab/>
      </w:r>
      <w:r w:rsidR="00EC50A1" w:rsidRPr="00EC50A1">
        <w:rPr>
          <w:lang w:val="ru-RU"/>
        </w:rPr>
        <w:t xml:space="preserve">Комплексная аудиторская проверка финансовой отчетности МСЭ не выявила недостатков или ошибок, которые можно было бы счесть существенными с точки зрения точности, полноты или обоснованности. Аудиторское заключение подтверждает, что в этой финансовой отчетности справедливо представлены во всех существенных аспектах финансовое положение МСЭ по состоянию на 31 декабря 2022 года, а также результаты финансовой деятельности Союза и потоки денежных средств за год, завершившийся на тот момент. В нем также подтверждается, что отчетность была подготовлена в соответствии с Международными стандартами учета в государственном секторе. </w:t>
      </w:r>
    </w:p>
    <w:p w14:paraId="201A9DC0" w14:textId="77777777" w:rsidR="00EC50A1" w:rsidRPr="00EC50A1" w:rsidRDefault="00EC50A1" w:rsidP="00EC50A1">
      <w:pPr>
        <w:pStyle w:val="Heading3"/>
        <w:rPr>
          <w:lang w:val="ru-RU"/>
        </w:rPr>
      </w:pPr>
      <w:r w:rsidRPr="00EC50A1">
        <w:rPr>
          <w:bCs/>
          <w:lang w:val="ru-RU"/>
        </w:rPr>
        <w:t>Заключение о соблюдении установленных правил</w:t>
      </w:r>
    </w:p>
    <w:p w14:paraId="382290D6" w14:textId="148DB801" w:rsidR="00EC50A1" w:rsidRPr="00EC50A1" w:rsidRDefault="00810D30" w:rsidP="00300852">
      <w:pPr>
        <w:rPr>
          <w:lang w:val="ru-RU"/>
        </w:rPr>
      </w:pPr>
      <w:r w:rsidRPr="00300852">
        <w:rPr>
          <w:b/>
          <w:bCs/>
          <w:lang w:val="ru-RU"/>
        </w:rPr>
        <w:t>7</w:t>
      </w:r>
      <w:r>
        <w:rPr>
          <w:lang w:val="ru-RU"/>
        </w:rPr>
        <w:tab/>
      </w:r>
      <w:r w:rsidR="00EC50A1" w:rsidRPr="00EC50A1">
        <w:rPr>
          <w:lang w:val="ru-RU"/>
        </w:rPr>
        <w:t>Соблюдение установленных правил – это концепция, согласно которой операции, отраженные в финансовой отчетности, согласуются с системой соответствующих органов. Как было отмечено в промежуточном отчете в июле 2023 года, в 2022 году были осуществлены добровольные платежи в размере 214 000 швейцарских франков бывшим избираемым должностным лицам в соответствии с пунктом 4 Статьи 10 Финансового регламента МСЭ. Платежи в 2022 году были должным образом разрешены бывшим Генеральным секретарем, "который может осуществлять такие добровольные платежи, которые он сочтет необходимыми в интересах Союза".</w:t>
      </w:r>
    </w:p>
    <w:p w14:paraId="211B4387" w14:textId="664792F4" w:rsidR="00EC50A1" w:rsidRPr="00EC50A1" w:rsidRDefault="00810D30" w:rsidP="00300852">
      <w:pPr>
        <w:rPr>
          <w:lang w:val="ru-RU"/>
        </w:rPr>
      </w:pPr>
      <w:r w:rsidRPr="00300852">
        <w:rPr>
          <w:b/>
          <w:bCs/>
          <w:lang w:val="ru-RU"/>
        </w:rPr>
        <w:t>8</w:t>
      </w:r>
      <w:r>
        <w:rPr>
          <w:lang w:val="ru-RU"/>
        </w:rPr>
        <w:tab/>
      </w:r>
      <w:r w:rsidR="00EC50A1" w:rsidRPr="00EC50A1">
        <w:rPr>
          <w:lang w:val="ru-RU"/>
        </w:rPr>
        <w:t xml:space="preserve">Согласно IPSAS, избираемые должностные лица соответствуют в отчетности определению ключевого управленческого персонала, и операции с ними считаются существенными по своему характеру. Мы рассмотрели расходы в 2022 году на соответствие требованиям пункта 4 Статьи 10, и, по нашему мнению, эти выплаты не соответствуют определению "добровольные платежи", установленному в Финансовом регламенте МСЭ, так как они не были необходимыми и не были в интересах Союза, и поэтому основания для платежей в соответствии с Финансовым регламентом и Положениями о персонале МСЭ отсутствуют. В предыдущем отчете мы отметили меры, принятые руководством для предотвращения какого-либо повторного возникновения подобных проблем. </w:t>
      </w:r>
    </w:p>
    <w:p w14:paraId="2DFA4718" w14:textId="662074F7" w:rsidR="00EC50A1" w:rsidRPr="00EC50A1" w:rsidRDefault="00810D30" w:rsidP="00300852">
      <w:pPr>
        <w:rPr>
          <w:lang w:val="ru-RU"/>
        </w:rPr>
      </w:pPr>
      <w:r w:rsidRPr="00300852">
        <w:rPr>
          <w:b/>
          <w:bCs/>
          <w:lang w:val="ru-RU"/>
        </w:rPr>
        <w:t>9</w:t>
      </w:r>
      <w:r>
        <w:rPr>
          <w:lang w:val="ru-RU"/>
        </w:rPr>
        <w:tab/>
      </w:r>
      <w:r w:rsidR="00EC50A1" w:rsidRPr="00EC50A1">
        <w:rPr>
          <w:lang w:val="ru-RU"/>
        </w:rPr>
        <w:t xml:space="preserve">За исключением суммы в размере 211 751 швейцарского франка, выплаченной бывшим избираемым должностным лицам, по которой было сделано заключение, операции, лежащие в основе финансовой отчетности, были произведены в соответствии с Финансовым регламентом и имели непосредственное отношение к целям, определенным руководящими органами. </w:t>
      </w:r>
    </w:p>
    <w:p w14:paraId="75862E45" w14:textId="77777777" w:rsidR="00EC50A1" w:rsidRPr="00EC50A1" w:rsidRDefault="00EC50A1" w:rsidP="00EC50A1">
      <w:pPr>
        <w:pStyle w:val="Heading2"/>
        <w:rPr>
          <w:lang w:val="ru-RU"/>
        </w:rPr>
      </w:pPr>
      <w:bookmarkStart w:id="15" w:name="_Toc163060673"/>
      <w:bookmarkStart w:id="16" w:name="_Toc163227690"/>
      <w:r w:rsidRPr="00EC50A1">
        <w:rPr>
          <w:lang w:val="ru-RU"/>
        </w:rPr>
        <w:t>Представление финансовой отчетности</w:t>
      </w:r>
      <w:bookmarkEnd w:id="15"/>
      <w:bookmarkEnd w:id="16"/>
    </w:p>
    <w:p w14:paraId="37AA0301" w14:textId="1DDAC92F" w:rsidR="00EC50A1" w:rsidRPr="00EC50A1" w:rsidRDefault="00810D30" w:rsidP="00300852">
      <w:pPr>
        <w:rPr>
          <w:lang w:val="ru-RU"/>
        </w:rPr>
      </w:pPr>
      <w:r w:rsidRPr="00300852">
        <w:rPr>
          <w:b/>
          <w:bCs/>
          <w:lang w:val="ru-RU"/>
        </w:rPr>
        <w:t>10</w:t>
      </w:r>
      <w:r>
        <w:rPr>
          <w:lang w:val="ru-RU"/>
        </w:rPr>
        <w:tab/>
      </w:r>
      <w:r w:rsidR="00EC50A1" w:rsidRPr="00EC50A1">
        <w:rPr>
          <w:lang w:val="ru-RU"/>
        </w:rPr>
        <w:t>Как было отмечено в представленном в июле 2023 года промежуточном отчете по финансовой отчетности за 2022 год, проекты финансовой отчетности МСЭ, предоставленные нам для аудиторской проверки, не были должным образом подготовлены в соответствии с Международными стандартами учета в государственном секторе. Мы указали следующее:</w:t>
      </w:r>
    </w:p>
    <w:p w14:paraId="1042139C" w14:textId="00A3AAA4" w:rsidR="00EC50A1" w:rsidRPr="00810D30" w:rsidRDefault="00810D30" w:rsidP="00300852">
      <w:pPr>
        <w:pStyle w:val="enumlev1"/>
        <w:rPr>
          <w:lang w:val="ru-RU"/>
        </w:rPr>
      </w:pPr>
      <w:r w:rsidRPr="00810D30">
        <w:rPr>
          <w:lang w:val="ru-RU"/>
        </w:rPr>
        <w:t>•</w:t>
      </w:r>
      <w:r w:rsidRPr="00810D30">
        <w:rPr>
          <w:lang w:val="ru-RU"/>
        </w:rPr>
        <w:tab/>
      </w:r>
      <w:r w:rsidR="00EC50A1" w:rsidRPr="00810D30">
        <w:rPr>
          <w:lang w:val="ru-RU"/>
        </w:rPr>
        <w:t>Финансовая отчетность, представленная для аудита, содержала значительные существенные искажения и неопределенности, обусловленные ненадлежащей политикой бухгалтерского учета, которая не соответствовала системе финансовой отчетности (IPSAS).</w:t>
      </w:r>
    </w:p>
    <w:p w14:paraId="51F6FDC5" w14:textId="3C0C26E3" w:rsidR="00EC50A1" w:rsidRPr="00EC50A1" w:rsidRDefault="00810D30" w:rsidP="00300852">
      <w:pPr>
        <w:pStyle w:val="enumlev1"/>
        <w:rPr>
          <w:lang w:val="ru-RU"/>
        </w:rPr>
      </w:pPr>
      <w:r>
        <w:rPr>
          <w:lang w:val="ru-RU"/>
        </w:rPr>
        <w:t>•</w:t>
      </w:r>
      <w:r>
        <w:rPr>
          <w:lang w:val="ru-RU"/>
        </w:rPr>
        <w:tab/>
      </w:r>
      <w:r w:rsidR="00EC50A1" w:rsidRPr="00EC50A1">
        <w:rPr>
          <w:lang w:val="ru-RU"/>
        </w:rPr>
        <w:t xml:space="preserve">Финансовая отчетность, представленная для аудита, также содержала существенные искажения и неопределенности, обусловленные низким качеством данных. Проведенная нами аудиторская проверка выявила множество выполненных в прошлом операций, в том числе непоследовательную переоценку валюты, которые не были должным образом учтены, а также авансовые платежи и другие долговые обязательства, которые рассматривались как активы, но более не могли быть возмещены, и их стоимость не была снижена; </w:t>
      </w:r>
    </w:p>
    <w:p w14:paraId="0B724DF4" w14:textId="6D64DB73" w:rsidR="00EC50A1" w:rsidRPr="00EC50A1" w:rsidRDefault="00810D30" w:rsidP="00300852">
      <w:pPr>
        <w:pStyle w:val="enumlev1"/>
        <w:rPr>
          <w:lang w:val="ru-RU"/>
        </w:rPr>
      </w:pPr>
      <w:r>
        <w:rPr>
          <w:lang w:val="ru-RU"/>
        </w:rPr>
        <w:t>•</w:t>
      </w:r>
      <w:r>
        <w:rPr>
          <w:lang w:val="ru-RU"/>
        </w:rPr>
        <w:tab/>
      </w:r>
      <w:r w:rsidR="00EC50A1" w:rsidRPr="00EC50A1">
        <w:rPr>
          <w:lang w:val="ru-RU"/>
        </w:rPr>
        <w:t>Финансовая отчетность МСЭ не претерпела изменений с момента внедрения IPSAS в 2010 году. Мы провели подробный анализ соответствия раскрытия и представления информации требованиям стандартов и обнаружили ряд существенных недостатков.</w:t>
      </w:r>
    </w:p>
    <w:p w14:paraId="3B2545E2" w14:textId="68249536" w:rsidR="00EC50A1" w:rsidRPr="00EC50A1" w:rsidRDefault="00810D30" w:rsidP="00300852">
      <w:pPr>
        <w:rPr>
          <w:lang w:val="ru-RU"/>
        </w:rPr>
      </w:pPr>
      <w:r w:rsidRPr="00300852">
        <w:rPr>
          <w:b/>
          <w:bCs/>
          <w:lang w:val="ru-RU"/>
        </w:rPr>
        <w:t>11</w:t>
      </w:r>
      <w:r>
        <w:rPr>
          <w:lang w:val="ru-RU"/>
        </w:rPr>
        <w:tab/>
      </w:r>
      <w:r w:rsidR="00EC50A1" w:rsidRPr="00EC50A1">
        <w:rPr>
          <w:lang w:val="ru-RU"/>
        </w:rPr>
        <w:t>Генеральному секретарю было рекомендовано проанализировать наши наблюдения и наряду с выявленными искажениями рассмотреть более широк</w:t>
      </w:r>
      <w:r w:rsidR="00EC50A1" w:rsidRPr="00150ADD">
        <w:rPr>
          <w:lang w:val="ru-RU"/>
        </w:rPr>
        <w:t>ий контекст наших выводов</w:t>
      </w:r>
      <w:r w:rsidR="00EC50A1" w:rsidRPr="00EC50A1">
        <w:rPr>
          <w:lang w:val="ru-RU"/>
        </w:rPr>
        <w:t xml:space="preserve">. Большинство выявленных проблем относится к предыдущим годам, и мы отметили, что, поскольку финансовая отчетность за предыдущий год должна быть представлена повторно в соответствии с требованиями IPSAS, у Секретариата есть возможность рассмотреть вопрос о том, существуют ли другие устоявшиеся суждения или методы бухгалтерского учета, которые следует пересмотреть. </w:t>
      </w:r>
    </w:p>
    <w:p w14:paraId="1FF6CA71" w14:textId="5143C0A4" w:rsidR="00EC50A1" w:rsidRPr="00EC50A1" w:rsidRDefault="00810D30" w:rsidP="00300852">
      <w:pPr>
        <w:rPr>
          <w:lang w:val="ru-RU"/>
        </w:rPr>
      </w:pPr>
      <w:r w:rsidRPr="00300852">
        <w:rPr>
          <w:b/>
          <w:bCs/>
          <w:lang w:val="ru-RU"/>
        </w:rPr>
        <w:t>12</w:t>
      </w:r>
      <w:r>
        <w:rPr>
          <w:lang w:val="ru-RU"/>
        </w:rPr>
        <w:tab/>
      </w:r>
      <w:r w:rsidR="00EC50A1" w:rsidRPr="00EC50A1">
        <w:rPr>
          <w:lang w:val="ru-RU"/>
        </w:rPr>
        <w:t xml:space="preserve">В середине августа 2023 года МСЭ представил пересмотренную финансовую отчетность. Дополнительных рабочих документов было недостаточно для согласования двух версий финансовой отчетности. Вследствие этого не удалось согласовать изменения, которые были внесены в документы, которые ожидались по результатам нашей аудиторской проверки. Помимо этого, было выявлено, что в пересмотренном варианте по-прежнему содержались существенные ошибки, и что аудиторское досье от основных записей до финансовой отчетности было неполным и непоследовательным. В отношении этих документов отчетности руководством не был выполнен достаточный анализ перед их представлением для проверки. МСЭ недооценил объем работы по исправлению положения, необходимой для приведения финансовой отчетности к состоянию, </w:t>
      </w:r>
      <w:r w:rsidR="00EC50A1" w:rsidRPr="00150ADD">
        <w:rPr>
          <w:lang w:val="ru-RU"/>
        </w:rPr>
        <w:t>при</w:t>
      </w:r>
      <w:r w:rsidR="00EC50A1" w:rsidRPr="00EC50A1">
        <w:rPr>
          <w:lang w:val="ru-RU"/>
        </w:rPr>
        <w:t xml:space="preserve"> которо</w:t>
      </w:r>
      <w:r w:rsidR="00EC50A1" w:rsidRPr="00150ADD">
        <w:rPr>
          <w:lang w:val="ru-RU"/>
        </w:rPr>
        <w:t>м</w:t>
      </w:r>
      <w:r w:rsidR="00EC50A1" w:rsidRPr="00EC50A1">
        <w:rPr>
          <w:lang w:val="ru-RU"/>
        </w:rPr>
        <w:t xml:space="preserve"> может быть проведена проверка.</w:t>
      </w:r>
    </w:p>
    <w:p w14:paraId="59C114A3" w14:textId="2F4222C7" w:rsidR="00EC50A1" w:rsidRPr="00EC50A1" w:rsidRDefault="00810D30" w:rsidP="00300852">
      <w:pPr>
        <w:rPr>
          <w:lang w:val="ru-RU"/>
        </w:rPr>
      </w:pPr>
      <w:r w:rsidRPr="00300852">
        <w:rPr>
          <w:b/>
          <w:bCs/>
          <w:lang w:val="ru-RU"/>
        </w:rPr>
        <w:t>13</w:t>
      </w:r>
      <w:r>
        <w:rPr>
          <w:lang w:val="ru-RU"/>
        </w:rPr>
        <w:tab/>
      </w:r>
      <w:r w:rsidR="00EC50A1" w:rsidRPr="00EC50A1">
        <w:rPr>
          <w:lang w:val="ru-RU"/>
        </w:rPr>
        <w:t xml:space="preserve">С помощью консультантов МСЭ продолжил решать проблемы финансовой отчетности, и, хотя не все проблемы были в полной мере разрешены, они были существенно исправлены в варианте, представленном для аудиторской проверки в середине ноября 2023 года. Аудиторские досье содержали ошибки, и было необходимо многократно проверять множество элементов финансовой отчетности, что неэффективно и поглощает гораздо больше ресурсов аудита, чем ожидалось. Были определены дополнительные проблемы, которые должны были быть проанализированы руководством в ходе рассмотрения финансовой отчетности. Тем не менее к середине декабря руководство разрешило все важные проблемы, что позволило перейти к </w:t>
      </w:r>
      <w:r w:rsidR="00EC50A1" w:rsidRPr="00150ADD">
        <w:rPr>
          <w:lang w:val="ru-RU"/>
        </w:rPr>
        <w:t xml:space="preserve">заключительному </w:t>
      </w:r>
      <w:r w:rsidR="00EC50A1" w:rsidRPr="00EC50A1">
        <w:rPr>
          <w:lang w:val="ru-RU"/>
        </w:rPr>
        <w:t>этапу аудита.</w:t>
      </w:r>
    </w:p>
    <w:p w14:paraId="5F4184E8" w14:textId="1B18786A" w:rsidR="00EC50A1" w:rsidRPr="00EC50A1" w:rsidRDefault="00810D30" w:rsidP="00300852">
      <w:pPr>
        <w:rPr>
          <w:lang w:val="ru-RU"/>
        </w:rPr>
      </w:pPr>
      <w:r w:rsidRPr="00300852">
        <w:rPr>
          <w:b/>
          <w:bCs/>
          <w:lang w:val="ru-RU"/>
        </w:rPr>
        <w:t>14</w:t>
      </w:r>
      <w:r>
        <w:rPr>
          <w:lang w:val="ru-RU"/>
        </w:rPr>
        <w:tab/>
      </w:r>
      <w:r w:rsidR="00EC50A1" w:rsidRPr="00EC50A1">
        <w:rPr>
          <w:lang w:val="ru-RU"/>
        </w:rPr>
        <w:t>МСЭ не продемонстрировал способность обеспечивать высокое качество своей финансовой отчетности и базовых записей для обеспечения эффективности процедуры проверки. Вследствие этого мы настоятельно призываем Генерального секретаря реалистично планировать представление финансовой отчетности за 2023 год и соответствующим образом информировать Членов в отношении сроков представления отчетов по этой отчетности, с тем чтобы их ожидания соответствовали обстоятельствам. Условия ведения деятельности и внутренний потенциал МСЭ в 2023 году не изменились, и поэтому представление отчетности и дополнительной документации для аудиторской проверки будет по-прежнему сопряжено с трудностями и с высокими затратами на привлечение внешних консультантов.</w:t>
      </w:r>
    </w:p>
    <w:p w14:paraId="6F94B45C" w14:textId="14D039E6" w:rsidR="00EC50A1" w:rsidRPr="00EC50A1" w:rsidRDefault="00810D30" w:rsidP="00300852">
      <w:pPr>
        <w:rPr>
          <w:lang w:val="ru-RU"/>
        </w:rPr>
      </w:pPr>
      <w:r w:rsidRPr="00300852">
        <w:rPr>
          <w:b/>
          <w:bCs/>
          <w:lang w:val="ru-RU"/>
        </w:rPr>
        <w:t>15</w:t>
      </w:r>
      <w:r>
        <w:rPr>
          <w:lang w:val="ru-RU"/>
        </w:rPr>
        <w:tab/>
      </w:r>
      <w:r w:rsidR="00EC50A1" w:rsidRPr="00EC50A1">
        <w:rPr>
          <w:lang w:val="ru-RU"/>
        </w:rPr>
        <w:t>По нашему мнению, планы для представления финансовой отчетности за 2023 год необходимого качества все еще нереалистичны. МСЭ необходимо значительно укрепить свой потенциал в области финансовой отчетности. Это включает реализацию процессов, мер контроля и передового опыта для обеспечения точности, прозрачности, надежности и эффективности информации о финансовой деятельности. После принятия таких мер МСЭ сможет восстановить более регулярный график составления своей финансовой отчетности. Согласно нашему опыту работы с аналогичной организацией, разработка и внедрение этих усовершенствований не могут быть выполнены за один цикл. Важно принять взвешенный подход к созданию потенциала, обеспечению качества и эффективности принимаемых мер, с тем чтобы улучшения были надлежащим образом интегрированы и носили устойчивый характер.</w:t>
      </w:r>
    </w:p>
    <w:p w14:paraId="36D825D5" w14:textId="17FB785A" w:rsidR="00EC50A1" w:rsidRPr="00EC50A1" w:rsidRDefault="00810D30" w:rsidP="00300852">
      <w:pPr>
        <w:rPr>
          <w:lang w:val="ru-RU"/>
        </w:rPr>
      </w:pPr>
      <w:r w:rsidRPr="00300852">
        <w:rPr>
          <w:b/>
          <w:bCs/>
          <w:lang w:val="ru-RU"/>
        </w:rPr>
        <w:t>16</w:t>
      </w:r>
      <w:r>
        <w:rPr>
          <w:lang w:val="ru-RU"/>
        </w:rPr>
        <w:tab/>
      </w:r>
      <w:r w:rsidR="00EC50A1" w:rsidRPr="00EC50A1">
        <w:rPr>
          <w:lang w:val="ru-RU"/>
        </w:rPr>
        <w:t>Воздействие на представленную ранее финансовую отчетность, заключающееся в исправлении допущенных в прошлые периоды ошибок и ненадлежащей учетной политики, отражено в Примечании 30 к финансовой отчетности. В соответствии со стандартами отчетности в этом Примечании отображено влияние корректировок, произведенных в ранее опубликованных документах финансовой отчетности. Содержание этого Примечания было подробно обсуждено с IMAC. В Примечании подтверждаются существенные поправки и исправления, которые потребовалось внести для обеспечения объективного представления в финансовой отчетности результатов финансовой деятельности и положения в 2022 году. В</w:t>
      </w:r>
      <w:r w:rsidR="00C34F8E">
        <w:rPr>
          <w:lang w:val="ru-RU"/>
        </w:rPr>
        <w:t> </w:t>
      </w:r>
      <w:r w:rsidR="00EC50A1" w:rsidRPr="00EC50A1">
        <w:rPr>
          <w:lang w:val="ru-RU"/>
        </w:rPr>
        <w:t>отношении многих элементов, в которые были внесены поправки, руководство продолжит работу по корректировке и совершенствованию базовых записей. Крайне важно, чтобы эти записи были полностью скорректированы и рассмотрены до составления финансовой отчетности за 2023 год.</w:t>
      </w:r>
    </w:p>
    <w:p w14:paraId="1D303253" w14:textId="77777777" w:rsidR="00EC50A1" w:rsidRPr="00810D30" w:rsidRDefault="00EC50A1" w:rsidP="00810D30">
      <w:pPr>
        <w:rPr>
          <w:rStyle w:val="Bold"/>
          <w:b w:val="0"/>
          <w:bCs w:val="0"/>
          <w:lang w:val="ru-RU"/>
        </w:rPr>
      </w:pPr>
      <w:r w:rsidRPr="00810D30">
        <w:rPr>
          <w:b/>
          <w:bCs/>
          <w:lang w:val="ru-RU"/>
        </w:rPr>
        <w:t>МСЭ следует</w:t>
      </w:r>
      <w:r w:rsidRPr="00810D30">
        <w:rPr>
          <w:lang w:val="ru-RU"/>
        </w:rPr>
        <w:t>:</w:t>
      </w:r>
    </w:p>
    <w:p w14:paraId="5D075ABD" w14:textId="77777777" w:rsidR="00EC50A1" w:rsidRPr="00810D30" w:rsidRDefault="00EC50A1" w:rsidP="00810D30">
      <w:pPr>
        <w:rPr>
          <w:lang w:val="ru-RU"/>
        </w:rPr>
      </w:pPr>
      <w:r w:rsidRPr="00810D30">
        <w:rPr>
          <w:b/>
          <w:bCs/>
          <w:lang w:val="ru-RU"/>
        </w:rPr>
        <w:t xml:space="preserve">Р1: разработать четкий план предоставления высококачественной финансовой информации и дополнительного аудиторского досье в соответствии с реалистичным графиком, а также обеспечить корректировку и анализ всех элементов </w:t>
      </w:r>
      <w:r w:rsidRPr="00150ADD">
        <w:rPr>
          <w:b/>
          <w:bCs/>
          <w:lang w:val="ru-RU"/>
        </w:rPr>
        <w:t>учетных записей</w:t>
      </w:r>
      <w:r w:rsidRPr="00810D30">
        <w:rPr>
          <w:b/>
          <w:bCs/>
          <w:lang w:val="ru-RU"/>
        </w:rPr>
        <w:t xml:space="preserve"> до подготовки финансовой отчетности</w:t>
      </w:r>
      <w:r w:rsidRPr="00810D30">
        <w:rPr>
          <w:lang w:val="ru-RU"/>
        </w:rPr>
        <w:t>;</w:t>
      </w:r>
    </w:p>
    <w:p w14:paraId="7E30F486" w14:textId="4B528C9D" w:rsidR="00EC50A1" w:rsidRPr="00810D30" w:rsidRDefault="00EC50A1" w:rsidP="00810D30">
      <w:pPr>
        <w:rPr>
          <w:lang w:val="ru-RU"/>
        </w:rPr>
      </w:pPr>
      <w:r w:rsidRPr="00810D30">
        <w:rPr>
          <w:b/>
          <w:bCs/>
          <w:lang w:val="ru-RU"/>
        </w:rPr>
        <w:t>Р2: обеспечить функцию финансовой отчетности надлежащими ресурсами для ее реализации в соответствии с планом</w:t>
      </w:r>
      <w:r w:rsidRPr="00810D30">
        <w:rPr>
          <w:lang w:val="ru-RU"/>
        </w:rPr>
        <w:t>.</w:t>
      </w:r>
    </w:p>
    <w:p w14:paraId="3721C027" w14:textId="77777777" w:rsidR="00EC50A1" w:rsidRPr="00810D30" w:rsidRDefault="00EC50A1" w:rsidP="00810D30">
      <w:pPr>
        <w:rPr>
          <w:rStyle w:val="Italic"/>
          <w:i w:val="0"/>
          <w:iCs w:val="0"/>
          <w:lang w:val="ru-RU"/>
        </w:rPr>
      </w:pPr>
      <w:r w:rsidRPr="00810D30">
        <w:rPr>
          <w:i/>
          <w:iCs/>
          <w:lang w:val="ru-RU"/>
        </w:rPr>
        <w:t xml:space="preserve">Руководство принимает эти рекомендации и отмечает, что Отчет о финансовой деятельности должен быть представлен до конца марта 2024 года, с тем чтобы </w:t>
      </w:r>
      <w:r w:rsidRPr="00150ADD">
        <w:rPr>
          <w:i/>
          <w:iCs/>
          <w:lang w:val="ru-RU"/>
        </w:rPr>
        <w:t xml:space="preserve">аудиторское </w:t>
      </w:r>
      <w:r w:rsidRPr="00810D30">
        <w:rPr>
          <w:i/>
          <w:iCs/>
          <w:lang w:val="ru-RU"/>
        </w:rPr>
        <w:t>заключение было представлено собранию Совета в июне 2024 года. Для соблюдения этих сроков Генеральный секретарь и заместитель Генерального секретаря приступили к формированию целевой группы, предназначенной для поддержания работы по подготовке финансовой отчетности, соответствующей стандартам IPSAS. Исполнительное руководство пришло к выводу, что наиболее эффективный подход к достижению этой цели предусматривает привлечение внешних консультантов в краткосрочной перспективе и одновременное начало процесса найма сотрудников в МСЭ, которые будут выполнять эту функцию в последующие годы.</w:t>
      </w:r>
    </w:p>
    <w:p w14:paraId="24D55B3B" w14:textId="77777777" w:rsidR="00EC50A1" w:rsidRPr="00EC50A1" w:rsidRDefault="00EC50A1" w:rsidP="00EC50A1">
      <w:pPr>
        <w:pStyle w:val="Heading3"/>
        <w:rPr>
          <w:lang w:val="ru-RU"/>
        </w:rPr>
      </w:pPr>
      <w:r w:rsidRPr="00EC50A1">
        <w:rPr>
          <w:bCs/>
          <w:lang w:val="ru-RU"/>
        </w:rPr>
        <w:t>Отчет о финансовой деятельности</w:t>
      </w:r>
    </w:p>
    <w:p w14:paraId="2819AFB7" w14:textId="2544D1C4" w:rsidR="00EC50A1" w:rsidRPr="00EC50A1" w:rsidRDefault="00810D30" w:rsidP="00300852">
      <w:pPr>
        <w:rPr>
          <w:lang w:val="ru-RU"/>
        </w:rPr>
      </w:pPr>
      <w:r w:rsidRPr="00300852">
        <w:rPr>
          <w:b/>
          <w:bCs/>
          <w:lang w:val="ru-RU"/>
        </w:rPr>
        <w:t>17</w:t>
      </w:r>
      <w:r>
        <w:rPr>
          <w:lang w:val="ru-RU"/>
        </w:rPr>
        <w:tab/>
      </w:r>
      <w:r w:rsidR="00EC50A1" w:rsidRPr="00EC50A1">
        <w:rPr>
          <w:lang w:val="ru-RU"/>
        </w:rPr>
        <w:t xml:space="preserve">В Отчете о финансовой деятельности содержится обзор результатов финансовой деятельности и положения МСЭ в 2022 году. Хотя эти данные в значительной степени согласуются с сообщенными результатами, также существует возможность использовать этот отчет для дополнения информации, представляемой Членам, наряду с сообщенными результатами деятельности. Мы полагаем, что в отчете можно было бы уделить больше внимания финансовым тенденциям и тому, как именно МСЭ управляет финансовыми рисками. </w:t>
      </w:r>
      <w:r w:rsidR="00EC50A1" w:rsidRPr="00150ADD">
        <w:rPr>
          <w:lang w:val="ru-RU"/>
        </w:rPr>
        <w:t>Кроме того, м</w:t>
      </w:r>
      <w:r w:rsidR="00EC50A1" w:rsidRPr="00EC50A1">
        <w:rPr>
          <w:lang w:val="ru-RU"/>
        </w:rPr>
        <w:t>ы отметили ограниченность анализа конечных результатов, а также расходов и достижений за этот период. Члены должны получить корректные и сбалансированные комментарии по финансовой отчетности, которые предоставили бы общую картину основных показателей деятельности организации, ее финансового положения и ключевых результатов, следующих из использованных ресурсов.</w:t>
      </w:r>
    </w:p>
    <w:p w14:paraId="7C76CBAE" w14:textId="279BBAE7" w:rsidR="00EC50A1" w:rsidRPr="00EC50A1" w:rsidRDefault="00810D30" w:rsidP="00300852">
      <w:pPr>
        <w:rPr>
          <w:lang w:val="ru-RU"/>
        </w:rPr>
      </w:pPr>
      <w:r w:rsidRPr="00300852">
        <w:rPr>
          <w:b/>
          <w:bCs/>
          <w:lang w:val="ru-RU"/>
        </w:rPr>
        <w:t>18</w:t>
      </w:r>
      <w:r>
        <w:rPr>
          <w:lang w:val="ru-RU"/>
        </w:rPr>
        <w:tab/>
      </w:r>
      <w:r w:rsidR="00EC50A1" w:rsidRPr="00EC50A1">
        <w:rPr>
          <w:lang w:val="ru-RU"/>
        </w:rPr>
        <w:t xml:space="preserve">В более широком масштабе в системе ООН все больше внимания уделяется использованию такого рода комментариев для демонстрации того, как именно используются ресурсы. </w:t>
      </w:r>
      <w:r w:rsidR="00EC50A1" w:rsidRPr="00150ADD">
        <w:rPr>
          <w:lang w:val="ru-RU"/>
        </w:rPr>
        <w:t xml:space="preserve">В условиях </w:t>
      </w:r>
      <w:r w:rsidR="00EC50A1" w:rsidRPr="00EC50A1">
        <w:rPr>
          <w:lang w:val="ru-RU"/>
        </w:rPr>
        <w:t>все бол</w:t>
      </w:r>
      <w:r w:rsidR="00EC50A1" w:rsidRPr="00150ADD">
        <w:rPr>
          <w:lang w:val="ru-RU"/>
        </w:rPr>
        <w:t>ьшей ограниченности ресурсов возрастает важность того</w:t>
      </w:r>
      <w:r w:rsidR="00EC50A1" w:rsidRPr="00EC50A1">
        <w:rPr>
          <w:lang w:val="ru-RU"/>
        </w:rPr>
        <w:t>, чтобы Члены получали четк</w:t>
      </w:r>
      <w:r w:rsidR="00EC50A1" w:rsidRPr="00150ADD">
        <w:rPr>
          <w:lang w:val="ru-RU"/>
        </w:rPr>
        <w:t>ое представление</w:t>
      </w:r>
      <w:r w:rsidR="00EC50A1" w:rsidRPr="00EC50A1">
        <w:rPr>
          <w:lang w:val="ru-RU"/>
        </w:rPr>
        <w:t xml:space="preserve"> </w:t>
      </w:r>
      <w:r w:rsidR="00EC50A1" w:rsidRPr="00150ADD">
        <w:rPr>
          <w:lang w:val="ru-RU"/>
        </w:rPr>
        <w:t>о происходящих изменениях</w:t>
      </w:r>
      <w:r w:rsidR="00EC50A1" w:rsidRPr="00EC50A1">
        <w:rPr>
          <w:lang w:val="ru-RU"/>
        </w:rPr>
        <w:t xml:space="preserve"> и финансов</w:t>
      </w:r>
      <w:r w:rsidR="00EC50A1" w:rsidRPr="00150ADD">
        <w:rPr>
          <w:lang w:val="ru-RU"/>
        </w:rPr>
        <w:t>ых</w:t>
      </w:r>
      <w:r w:rsidR="00EC50A1" w:rsidRPr="00EC50A1">
        <w:rPr>
          <w:lang w:val="ru-RU"/>
        </w:rPr>
        <w:t xml:space="preserve"> </w:t>
      </w:r>
      <w:r w:rsidR="00EC50A1" w:rsidRPr="00150ADD">
        <w:rPr>
          <w:lang w:val="ru-RU"/>
        </w:rPr>
        <w:t>затруднениях</w:t>
      </w:r>
      <w:r w:rsidR="00EC50A1" w:rsidRPr="00EC50A1">
        <w:rPr>
          <w:lang w:val="ru-RU"/>
        </w:rPr>
        <w:t>, с которыми сталкивается организация, а также о том, каким образом МСЭ будет реагировать на ситуацию, связанную с ресурсами, и адаптироваться к ней. Это помогает поддерживать подотчетность, поскольку более полная информация, увязывающая ресурсы с конечными результатами, может способствовать более эффективному принятию Членами финансовых решений.</w:t>
      </w:r>
    </w:p>
    <w:p w14:paraId="7470C7FF" w14:textId="5C30011A" w:rsidR="00EC50A1" w:rsidRPr="00EC50A1" w:rsidRDefault="00810D30" w:rsidP="00300852">
      <w:pPr>
        <w:rPr>
          <w:lang w:val="ru-RU"/>
        </w:rPr>
      </w:pPr>
      <w:r w:rsidRPr="00300852">
        <w:rPr>
          <w:b/>
          <w:bCs/>
          <w:lang w:val="ru-RU"/>
        </w:rPr>
        <w:t>19</w:t>
      </w:r>
      <w:r>
        <w:rPr>
          <w:lang w:val="ru-RU"/>
        </w:rPr>
        <w:tab/>
      </w:r>
      <w:r w:rsidR="00EC50A1" w:rsidRPr="00EC50A1">
        <w:rPr>
          <w:lang w:val="ru-RU"/>
        </w:rPr>
        <w:t>МСЭ следует рассмотреть вопрос о дальнейшей работе в отношении такого комментария, используя руководящие указания Комитета IPSAS по представлению и анализу финансовой отчетности, а также более подробной информации о причинах, лежащих в основе расхождений. Это позволит получать более полное представление об изменениях финансового положения и движении денежных средств, представленных в финансовой отчетности. Полагаем, что растет важность того, чтобы отчет, который сопровождает финансовую отчетность, был доступным и всеобъемлющим и охватывал информацию о результатах деятельности и финансовом положении. Проверенные данные в финансовой отчетности предоставляют заинтересованным сторонам значительный массив информации, и МСЭ следует рассмотреть вопрос о том, как используется раздел о результатах финансовой деятельности, чтобы дополнить его и представить соответствующие идеи.</w:t>
      </w:r>
    </w:p>
    <w:p w14:paraId="25B57028" w14:textId="77777777" w:rsidR="00EC50A1" w:rsidRPr="00300852" w:rsidRDefault="00EC50A1" w:rsidP="00810D30">
      <w:pPr>
        <w:rPr>
          <w:rStyle w:val="Bold"/>
          <w:lang w:val="ru-RU"/>
        </w:rPr>
      </w:pPr>
      <w:r w:rsidRPr="00810D30">
        <w:rPr>
          <w:b/>
          <w:bCs/>
          <w:lang w:val="ru-RU"/>
        </w:rPr>
        <w:t>МСЭ следует</w:t>
      </w:r>
      <w:r w:rsidRPr="00300852">
        <w:rPr>
          <w:lang w:val="ru-RU"/>
        </w:rPr>
        <w:t>:</w:t>
      </w:r>
    </w:p>
    <w:p w14:paraId="3C9C8560" w14:textId="4D27691E" w:rsidR="00EC50A1" w:rsidRPr="00810D30" w:rsidRDefault="00EC50A1" w:rsidP="00810D30">
      <w:pPr>
        <w:rPr>
          <w:b/>
          <w:bCs/>
          <w:lang w:val="ru-RU"/>
        </w:rPr>
      </w:pPr>
      <w:r w:rsidRPr="00810D30">
        <w:rPr>
          <w:b/>
          <w:bCs/>
          <w:lang w:val="ru-RU"/>
        </w:rPr>
        <w:t>Р3: подготовить комментарий к финансовой отчетности, охватывающий руководящие указания Комитета IPSAS по представлению финансовой отчетности, в целях обогащения информации, предоставляемой Членам, обеспечения понимания причин тенденций и расхождений, определения рисков и возможностей, а также краткого изложения результатов, достигнутых при затраченных ресурсах</w:t>
      </w:r>
      <w:r w:rsidRPr="00300852">
        <w:rPr>
          <w:lang w:val="ru-RU"/>
        </w:rPr>
        <w:t>.</w:t>
      </w:r>
    </w:p>
    <w:p w14:paraId="5BB57B5B" w14:textId="77777777" w:rsidR="00EC50A1" w:rsidRPr="00810D30" w:rsidRDefault="00EC50A1" w:rsidP="00810D30">
      <w:pPr>
        <w:rPr>
          <w:rStyle w:val="Italic"/>
          <w:i w:val="0"/>
          <w:iCs w:val="0"/>
          <w:lang w:val="ru-RU"/>
        </w:rPr>
      </w:pPr>
      <w:r w:rsidRPr="00810D30">
        <w:rPr>
          <w:i/>
          <w:iCs/>
          <w:lang w:val="ru-RU"/>
        </w:rPr>
        <w:t>Руководство принимает эту рекомендацию и будет работать над совершенствованием будущей отчетности.</w:t>
      </w:r>
    </w:p>
    <w:p w14:paraId="5C4A36D6" w14:textId="77777777" w:rsidR="00EC50A1" w:rsidRPr="00EC50A1" w:rsidRDefault="00EC50A1" w:rsidP="00EC50A1">
      <w:pPr>
        <w:pStyle w:val="Heading2"/>
        <w:rPr>
          <w:lang w:val="ru-RU"/>
        </w:rPr>
      </w:pPr>
      <w:bookmarkStart w:id="17" w:name="_Toc163060674"/>
      <w:bookmarkStart w:id="18" w:name="_Toc163227691"/>
      <w:bookmarkStart w:id="19" w:name="_Toc137224234"/>
      <w:bookmarkStart w:id="20" w:name="_Toc138857879"/>
      <w:r w:rsidRPr="00EC50A1">
        <w:rPr>
          <w:lang w:val="ru-RU"/>
        </w:rPr>
        <w:t>Финансовый комментарий</w:t>
      </w:r>
      <w:bookmarkEnd w:id="17"/>
      <w:bookmarkEnd w:id="18"/>
    </w:p>
    <w:p w14:paraId="26269559" w14:textId="77777777" w:rsidR="00EC50A1" w:rsidRPr="00EC50A1" w:rsidRDefault="00EC50A1" w:rsidP="00EC50A1">
      <w:pPr>
        <w:pStyle w:val="Heading3"/>
        <w:rPr>
          <w:lang w:val="ru-RU"/>
        </w:rPr>
      </w:pPr>
      <w:r w:rsidRPr="00EC50A1">
        <w:rPr>
          <w:bCs/>
          <w:lang w:val="ru-RU"/>
        </w:rPr>
        <w:t>Результаты финансовой деятельности</w:t>
      </w:r>
    </w:p>
    <w:p w14:paraId="313C367F" w14:textId="657ED111" w:rsidR="00EC50A1" w:rsidRPr="00EC50A1" w:rsidRDefault="009657C5" w:rsidP="00300852">
      <w:pPr>
        <w:rPr>
          <w:lang w:val="ru-RU"/>
        </w:rPr>
      </w:pPr>
      <w:r w:rsidRPr="00300852">
        <w:rPr>
          <w:b/>
          <w:bCs/>
          <w:lang w:val="ru-RU"/>
        </w:rPr>
        <w:t>20</w:t>
      </w:r>
      <w:r>
        <w:rPr>
          <w:lang w:val="ru-RU"/>
        </w:rPr>
        <w:tab/>
      </w:r>
      <w:r w:rsidR="00EC50A1" w:rsidRPr="00EC50A1">
        <w:rPr>
          <w:lang w:val="ru-RU"/>
        </w:rPr>
        <w:t>МСЭ сообщил об общем дефиците в размере 24,4 млн. швейцарских франков (13,3</w:t>
      </w:r>
      <w:r w:rsidR="00300852">
        <w:rPr>
          <w:lang w:val="ru-RU"/>
        </w:rPr>
        <w:t> </w:t>
      </w:r>
      <w:r w:rsidR="00EC50A1" w:rsidRPr="00EC50A1">
        <w:rPr>
          <w:lang w:val="ru-RU"/>
        </w:rPr>
        <w:t>млн. швейцарских франков в 2021 г.) при общих доходах в размере 196,8 млн. швейцарских франков (177,1 млн. швейцарских франков в 2021 г.) и расходах в размере 203,0</w:t>
      </w:r>
      <w:r w:rsidR="00300852">
        <w:rPr>
          <w:lang w:val="ru-RU"/>
        </w:rPr>
        <w:t> </w:t>
      </w:r>
      <w:r w:rsidR="00EC50A1" w:rsidRPr="00EC50A1">
        <w:rPr>
          <w:lang w:val="ru-RU"/>
        </w:rPr>
        <w:t>млн. швейцарских франков (190,9 млн. швейцарских франков в 2021 г.)</w:t>
      </w:r>
      <w:r w:rsidR="00EC50A1" w:rsidRPr="00EC50A1">
        <w:rPr>
          <w:rStyle w:val="FootnoteReference"/>
          <w:lang w:val="ru-RU"/>
        </w:rPr>
        <w:footnoteReference w:id="1"/>
      </w:r>
      <w:r w:rsidR="00EC50A1" w:rsidRPr="00EC50A1">
        <w:rPr>
          <w:lang w:val="ru-RU"/>
        </w:rPr>
        <w:t>. Увеличение расходов по сравнению с 2021 годом объясняется в основном возобновлением поездок после пандемии, при этом "командировочные" расходы возросли с 443 000 швейцарских франков до 5,6 млн. швейцарских франков.</w:t>
      </w:r>
    </w:p>
    <w:p w14:paraId="6E0384B2" w14:textId="4E3358CF" w:rsidR="00EC50A1" w:rsidRPr="00EC50A1" w:rsidRDefault="009657C5" w:rsidP="00300852">
      <w:pPr>
        <w:rPr>
          <w:lang w:val="ru-RU"/>
        </w:rPr>
      </w:pPr>
      <w:r w:rsidRPr="00300852">
        <w:rPr>
          <w:b/>
          <w:bCs/>
          <w:lang w:val="ru-RU"/>
        </w:rPr>
        <w:t>21</w:t>
      </w:r>
      <w:r>
        <w:rPr>
          <w:lang w:val="ru-RU"/>
        </w:rPr>
        <w:tab/>
      </w:r>
      <w:r w:rsidR="00EC50A1" w:rsidRPr="00EC50A1">
        <w:rPr>
          <w:lang w:val="ru-RU"/>
        </w:rPr>
        <w:t xml:space="preserve">В отчете о сравнении регулярного бюджета с фактическими данными показаны доходы и расходы относительно утвержденного бюджета, при этом: </w:t>
      </w:r>
    </w:p>
    <w:p w14:paraId="18068359" w14:textId="73FBA551" w:rsidR="00EC50A1" w:rsidRPr="00EC50A1" w:rsidRDefault="009657C5" w:rsidP="00300852">
      <w:pPr>
        <w:pStyle w:val="enumlev1"/>
        <w:rPr>
          <w:lang w:val="ru-RU"/>
        </w:rPr>
      </w:pPr>
      <w:r>
        <w:rPr>
          <w:lang w:val="ru-RU"/>
        </w:rPr>
        <w:t>•</w:t>
      </w:r>
      <w:r>
        <w:rPr>
          <w:lang w:val="ru-RU"/>
        </w:rPr>
        <w:tab/>
      </w:r>
      <w:r w:rsidR="00EC50A1" w:rsidRPr="00EC50A1">
        <w:rPr>
          <w:lang w:val="ru-RU"/>
        </w:rPr>
        <w:t>фактические доходы в размере 157,2 млн. швейцарских франков при сбалансированном бюджете в 163,6 млн. швейцарских франков;</w:t>
      </w:r>
    </w:p>
    <w:p w14:paraId="4CE9A959" w14:textId="5B107BDA" w:rsidR="00EC50A1" w:rsidRPr="00EC50A1" w:rsidRDefault="009657C5" w:rsidP="00300852">
      <w:pPr>
        <w:pStyle w:val="enumlev1"/>
        <w:rPr>
          <w:lang w:val="ru-RU"/>
        </w:rPr>
      </w:pPr>
      <w:r>
        <w:rPr>
          <w:lang w:val="ru-RU"/>
        </w:rPr>
        <w:t>•</w:t>
      </w:r>
      <w:r>
        <w:rPr>
          <w:lang w:val="ru-RU"/>
        </w:rPr>
        <w:tab/>
      </w:r>
      <w:r w:rsidR="00EC50A1" w:rsidRPr="00EC50A1">
        <w:rPr>
          <w:lang w:val="ru-RU"/>
        </w:rPr>
        <w:t>фактические расходы в размере 162,0 млн. швейцарских франков при сбалансированном бюджете в 163,6 млн. швейцарских франков;</w:t>
      </w:r>
    </w:p>
    <w:p w14:paraId="3B12A821" w14:textId="0C9100C5" w:rsidR="00EC50A1" w:rsidRPr="00EC50A1" w:rsidRDefault="009657C5" w:rsidP="00300852">
      <w:pPr>
        <w:rPr>
          <w:lang w:val="ru-RU"/>
        </w:rPr>
      </w:pPr>
      <w:r w:rsidRPr="00300852">
        <w:rPr>
          <w:b/>
          <w:bCs/>
          <w:lang w:val="ru-RU"/>
        </w:rPr>
        <w:t>22</w:t>
      </w:r>
      <w:r>
        <w:rPr>
          <w:lang w:val="ru-RU"/>
        </w:rPr>
        <w:tab/>
      </w:r>
      <w:r w:rsidR="00EC50A1" w:rsidRPr="00EC50A1">
        <w:rPr>
          <w:lang w:val="ru-RU"/>
        </w:rPr>
        <w:t>Это привело к дефициту бюджета в размере 4,8 млн. швейцарских франков, в то время как целью было соблюдение нулевого дефицита. Основной причиной дефицита бюджета является сокращение числа заявок на регистрацию спутниковых сетей. В результате сохраняющегося дефицита бюджета растет нагрузка на общие резервы МСЭ. Крайне важно, чтобы МСЭ смог точно прогнозировать доходы и принимать меры в случае их снижения для обеспечения соответствия прогнозов в отношении доходов от поступающих средств затратам. Также МСЭ важно обеспечивать полное возмещение затрат на свою деятельность, с тем чтобы Союз мог и далее выполнять свои задачи и выполнять свои финансовые обязательства в среднесрочной и долгосрочной перспективе. Мы будем рассматривать финансовую устойчивость МСЭ позднее в рамках нашего мандата, а также выполним анализ того, как управление, ориентированное на результаты, способствует отчетности о достигнутых результатах в контексте планов, о чем говорится далее.</w:t>
      </w:r>
    </w:p>
    <w:p w14:paraId="55C8C9F0" w14:textId="77777777" w:rsidR="00EC50A1" w:rsidRPr="00EC50A1" w:rsidRDefault="00EC50A1" w:rsidP="00EC50A1">
      <w:pPr>
        <w:pStyle w:val="Heading3"/>
        <w:rPr>
          <w:lang w:val="ru-RU"/>
        </w:rPr>
      </w:pPr>
      <w:r w:rsidRPr="00EC50A1">
        <w:rPr>
          <w:bCs/>
          <w:lang w:val="ru-RU"/>
        </w:rPr>
        <w:t>Финансовое положение</w:t>
      </w:r>
    </w:p>
    <w:p w14:paraId="12F7CEC3" w14:textId="38A7256D" w:rsidR="00EC50A1" w:rsidRPr="00EC50A1" w:rsidRDefault="009657C5" w:rsidP="00300852">
      <w:pPr>
        <w:rPr>
          <w:lang w:val="ru-RU"/>
        </w:rPr>
      </w:pPr>
      <w:r w:rsidRPr="00300852">
        <w:rPr>
          <w:b/>
          <w:bCs/>
          <w:lang w:val="ru-RU"/>
        </w:rPr>
        <w:t>23</w:t>
      </w:r>
      <w:r>
        <w:rPr>
          <w:lang w:val="ru-RU"/>
        </w:rPr>
        <w:tab/>
      </w:r>
      <w:r w:rsidR="00EC50A1" w:rsidRPr="00EC50A1">
        <w:rPr>
          <w:lang w:val="ru-RU"/>
        </w:rPr>
        <w:t>В целом, из-за актуарной прибыли в размере 215,5 млн. швейцарских франков от оценки медицинского страхования после выхода в отставку (АСХИ) и с учетом недостаточности доходов для покрытия расходов дефицит чистых активов сократился до отрицательного значения 213,1 млн. швейцарских франков (отрицательное значение 410,8 млн. швейцарских франков в 2021 г.).</w:t>
      </w:r>
      <w:bookmarkStart w:id="21" w:name="_Hlk145317899"/>
      <w:bookmarkEnd w:id="21"/>
    </w:p>
    <w:p w14:paraId="47C3C8C2" w14:textId="2DF7F937" w:rsidR="00EC50A1" w:rsidRPr="00EC50A1" w:rsidRDefault="009657C5" w:rsidP="00300852">
      <w:pPr>
        <w:rPr>
          <w:lang w:val="ru-RU"/>
        </w:rPr>
      </w:pPr>
      <w:r w:rsidRPr="00300852">
        <w:rPr>
          <w:b/>
          <w:bCs/>
          <w:lang w:val="ru-RU"/>
        </w:rPr>
        <w:t>24</w:t>
      </w:r>
      <w:r>
        <w:rPr>
          <w:lang w:val="ru-RU"/>
        </w:rPr>
        <w:tab/>
      </w:r>
      <w:r w:rsidR="00EC50A1" w:rsidRPr="00EC50A1">
        <w:rPr>
          <w:lang w:val="ru-RU"/>
        </w:rPr>
        <w:t>Общие активы сократились на 19,7 млн. швейцарских франков до 317,9 млн.</w:t>
      </w:r>
      <w:r w:rsidR="00CF4694">
        <w:rPr>
          <w:lang w:val="ru-RU"/>
        </w:rPr>
        <w:t> </w:t>
      </w:r>
      <w:r w:rsidR="00EC50A1" w:rsidRPr="00EC50A1">
        <w:rPr>
          <w:lang w:val="ru-RU"/>
        </w:rPr>
        <w:t>швейцарских франков и включали денежные средства и инвестиции в размере 207,7</w:t>
      </w:r>
      <w:r w:rsidR="00CF4694">
        <w:rPr>
          <w:lang w:val="ru-RU"/>
        </w:rPr>
        <w:t> </w:t>
      </w:r>
      <w:r w:rsidR="00EC50A1" w:rsidRPr="00EC50A1">
        <w:rPr>
          <w:lang w:val="ru-RU"/>
        </w:rPr>
        <w:t>млн. швейцарских франков (225,1 млн. швейцарских франков в 2021 г.), а также материальные и нематериальные активы с чистой стоимостью 86,6 млн. швейцарских франков (86,2 млн. швейцарских франков в 2021 г.). Долговые обязательства по основным видам деятельности сократились до 17,8 млн. швейцарских франков (19,5 млн. швейцарских франков в 2021 г.) после обесценения на 36,1 млн. швейцарских франков, которые, по мнению руководства, не могут быть взысканы с Членов и других пользователей услуг. Это представляет собой существенное сокращение средств, имеющихся у Секретариата для осуществления видов деятельности. Совершенствование процедур кредитного контроля имеет решающее значение для финансового состояния и стабильности МСЭ, и мы хотели бы призвать руководство принять безотлагательные меры в этом отношении, как это показано ниже.</w:t>
      </w:r>
    </w:p>
    <w:p w14:paraId="3CF9A3FA" w14:textId="2158238D" w:rsidR="00EC50A1" w:rsidRPr="00EC50A1" w:rsidRDefault="009657C5" w:rsidP="00300852">
      <w:pPr>
        <w:rPr>
          <w:lang w:val="ru-RU"/>
        </w:rPr>
      </w:pPr>
      <w:r w:rsidRPr="00300852">
        <w:rPr>
          <w:b/>
          <w:bCs/>
          <w:lang w:val="ru-RU"/>
        </w:rPr>
        <w:t>25</w:t>
      </w:r>
      <w:r>
        <w:rPr>
          <w:lang w:val="ru-RU"/>
        </w:rPr>
        <w:tab/>
      </w:r>
      <w:r w:rsidR="00EC50A1" w:rsidRPr="00EC50A1">
        <w:rPr>
          <w:lang w:val="ru-RU"/>
        </w:rPr>
        <w:t>Общая сумма обязательств сократилась на 217,4 млн. швейцарских франков до 530,9</w:t>
      </w:r>
      <w:r w:rsidR="00CF4694">
        <w:rPr>
          <w:lang w:val="ru-RU"/>
        </w:rPr>
        <w:t> </w:t>
      </w:r>
      <w:r w:rsidR="00EC50A1" w:rsidRPr="00EC50A1">
        <w:rPr>
          <w:lang w:val="ru-RU"/>
        </w:rPr>
        <w:t>млн. швейцарских франков. Обязательства включают взносы, полученные авансом, на сумму 50,8 млн. швейцарских франков (53,6 млн. швейцарских франков в 2021 г.), средства третьих сторон (т. е. доноров) в размере 38,0 млн. швейцарских франков (49,7</w:t>
      </w:r>
      <w:r w:rsidR="00CF4694">
        <w:rPr>
          <w:lang w:val="ru-RU"/>
        </w:rPr>
        <w:t> </w:t>
      </w:r>
      <w:r w:rsidR="00EC50A1" w:rsidRPr="00EC50A1">
        <w:rPr>
          <w:lang w:val="ru-RU"/>
        </w:rPr>
        <w:t>млн.</w:t>
      </w:r>
      <w:r w:rsidR="00CF4694">
        <w:rPr>
          <w:lang w:val="ru-RU"/>
        </w:rPr>
        <w:t> </w:t>
      </w:r>
      <w:r w:rsidR="00EC50A1" w:rsidRPr="00EC50A1">
        <w:rPr>
          <w:lang w:val="ru-RU"/>
        </w:rPr>
        <w:t>швейцарских франков</w:t>
      </w:r>
      <w:r w:rsidR="00EC50A1" w:rsidRPr="00EC50A1">
        <w:rPr>
          <w:b/>
          <w:bCs/>
          <w:lang w:val="ru-RU"/>
        </w:rPr>
        <w:t xml:space="preserve"> </w:t>
      </w:r>
      <w:r w:rsidR="00EC50A1" w:rsidRPr="00EC50A1">
        <w:rPr>
          <w:lang w:val="ru-RU"/>
        </w:rPr>
        <w:t>в 2021 г.), займы на сумму 46,9 млн. швейцарских франков (52,0</w:t>
      </w:r>
      <w:r w:rsidR="00CF4694">
        <w:rPr>
          <w:lang w:val="ru-RU"/>
        </w:rPr>
        <w:t> </w:t>
      </w:r>
      <w:r w:rsidR="00EC50A1" w:rsidRPr="00EC50A1">
        <w:rPr>
          <w:lang w:val="ru-RU"/>
        </w:rPr>
        <w:t>млн.</w:t>
      </w:r>
      <w:r w:rsidR="00CF4694">
        <w:rPr>
          <w:lang w:val="ru-RU"/>
        </w:rPr>
        <w:t> </w:t>
      </w:r>
      <w:r w:rsidR="00EC50A1" w:rsidRPr="00EC50A1">
        <w:rPr>
          <w:lang w:val="ru-RU"/>
        </w:rPr>
        <w:t>швейцарских франков в 2021 г.)</w:t>
      </w:r>
      <w:r w:rsidR="00EC50A1" w:rsidRPr="0041297C">
        <w:rPr>
          <w:lang w:val="ru-RU"/>
        </w:rPr>
        <w:t xml:space="preserve"> </w:t>
      </w:r>
      <w:r w:rsidR="00EC50A1" w:rsidRPr="00EC50A1">
        <w:rPr>
          <w:lang w:val="ru-RU"/>
        </w:rPr>
        <w:t>и общий объем обязательств по вознаграждению сотрудников в размере 368,7 млн. швейцарских франков (570,5 млн. швейцарских франков в 2021 г.), из которых 344,1 млн. швейцарских франков относится к медицинскому страхованию после выхода в отставку, как показано в Примечании 18 к финансовой отчетности.</w:t>
      </w:r>
    </w:p>
    <w:p w14:paraId="50147E11" w14:textId="7F539E69" w:rsidR="00EC50A1" w:rsidRDefault="009657C5" w:rsidP="00300852">
      <w:pPr>
        <w:rPr>
          <w:lang w:val="ru-RU"/>
        </w:rPr>
      </w:pPr>
      <w:r w:rsidRPr="00300852">
        <w:rPr>
          <w:b/>
          <w:bCs/>
          <w:lang w:val="ru-RU"/>
        </w:rPr>
        <w:t>26</w:t>
      </w:r>
      <w:r>
        <w:rPr>
          <w:lang w:val="ru-RU"/>
        </w:rPr>
        <w:tab/>
      </w:r>
      <w:r w:rsidR="00EC50A1" w:rsidRPr="00EC50A1">
        <w:rPr>
          <w:lang w:val="ru-RU"/>
        </w:rPr>
        <w:t>В целом финансовое состояние МСЭ в целом оставалось стабильным на протяжении последних трех лет (после пересчета), но по-прежнему сообщается об отрицательном значении чистых активов, несмотря на существенную прибыль, следующую из актуарной оценки обязательств по вознаграждению сотрудников, обусловленной изменениями на финансовых рынках. Мы используем коэффициентный анализ финансового состояния организации во всех наших аудитах международных организаций, чтобы продемонстрировать, как меняется финансовое положение с течением времени. Он отража</w:t>
      </w:r>
      <w:r w:rsidR="00EC50A1" w:rsidRPr="00150ADD">
        <w:rPr>
          <w:lang w:val="ru-RU"/>
        </w:rPr>
        <w:t>е</w:t>
      </w:r>
      <w:r w:rsidR="00EC50A1" w:rsidRPr="00EC50A1">
        <w:rPr>
          <w:lang w:val="ru-RU"/>
        </w:rPr>
        <w:t>т взаимосвязь между элементами учета. К примеру, на каждый один швейцарский франк текущих пассивов имеется три швейцарских франка текущих активов, что свидетельствует о том, что МСЭ может удовлетворить свои непосредственные потребности в движении денежных средств. Это объясняется в основном существующей в МСЭ политикой управления денежными средствами, которая означает, что его денежные средства и инвестиции хранятся в качестве текущих активов, даже если они обеспечивают нетекущие пассивы, такие как средства доноров и резервные счета, включая вознаграждение сотрудников.</w:t>
      </w:r>
    </w:p>
    <w:p w14:paraId="72778670" w14:textId="77777777" w:rsidR="009A78C9" w:rsidRDefault="009A78C9" w:rsidP="009A78C9">
      <w:pPr>
        <w:pStyle w:val="FigureNo"/>
        <w:rPr>
          <w:lang w:val="ru-RU"/>
        </w:rPr>
      </w:pPr>
      <w:r w:rsidRPr="00EC50A1">
        <w:rPr>
          <w:lang w:val="ru-RU"/>
        </w:rPr>
        <w:t>Рисунок 1</w:t>
      </w:r>
    </w:p>
    <w:p w14:paraId="3FB2F54A" w14:textId="0329B7A9" w:rsidR="009A78C9" w:rsidRPr="00EC50A1" w:rsidRDefault="009A78C9" w:rsidP="009A78C9">
      <w:pPr>
        <w:pStyle w:val="Figuretitle"/>
        <w:rPr>
          <w:lang w:val="ru-RU"/>
        </w:rPr>
      </w:pPr>
      <w:r w:rsidRPr="00EC50A1">
        <w:rPr>
          <w:lang w:val="ru-RU"/>
        </w:rPr>
        <w:t xml:space="preserve">Анализ ключевых </w:t>
      </w:r>
      <w:r w:rsidRPr="00150ADD">
        <w:rPr>
          <w:lang w:val="ru-RU"/>
        </w:rPr>
        <w:t>коэффициентов</w:t>
      </w:r>
      <w:r w:rsidRPr="00EC50A1">
        <w:rPr>
          <w:lang w:val="ru-RU"/>
        </w:rPr>
        <w:t xml:space="preserve"> финансового </w:t>
      </w:r>
      <w:r w:rsidRPr="00150ADD">
        <w:rPr>
          <w:lang w:val="ru-RU"/>
        </w:rPr>
        <w:t>состояния</w:t>
      </w:r>
      <w:r w:rsidRPr="00EC50A1">
        <w:rPr>
          <w:lang w:val="ru-RU"/>
        </w:rPr>
        <w:t xml:space="preserve"> МСЭ</w:t>
      </w:r>
    </w:p>
    <w:tbl>
      <w:tblPr>
        <w:tblW w:w="5000" w:type="pct"/>
        <w:tblLayout w:type="fixed"/>
        <w:tblLook w:val="0600" w:firstRow="0" w:lastRow="0" w:firstColumn="0" w:lastColumn="0" w:noHBand="1" w:noVBand="1"/>
      </w:tblPr>
      <w:tblGrid>
        <w:gridCol w:w="4820"/>
        <w:gridCol w:w="1417"/>
        <w:gridCol w:w="1417"/>
        <w:gridCol w:w="1417"/>
      </w:tblGrid>
      <w:tr w:rsidR="00EC50A1" w:rsidRPr="00EC50A1" w14:paraId="1F25FF30" w14:textId="77777777" w:rsidTr="00300852">
        <w:tc>
          <w:tcPr>
            <w:tcW w:w="4820" w:type="dxa"/>
          </w:tcPr>
          <w:p w14:paraId="06B2CFF3" w14:textId="77777777" w:rsidR="00EC50A1" w:rsidRPr="00EC50A1" w:rsidRDefault="00EC50A1" w:rsidP="009A78C9">
            <w:pPr>
              <w:pStyle w:val="Tablehead"/>
              <w:rPr>
                <w:lang w:val="ru-RU"/>
              </w:rPr>
            </w:pPr>
            <w:r w:rsidRPr="00EC50A1">
              <w:rPr>
                <w:lang w:val="ru-RU"/>
              </w:rPr>
              <w:t>Коэффициент</w:t>
            </w:r>
          </w:p>
        </w:tc>
        <w:tc>
          <w:tcPr>
            <w:tcW w:w="1417" w:type="dxa"/>
          </w:tcPr>
          <w:p w14:paraId="14E05F71" w14:textId="77777777" w:rsidR="00EC50A1" w:rsidRPr="00EC50A1" w:rsidRDefault="00EC50A1" w:rsidP="009A78C9">
            <w:pPr>
              <w:pStyle w:val="Tablehead"/>
              <w:rPr>
                <w:lang w:val="ru-RU"/>
              </w:rPr>
            </w:pPr>
            <w:r w:rsidRPr="00EC50A1">
              <w:rPr>
                <w:bCs/>
                <w:lang w:val="ru-RU"/>
              </w:rPr>
              <w:t>2022</w:t>
            </w:r>
            <w:r w:rsidRPr="00EC50A1">
              <w:rPr>
                <w:lang w:val="ru-RU"/>
              </w:rPr>
              <w:t xml:space="preserve"> г.</w:t>
            </w:r>
          </w:p>
        </w:tc>
        <w:tc>
          <w:tcPr>
            <w:tcW w:w="1417" w:type="dxa"/>
          </w:tcPr>
          <w:p w14:paraId="7EBA346F" w14:textId="77777777" w:rsidR="00EC50A1" w:rsidRPr="00EC50A1" w:rsidRDefault="00EC50A1" w:rsidP="009A78C9">
            <w:pPr>
              <w:pStyle w:val="Tablehead"/>
              <w:rPr>
                <w:lang w:val="ru-RU"/>
              </w:rPr>
            </w:pPr>
            <w:r w:rsidRPr="00EC50A1">
              <w:rPr>
                <w:bCs/>
                <w:lang w:val="ru-RU"/>
              </w:rPr>
              <w:t>2021</w:t>
            </w:r>
            <w:r w:rsidRPr="00EC50A1">
              <w:rPr>
                <w:lang w:val="ru-RU"/>
              </w:rPr>
              <w:t xml:space="preserve"> г.</w:t>
            </w:r>
          </w:p>
        </w:tc>
        <w:tc>
          <w:tcPr>
            <w:tcW w:w="1417" w:type="dxa"/>
          </w:tcPr>
          <w:p w14:paraId="487A83FB" w14:textId="77777777" w:rsidR="00EC50A1" w:rsidRPr="00EC50A1" w:rsidRDefault="00EC50A1" w:rsidP="009A78C9">
            <w:pPr>
              <w:pStyle w:val="Tablehead"/>
              <w:rPr>
                <w:lang w:val="ru-RU"/>
              </w:rPr>
            </w:pPr>
            <w:r w:rsidRPr="00EC50A1">
              <w:rPr>
                <w:bCs/>
                <w:lang w:val="ru-RU"/>
              </w:rPr>
              <w:t>2020</w:t>
            </w:r>
            <w:r w:rsidRPr="00EC50A1">
              <w:rPr>
                <w:lang w:val="ru-RU"/>
              </w:rPr>
              <w:t xml:space="preserve"> г.</w:t>
            </w:r>
          </w:p>
        </w:tc>
      </w:tr>
      <w:tr w:rsidR="00EC50A1" w:rsidRPr="00EC50A1" w14:paraId="01038820" w14:textId="77777777" w:rsidTr="00300852">
        <w:tc>
          <w:tcPr>
            <w:tcW w:w="4820" w:type="dxa"/>
          </w:tcPr>
          <w:p w14:paraId="0FBBA776" w14:textId="77777777" w:rsidR="00EC50A1" w:rsidRPr="00AE2293" w:rsidRDefault="00EC50A1" w:rsidP="009A78C9">
            <w:pPr>
              <w:pStyle w:val="Tabletext"/>
              <w:rPr>
                <w:b/>
                <w:bCs/>
                <w:lang w:val="ru-RU"/>
              </w:rPr>
            </w:pPr>
            <w:r w:rsidRPr="00AE2293">
              <w:rPr>
                <w:b/>
                <w:bCs/>
                <w:lang w:val="ru-RU"/>
              </w:rPr>
              <w:t>Текущий коэффициент</w:t>
            </w:r>
          </w:p>
          <w:p w14:paraId="2D14173C" w14:textId="77777777" w:rsidR="00EC50A1" w:rsidRPr="00EC50A1" w:rsidRDefault="00EC50A1" w:rsidP="009A78C9">
            <w:pPr>
              <w:pStyle w:val="Tabletext"/>
              <w:rPr>
                <w:lang w:val="ru-RU"/>
              </w:rPr>
            </w:pPr>
            <w:r w:rsidRPr="00EC50A1">
              <w:rPr>
                <w:lang w:val="ru-RU"/>
              </w:rPr>
              <w:t>Текущие активы: Текущие обязательства</w:t>
            </w:r>
          </w:p>
        </w:tc>
        <w:tc>
          <w:tcPr>
            <w:tcW w:w="1417" w:type="dxa"/>
          </w:tcPr>
          <w:p w14:paraId="76CC2991" w14:textId="77777777" w:rsidR="00EC50A1" w:rsidRPr="00EC50A1" w:rsidRDefault="00EC50A1" w:rsidP="009A78C9">
            <w:pPr>
              <w:pStyle w:val="Tabletext"/>
              <w:jc w:val="center"/>
              <w:rPr>
                <w:lang w:val="ru-RU"/>
              </w:rPr>
            </w:pPr>
            <w:r w:rsidRPr="00EC50A1">
              <w:rPr>
                <w:lang w:val="ru-RU"/>
              </w:rPr>
              <w:t>3,0</w:t>
            </w:r>
          </w:p>
        </w:tc>
        <w:tc>
          <w:tcPr>
            <w:tcW w:w="1417" w:type="dxa"/>
          </w:tcPr>
          <w:p w14:paraId="1163988A" w14:textId="77777777" w:rsidR="00EC50A1" w:rsidRPr="00EC50A1" w:rsidRDefault="00EC50A1" w:rsidP="009A78C9">
            <w:pPr>
              <w:pStyle w:val="Tabletext"/>
              <w:jc w:val="center"/>
              <w:rPr>
                <w:lang w:val="ru-RU"/>
              </w:rPr>
            </w:pPr>
            <w:r w:rsidRPr="00EC50A1">
              <w:rPr>
                <w:lang w:val="ru-RU"/>
              </w:rPr>
              <w:t>3,2</w:t>
            </w:r>
          </w:p>
        </w:tc>
        <w:tc>
          <w:tcPr>
            <w:tcW w:w="1417" w:type="dxa"/>
          </w:tcPr>
          <w:p w14:paraId="34DF9929" w14:textId="77777777" w:rsidR="00EC50A1" w:rsidRPr="00EC50A1" w:rsidRDefault="00EC50A1" w:rsidP="009A78C9">
            <w:pPr>
              <w:pStyle w:val="Tabletext"/>
              <w:jc w:val="center"/>
              <w:rPr>
                <w:lang w:val="ru-RU"/>
              </w:rPr>
            </w:pPr>
            <w:r w:rsidRPr="00EC50A1">
              <w:rPr>
                <w:lang w:val="ru-RU"/>
              </w:rPr>
              <w:t>3,3</w:t>
            </w:r>
          </w:p>
        </w:tc>
      </w:tr>
      <w:tr w:rsidR="00EC50A1" w:rsidRPr="00EC50A1" w14:paraId="34391CE4" w14:textId="77777777" w:rsidTr="00300852">
        <w:tc>
          <w:tcPr>
            <w:tcW w:w="4820" w:type="dxa"/>
          </w:tcPr>
          <w:p w14:paraId="7F89D903" w14:textId="0B2AD648" w:rsidR="00EC50A1" w:rsidRPr="00EC50A1" w:rsidRDefault="00EC50A1" w:rsidP="009A78C9">
            <w:pPr>
              <w:pStyle w:val="Tabletext"/>
              <w:rPr>
                <w:rStyle w:val="Bold"/>
                <w:lang w:val="ru-RU"/>
              </w:rPr>
            </w:pPr>
            <w:r w:rsidRPr="00EC50A1">
              <w:rPr>
                <w:b/>
                <w:bCs/>
                <w:lang w:val="ru-RU"/>
              </w:rPr>
              <w:t>Общие активы: Общие обязательства</w:t>
            </w:r>
          </w:p>
          <w:p w14:paraId="66573A6E" w14:textId="1941CE95" w:rsidR="00EC50A1" w:rsidRPr="00EC50A1" w:rsidRDefault="00EC50A1" w:rsidP="009A78C9">
            <w:pPr>
              <w:pStyle w:val="Tabletext"/>
              <w:rPr>
                <w:lang w:val="ru-RU"/>
              </w:rPr>
            </w:pPr>
            <w:r w:rsidRPr="00EC50A1">
              <w:rPr>
                <w:lang w:val="ru-RU"/>
              </w:rPr>
              <w:t>Активы: обязательства</w:t>
            </w:r>
          </w:p>
        </w:tc>
        <w:tc>
          <w:tcPr>
            <w:tcW w:w="1417" w:type="dxa"/>
          </w:tcPr>
          <w:p w14:paraId="3B697A62" w14:textId="7FCDE7C8" w:rsidR="00EC50A1" w:rsidRPr="00EC50A1" w:rsidRDefault="00EC50A1" w:rsidP="009A78C9">
            <w:pPr>
              <w:pStyle w:val="Tabletext"/>
              <w:jc w:val="center"/>
              <w:rPr>
                <w:lang w:val="ru-RU"/>
              </w:rPr>
            </w:pPr>
            <w:r w:rsidRPr="00EC50A1">
              <w:rPr>
                <w:lang w:val="ru-RU"/>
              </w:rPr>
              <w:t>0,6</w:t>
            </w:r>
          </w:p>
        </w:tc>
        <w:tc>
          <w:tcPr>
            <w:tcW w:w="1417" w:type="dxa"/>
          </w:tcPr>
          <w:p w14:paraId="5888D512" w14:textId="77777777" w:rsidR="00EC50A1" w:rsidRPr="00EC50A1" w:rsidRDefault="00EC50A1" w:rsidP="009A78C9">
            <w:pPr>
              <w:pStyle w:val="Tabletext"/>
              <w:jc w:val="center"/>
              <w:rPr>
                <w:lang w:val="ru-RU"/>
              </w:rPr>
            </w:pPr>
            <w:r w:rsidRPr="00EC50A1">
              <w:rPr>
                <w:lang w:val="ru-RU"/>
              </w:rPr>
              <w:t>0,5</w:t>
            </w:r>
          </w:p>
        </w:tc>
        <w:tc>
          <w:tcPr>
            <w:tcW w:w="1417" w:type="dxa"/>
          </w:tcPr>
          <w:p w14:paraId="1462FAB8" w14:textId="77777777" w:rsidR="00EC50A1" w:rsidRPr="00EC50A1" w:rsidRDefault="00EC50A1" w:rsidP="009A78C9">
            <w:pPr>
              <w:pStyle w:val="Tabletext"/>
              <w:jc w:val="center"/>
              <w:rPr>
                <w:lang w:val="ru-RU"/>
              </w:rPr>
            </w:pPr>
            <w:r w:rsidRPr="00EC50A1">
              <w:rPr>
                <w:lang w:val="ru-RU"/>
              </w:rPr>
              <w:t>0,4</w:t>
            </w:r>
          </w:p>
        </w:tc>
      </w:tr>
      <w:tr w:rsidR="00EC50A1" w:rsidRPr="00EC50A1" w14:paraId="77B4D1AC" w14:textId="77777777" w:rsidTr="00300852">
        <w:tc>
          <w:tcPr>
            <w:tcW w:w="4820" w:type="dxa"/>
          </w:tcPr>
          <w:p w14:paraId="0E162B93" w14:textId="77777777" w:rsidR="00EC50A1" w:rsidRPr="00EC50A1" w:rsidRDefault="00EC50A1" w:rsidP="009A78C9">
            <w:pPr>
              <w:pStyle w:val="Tabletext"/>
              <w:rPr>
                <w:rStyle w:val="Bold"/>
                <w:lang w:val="ru-RU"/>
              </w:rPr>
            </w:pPr>
            <w:r w:rsidRPr="00AE2293">
              <w:rPr>
                <w:b/>
                <w:bCs/>
                <w:lang w:val="ru-RU"/>
              </w:rPr>
              <w:t>Коэффициент денежных средств</w:t>
            </w:r>
            <w:r w:rsidRPr="00EC50A1">
              <w:rPr>
                <w:b/>
                <w:bCs/>
                <w:lang w:val="ru-RU"/>
              </w:rPr>
              <w:t>:</w:t>
            </w:r>
          </w:p>
          <w:p w14:paraId="03926A97" w14:textId="77777777" w:rsidR="00EC50A1" w:rsidRPr="00EC50A1" w:rsidRDefault="00EC50A1" w:rsidP="009A78C9">
            <w:pPr>
              <w:pStyle w:val="Tabletext"/>
              <w:rPr>
                <w:lang w:val="ru-RU"/>
              </w:rPr>
            </w:pPr>
            <w:r w:rsidRPr="00EC50A1">
              <w:rPr>
                <w:lang w:val="ru-RU"/>
              </w:rPr>
              <w:t>Денежные средства и краткосрочные инвестиции: текущие обязательства</w:t>
            </w:r>
          </w:p>
        </w:tc>
        <w:tc>
          <w:tcPr>
            <w:tcW w:w="1417" w:type="dxa"/>
          </w:tcPr>
          <w:p w14:paraId="230FE193" w14:textId="77777777" w:rsidR="00EC50A1" w:rsidRPr="00EC50A1" w:rsidRDefault="00EC50A1" w:rsidP="009A78C9">
            <w:pPr>
              <w:pStyle w:val="Tabletext"/>
              <w:jc w:val="center"/>
              <w:rPr>
                <w:lang w:val="ru-RU"/>
              </w:rPr>
            </w:pPr>
            <w:r w:rsidRPr="00EC50A1">
              <w:rPr>
                <w:lang w:val="ru-RU"/>
              </w:rPr>
              <w:t>2,7</w:t>
            </w:r>
          </w:p>
        </w:tc>
        <w:tc>
          <w:tcPr>
            <w:tcW w:w="1417" w:type="dxa"/>
          </w:tcPr>
          <w:p w14:paraId="334D7927" w14:textId="77777777" w:rsidR="00EC50A1" w:rsidRPr="00EC50A1" w:rsidRDefault="00EC50A1" w:rsidP="009A78C9">
            <w:pPr>
              <w:pStyle w:val="Tabletext"/>
              <w:jc w:val="center"/>
              <w:rPr>
                <w:lang w:val="ru-RU"/>
              </w:rPr>
            </w:pPr>
            <w:r w:rsidRPr="00EC50A1">
              <w:rPr>
                <w:lang w:val="ru-RU"/>
              </w:rPr>
              <w:t>2,8</w:t>
            </w:r>
          </w:p>
        </w:tc>
        <w:tc>
          <w:tcPr>
            <w:tcW w:w="1417" w:type="dxa"/>
          </w:tcPr>
          <w:p w14:paraId="3E2DA236" w14:textId="77777777" w:rsidR="00EC50A1" w:rsidRPr="00EC50A1" w:rsidRDefault="00EC50A1" w:rsidP="009A78C9">
            <w:pPr>
              <w:pStyle w:val="Tabletext"/>
              <w:jc w:val="center"/>
              <w:rPr>
                <w:lang w:val="ru-RU"/>
              </w:rPr>
            </w:pPr>
            <w:r w:rsidRPr="00EC50A1">
              <w:rPr>
                <w:lang w:val="ru-RU"/>
              </w:rPr>
              <w:t>2,9</w:t>
            </w:r>
          </w:p>
        </w:tc>
      </w:tr>
      <w:tr w:rsidR="00EC50A1" w:rsidRPr="00EC50A1" w14:paraId="233A6B11" w14:textId="77777777" w:rsidTr="00300852">
        <w:tc>
          <w:tcPr>
            <w:tcW w:w="4820" w:type="dxa"/>
          </w:tcPr>
          <w:p w14:paraId="6EDCAE70" w14:textId="77777777" w:rsidR="00EC50A1" w:rsidRPr="00EC50A1" w:rsidRDefault="00EC50A1" w:rsidP="009A78C9">
            <w:pPr>
              <w:pStyle w:val="Tabletext"/>
              <w:rPr>
                <w:rStyle w:val="Bold"/>
                <w:lang w:val="ru-RU"/>
              </w:rPr>
            </w:pPr>
            <w:r w:rsidRPr="00AE2293">
              <w:rPr>
                <w:b/>
                <w:bCs/>
                <w:lang w:val="ru-RU"/>
              </w:rPr>
              <w:t>Коэффициент инвестиций</w:t>
            </w:r>
            <w:r w:rsidRPr="00EC50A1">
              <w:rPr>
                <w:b/>
                <w:bCs/>
                <w:lang w:val="ru-RU"/>
              </w:rPr>
              <w:t>:</w:t>
            </w:r>
          </w:p>
          <w:p w14:paraId="231D01BD" w14:textId="77777777" w:rsidR="00EC50A1" w:rsidRPr="00EC50A1" w:rsidRDefault="00EC50A1" w:rsidP="009A78C9">
            <w:pPr>
              <w:pStyle w:val="Tabletext"/>
              <w:rPr>
                <w:lang w:val="ru-RU"/>
              </w:rPr>
            </w:pPr>
            <w:r w:rsidRPr="00EC50A1">
              <w:rPr>
                <w:lang w:val="ru-RU"/>
              </w:rPr>
              <w:t>Денежные средства и инвестиции: общие активы</w:t>
            </w:r>
          </w:p>
        </w:tc>
        <w:tc>
          <w:tcPr>
            <w:tcW w:w="1417" w:type="dxa"/>
          </w:tcPr>
          <w:p w14:paraId="2AD87DAA" w14:textId="77777777" w:rsidR="00EC50A1" w:rsidRPr="00EC50A1" w:rsidRDefault="00EC50A1" w:rsidP="009A78C9">
            <w:pPr>
              <w:pStyle w:val="Tabletext"/>
              <w:jc w:val="center"/>
              <w:rPr>
                <w:lang w:val="ru-RU"/>
              </w:rPr>
            </w:pPr>
            <w:r w:rsidRPr="00EC50A1">
              <w:rPr>
                <w:lang w:val="ru-RU"/>
              </w:rPr>
              <w:t>0,7</w:t>
            </w:r>
          </w:p>
        </w:tc>
        <w:tc>
          <w:tcPr>
            <w:tcW w:w="1417" w:type="dxa"/>
          </w:tcPr>
          <w:p w14:paraId="4E59999B" w14:textId="77777777" w:rsidR="00EC50A1" w:rsidRPr="00EC50A1" w:rsidRDefault="00EC50A1" w:rsidP="009A78C9">
            <w:pPr>
              <w:pStyle w:val="Tabletext"/>
              <w:jc w:val="center"/>
              <w:rPr>
                <w:lang w:val="ru-RU"/>
              </w:rPr>
            </w:pPr>
            <w:r w:rsidRPr="00EC50A1">
              <w:rPr>
                <w:lang w:val="ru-RU"/>
              </w:rPr>
              <w:t>0,7</w:t>
            </w:r>
          </w:p>
        </w:tc>
        <w:tc>
          <w:tcPr>
            <w:tcW w:w="1417" w:type="dxa"/>
          </w:tcPr>
          <w:p w14:paraId="5E66A7A6" w14:textId="77777777" w:rsidR="00EC50A1" w:rsidRPr="00EC50A1" w:rsidRDefault="00EC50A1" w:rsidP="009A78C9">
            <w:pPr>
              <w:pStyle w:val="Tabletext"/>
              <w:jc w:val="center"/>
              <w:rPr>
                <w:lang w:val="ru-RU"/>
              </w:rPr>
            </w:pPr>
            <w:r w:rsidRPr="00EC50A1">
              <w:rPr>
                <w:lang w:val="ru-RU"/>
              </w:rPr>
              <w:t>0,6</w:t>
            </w:r>
          </w:p>
        </w:tc>
      </w:tr>
      <w:tr w:rsidR="00EC50A1" w:rsidRPr="00150ADD" w14:paraId="52AFF549" w14:textId="77777777" w:rsidTr="009A78C9">
        <w:tc>
          <w:tcPr>
            <w:tcW w:w="9071" w:type="dxa"/>
            <w:gridSpan w:val="4"/>
          </w:tcPr>
          <w:p w14:paraId="132A23E6" w14:textId="77777777" w:rsidR="00EC50A1" w:rsidRPr="00EC50A1" w:rsidRDefault="00EC50A1" w:rsidP="009A78C9">
            <w:pPr>
              <w:pStyle w:val="Tablelegend"/>
              <w:rPr>
                <w:lang w:val="ru-RU"/>
              </w:rPr>
            </w:pPr>
            <w:r w:rsidRPr="00EC50A1">
              <w:rPr>
                <w:lang w:val="ru-RU"/>
              </w:rPr>
              <w:t>Источник: Финансовая отчетность МСЭ (пересчитана)</w:t>
            </w:r>
          </w:p>
        </w:tc>
      </w:tr>
    </w:tbl>
    <w:p w14:paraId="1C753B0F" w14:textId="77777777" w:rsidR="00EC50A1" w:rsidRPr="00EC50A1" w:rsidRDefault="00EC50A1" w:rsidP="00EC50A1">
      <w:pPr>
        <w:pStyle w:val="Heading2"/>
        <w:rPr>
          <w:lang w:val="ru-RU"/>
        </w:rPr>
      </w:pPr>
      <w:bookmarkStart w:id="22" w:name="_Toc163060675"/>
      <w:bookmarkStart w:id="23" w:name="_Toc163227692"/>
      <w:r w:rsidRPr="00EC50A1">
        <w:rPr>
          <w:lang w:val="ru-RU"/>
        </w:rPr>
        <w:t>Управление финансами</w:t>
      </w:r>
      <w:bookmarkEnd w:id="22"/>
      <w:bookmarkEnd w:id="23"/>
    </w:p>
    <w:p w14:paraId="586769DE" w14:textId="77777777" w:rsidR="00EC50A1" w:rsidRPr="00EC50A1" w:rsidRDefault="00EC50A1" w:rsidP="00EC50A1">
      <w:pPr>
        <w:pStyle w:val="Heading3"/>
        <w:rPr>
          <w:lang w:val="ru-RU"/>
        </w:rPr>
      </w:pPr>
      <w:r w:rsidRPr="00EC50A1">
        <w:rPr>
          <w:lang w:val="ru-RU"/>
        </w:rPr>
        <w:t>Управление</w:t>
      </w:r>
      <w:r w:rsidRPr="00EC50A1">
        <w:rPr>
          <w:bCs/>
          <w:lang w:val="ru-RU"/>
        </w:rPr>
        <w:t xml:space="preserve"> денежны</w:t>
      </w:r>
      <w:r w:rsidRPr="00EC50A1">
        <w:rPr>
          <w:lang w:val="ru-RU"/>
        </w:rPr>
        <w:t>ми</w:t>
      </w:r>
      <w:r w:rsidRPr="00EC50A1">
        <w:rPr>
          <w:bCs/>
          <w:lang w:val="ru-RU"/>
        </w:rPr>
        <w:t xml:space="preserve"> средств</w:t>
      </w:r>
      <w:r w:rsidRPr="00EC50A1">
        <w:rPr>
          <w:lang w:val="ru-RU"/>
        </w:rPr>
        <w:t>ами</w:t>
      </w:r>
    </w:p>
    <w:p w14:paraId="12554510" w14:textId="44A3C52B" w:rsidR="00EC50A1" w:rsidRPr="00EC50A1" w:rsidRDefault="009657C5" w:rsidP="00300852">
      <w:pPr>
        <w:rPr>
          <w:lang w:val="ru-RU"/>
        </w:rPr>
      </w:pPr>
      <w:r w:rsidRPr="00300852">
        <w:rPr>
          <w:b/>
          <w:bCs/>
          <w:lang w:val="ru-RU"/>
        </w:rPr>
        <w:t>27</w:t>
      </w:r>
      <w:r>
        <w:rPr>
          <w:lang w:val="ru-RU"/>
        </w:rPr>
        <w:tab/>
      </w:r>
      <w:r w:rsidR="00EC50A1" w:rsidRPr="00EC50A1">
        <w:rPr>
          <w:lang w:val="ru-RU"/>
        </w:rPr>
        <w:t>По состоянию на 31 декабря 2022 года общая сумма денежных средств и инвестиций составила 207,7 млн. швейцарских франков. В Финансовом регламенте МСЭ от Генерального секретаря требуется сводить риски к минимуму, обеспечивая при этом ликвидность, необходимую для удовлетворения потребностей Союза в движении денежных средств. В</w:t>
      </w:r>
      <w:r w:rsidR="00CF4694">
        <w:rPr>
          <w:lang w:val="ru-RU"/>
        </w:rPr>
        <w:t> </w:t>
      </w:r>
      <w:r w:rsidR="00EC50A1" w:rsidRPr="00EC50A1">
        <w:rPr>
          <w:lang w:val="ru-RU"/>
        </w:rPr>
        <w:t>Регламенте также требуется, чтобы инвестиции отбирались на основе достижения максимальной разумной нормы прибыли.</w:t>
      </w:r>
    </w:p>
    <w:p w14:paraId="6C47415D" w14:textId="0F605324" w:rsidR="00EC50A1" w:rsidRPr="00EC50A1" w:rsidRDefault="009657C5" w:rsidP="00300852">
      <w:pPr>
        <w:rPr>
          <w:lang w:val="ru-RU"/>
        </w:rPr>
      </w:pPr>
      <w:r w:rsidRPr="00300852">
        <w:rPr>
          <w:b/>
          <w:bCs/>
          <w:lang w:val="ru-RU"/>
        </w:rPr>
        <w:t>28</w:t>
      </w:r>
      <w:r>
        <w:rPr>
          <w:lang w:val="ru-RU"/>
        </w:rPr>
        <w:tab/>
      </w:r>
      <w:r w:rsidR="00EC50A1" w:rsidRPr="00EC50A1">
        <w:rPr>
          <w:lang w:val="ru-RU"/>
        </w:rPr>
        <w:t>В соответствии с руководящими указаниями МСЭ по инвестициям создается Комитет казначейства в составе заместителя Генерального секретаря, руководителя Департамента администрирования и финансов, руководителя Отдела бухгалтерского учета и руководителя Секции заработной платы и казначейства. Комитет должен проводить собрания не реже одного раза в три месяца для "определения уровня депозитов на текущих счетах, расчетных счетах и срочных счетах и/или решения вопросов, связанные с казначейством, такие как проценты и долгосрочные депозиты". Принимая во внимание масштабы денежных ресурсов МСЭ, эти требования не являются адекватными. Руководящие указания были разработаны в 2010 году и, по нашему мнению, должны быть пересмотрены и обновлены для обеспечения их актуальности. Мы ожидаем, что такая политика будет включать:</w:t>
      </w:r>
    </w:p>
    <w:p w14:paraId="04A382BA" w14:textId="3E4C6F53" w:rsidR="00EC50A1" w:rsidRPr="00EC50A1" w:rsidRDefault="009657C5" w:rsidP="00300852">
      <w:pPr>
        <w:pStyle w:val="enumlev1"/>
        <w:rPr>
          <w:lang w:val="ru-RU"/>
        </w:rPr>
      </w:pPr>
      <w:r>
        <w:rPr>
          <w:lang w:val="ru-RU"/>
        </w:rPr>
        <w:t>•</w:t>
      </w:r>
      <w:r>
        <w:rPr>
          <w:lang w:val="ru-RU"/>
        </w:rPr>
        <w:tab/>
      </w:r>
      <w:r w:rsidR="00EC50A1" w:rsidRPr="00EC50A1">
        <w:rPr>
          <w:lang w:val="ru-RU"/>
        </w:rPr>
        <w:t>задачи политики управления денежными средствами;</w:t>
      </w:r>
    </w:p>
    <w:p w14:paraId="0FDAC974" w14:textId="5E9E7D64" w:rsidR="00EC50A1" w:rsidRPr="00EC50A1" w:rsidRDefault="009657C5" w:rsidP="00300852">
      <w:pPr>
        <w:pStyle w:val="enumlev1"/>
        <w:rPr>
          <w:lang w:val="ru-RU"/>
        </w:rPr>
      </w:pPr>
      <w:r>
        <w:rPr>
          <w:lang w:val="ru-RU"/>
        </w:rPr>
        <w:t>•</w:t>
      </w:r>
      <w:r>
        <w:rPr>
          <w:lang w:val="ru-RU"/>
        </w:rPr>
        <w:tab/>
      </w:r>
      <w:r w:rsidR="00EC50A1" w:rsidRPr="00EC50A1">
        <w:rPr>
          <w:lang w:val="ru-RU"/>
        </w:rPr>
        <w:t>функции и обязанности отдельных лиц или подразделений, участвующих в управлении денежными средствами. Это включает определение и оценку рисков, связанных с управлением денежными средствами (т. е. валютные риски, риски процентной ставки и риски контрагента), а также управление этими рисками;</w:t>
      </w:r>
    </w:p>
    <w:p w14:paraId="576F1D3D" w14:textId="270BD684" w:rsidR="00EC50A1" w:rsidRPr="00EC50A1" w:rsidRDefault="009657C5" w:rsidP="00300852">
      <w:pPr>
        <w:pStyle w:val="enumlev1"/>
        <w:rPr>
          <w:lang w:val="ru-RU"/>
        </w:rPr>
      </w:pPr>
      <w:r>
        <w:rPr>
          <w:lang w:val="ru-RU"/>
        </w:rPr>
        <w:t>•</w:t>
      </w:r>
      <w:r>
        <w:rPr>
          <w:lang w:val="ru-RU"/>
        </w:rPr>
        <w:tab/>
      </w:r>
      <w:r w:rsidR="00EC50A1" w:rsidRPr="00EC50A1">
        <w:rPr>
          <w:lang w:val="ru-RU"/>
        </w:rPr>
        <w:t>критерии для выбора и поддержания банковских отношений и руководящие указания по краткосрочному инвестированию излишков денежных средств. Должны быть определены приемлемые инвестиционные инструменты, уровни допустимого риска, ожидаемая прибыль и этические соображения;</w:t>
      </w:r>
    </w:p>
    <w:p w14:paraId="5CC18C8B" w14:textId="5C8853AD" w:rsidR="00EC50A1" w:rsidRPr="00EC50A1" w:rsidRDefault="009657C5" w:rsidP="00300852">
      <w:pPr>
        <w:pStyle w:val="enumlev1"/>
        <w:rPr>
          <w:lang w:val="ru-RU"/>
        </w:rPr>
      </w:pPr>
      <w:r>
        <w:rPr>
          <w:lang w:val="ru-RU"/>
        </w:rPr>
        <w:t>•</w:t>
      </w:r>
      <w:r>
        <w:rPr>
          <w:lang w:val="ru-RU"/>
        </w:rPr>
        <w:tab/>
      </w:r>
      <w:r w:rsidR="00EC50A1" w:rsidRPr="00EC50A1">
        <w:rPr>
          <w:lang w:val="ru-RU"/>
        </w:rPr>
        <w:t>описание процедур прогнозирования движения денежных средств в целях обеспечения принятия соответствующих и инициативных решений;</w:t>
      </w:r>
    </w:p>
    <w:p w14:paraId="0839931B" w14:textId="77A164A6" w:rsidR="00EC50A1" w:rsidRPr="00EC50A1" w:rsidRDefault="009657C5" w:rsidP="00300852">
      <w:pPr>
        <w:pStyle w:val="enumlev1"/>
        <w:rPr>
          <w:lang w:val="ru-RU"/>
        </w:rPr>
      </w:pPr>
      <w:r>
        <w:rPr>
          <w:lang w:val="ru-RU"/>
        </w:rPr>
        <w:t>•</w:t>
      </w:r>
      <w:r>
        <w:rPr>
          <w:lang w:val="ru-RU"/>
        </w:rPr>
        <w:tab/>
      </w:r>
      <w:r w:rsidR="00EC50A1" w:rsidRPr="00EC50A1">
        <w:rPr>
          <w:lang w:val="ru-RU"/>
        </w:rPr>
        <w:t>описание подхода к управлению ликвидностью, который предусматривает поддержание оптимального уровня резервов денежных средств для удовлетворения оперативных потребностей и непредвиденных обстоятельств;</w:t>
      </w:r>
    </w:p>
    <w:p w14:paraId="23CD27C9" w14:textId="45F11DDA" w:rsidR="00EC50A1" w:rsidRPr="00EC50A1" w:rsidRDefault="009657C5" w:rsidP="00300852">
      <w:pPr>
        <w:pStyle w:val="enumlev1"/>
        <w:rPr>
          <w:lang w:val="ru-RU"/>
        </w:rPr>
      </w:pPr>
      <w:r>
        <w:rPr>
          <w:lang w:val="ru-RU"/>
        </w:rPr>
        <w:t>•</w:t>
      </w:r>
      <w:r>
        <w:rPr>
          <w:lang w:val="ru-RU"/>
        </w:rPr>
        <w:tab/>
      </w:r>
      <w:r w:rsidR="00EC50A1" w:rsidRPr="00EC50A1">
        <w:rPr>
          <w:lang w:val="ru-RU"/>
        </w:rPr>
        <w:t>определение требований к отчетности для отслеживания состояния денежных средств, прогнозов и показателей деятельности в отношении целевых показателей;</w:t>
      </w:r>
    </w:p>
    <w:p w14:paraId="107C0D9C" w14:textId="2C80D45D" w:rsidR="00EC50A1" w:rsidRPr="00EC50A1" w:rsidRDefault="009657C5" w:rsidP="00300852">
      <w:pPr>
        <w:pStyle w:val="enumlev1"/>
        <w:rPr>
          <w:lang w:val="ru-RU"/>
        </w:rPr>
      </w:pPr>
      <w:r>
        <w:rPr>
          <w:lang w:val="ru-RU"/>
        </w:rPr>
        <w:t>•</w:t>
      </w:r>
      <w:r>
        <w:rPr>
          <w:lang w:val="ru-RU"/>
        </w:rPr>
        <w:tab/>
      </w:r>
      <w:r w:rsidR="00EC50A1" w:rsidRPr="00EC50A1">
        <w:rPr>
          <w:lang w:val="ru-RU"/>
        </w:rPr>
        <w:t>потребность во внешних источниках специальных знаний для принятия инвестиционных решений.</w:t>
      </w:r>
    </w:p>
    <w:p w14:paraId="0222C702" w14:textId="6CB31E61" w:rsidR="00EC50A1" w:rsidRPr="00EC50A1" w:rsidRDefault="009657C5" w:rsidP="00300852">
      <w:pPr>
        <w:rPr>
          <w:lang w:val="ru-RU"/>
        </w:rPr>
      </w:pPr>
      <w:r w:rsidRPr="00300852">
        <w:rPr>
          <w:b/>
          <w:bCs/>
          <w:lang w:val="ru-RU"/>
        </w:rPr>
        <w:t>29</w:t>
      </w:r>
      <w:r>
        <w:rPr>
          <w:lang w:val="ru-RU"/>
        </w:rPr>
        <w:tab/>
      </w:r>
      <w:r w:rsidR="00EC50A1" w:rsidRPr="00EC50A1">
        <w:rPr>
          <w:lang w:val="ru-RU"/>
        </w:rPr>
        <w:t>Принимая во внимание масштабы денежных средств и инвестиционных активов МСЭ, мы ожидаем, что такой комитет будет иметь доступ к независимым экспертам по инвестициям, что позволит ему сформировать понимание общей рыночной среды и ставить задачи для управляющих их инвестициями. Это особенно важно с учетом повышенной нестабильности рынка и динамики процентных ставок.</w:t>
      </w:r>
    </w:p>
    <w:p w14:paraId="0B394716" w14:textId="77777777" w:rsidR="00EC50A1" w:rsidRPr="009657C5" w:rsidRDefault="00EC50A1" w:rsidP="009657C5">
      <w:pPr>
        <w:rPr>
          <w:b/>
          <w:bCs/>
          <w:lang w:val="ru-RU"/>
        </w:rPr>
      </w:pPr>
      <w:r w:rsidRPr="009657C5">
        <w:rPr>
          <w:b/>
          <w:bCs/>
          <w:lang w:val="ru-RU"/>
        </w:rPr>
        <w:t>МСЭ следует</w:t>
      </w:r>
      <w:r w:rsidRPr="00300852">
        <w:rPr>
          <w:lang w:val="ru-RU"/>
        </w:rPr>
        <w:t>:</w:t>
      </w:r>
    </w:p>
    <w:p w14:paraId="2F68C2AE" w14:textId="0B63AA82" w:rsidR="00EC50A1" w:rsidRPr="009657C5" w:rsidRDefault="00EC50A1" w:rsidP="009657C5">
      <w:pPr>
        <w:rPr>
          <w:rStyle w:val="Bold"/>
          <w:b w:val="0"/>
          <w:bCs w:val="0"/>
          <w:lang w:val="ru-RU"/>
        </w:rPr>
      </w:pPr>
      <w:r w:rsidRPr="009657C5">
        <w:rPr>
          <w:b/>
          <w:bCs/>
          <w:lang w:val="ru-RU"/>
        </w:rPr>
        <w:t>Р4: пересмотреть свою инвестиционную политику и процессы, с тем чтобы они отражали передовой опыт и обеспечивали наибольшую отдачу от денежных ресурсов при согласованном допустимом риске; эта деятельность должна быть основана на внешнем сопоставительном анализе и специальных знаниях</w:t>
      </w:r>
      <w:r w:rsidRPr="00300852">
        <w:rPr>
          <w:lang w:val="ru-RU"/>
        </w:rPr>
        <w:t>.</w:t>
      </w:r>
    </w:p>
    <w:p w14:paraId="610153B5" w14:textId="77777777" w:rsidR="00EC50A1" w:rsidRPr="009657C5" w:rsidRDefault="00EC50A1" w:rsidP="009657C5">
      <w:pPr>
        <w:rPr>
          <w:rStyle w:val="Italic"/>
          <w:i w:val="0"/>
          <w:iCs w:val="0"/>
          <w:lang w:val="ru-RU"/>
        </w:rPr>
      </w:pPr>
      <w:r w:rsidRPr="009657C5">
        <w:rPr>
          <w:i/>
          <w:iCs/>
          <w:lang w:val="ru-RU"/>
        </w:rPr>
        <w:t>Руководство принимает эту рекомендацию и будет следовать передовому опыту других учреждений ООН в Женеве.</w:t>
      </w:r>
    </w:p>
    <w:p w14:paraId="0AF534CA" w14:textId="77777777" w:rsidR="00EC50A1" w:rsidRPr="00EC50A1" w:rsidRDefault="00EC50A1" w:rsidP="00EC50A1">
      <w:pPr>
        <w:pStyle w:val="Heading3"/>
        <w:rPr>
          <w:lang w:val="ru-RU"/>
        </w:rPr>
      </w:pPr>
      <w:r w:rsidRPr="00EC50A1">
        <w:rPr>
          <w:bCs/>
          <w:lang w:val="ru-RU"/>
        </w:rPr>
        <w:t>Регулирование отношений с должниками</w:t>
      </w:r>
    </w:p>
    <w:p w14:paraId="7BF6E612" w14:textId="0C7500C2" w:rsidR="00EC50A1" w:rsidRPr="00EC50A1" w:rsidRDefault="009657C5" w:rsidP="00300852">
      <w:pPr>
        <w:rPr>
          <w:lang w:val="ru-RU"/>
        </w:rPr>
      </w:pPr>
      <w:r w:rsidRPr="00300852">
        <w:rPr>
          <w:b/>
          <w:bCs/>
          <w:lang w:val="ru-RU"/>
        </w:rPr>
        <w:t>30</w:t>
      </w:r>
      <w:r>
        <w:rPr>
          <w:lang w:val="ru-RU"/>
        </w:rPr>
        <w:tab/>
      </w:r>
      <w:r w:rsidR="00EC50A1" w:rsidRPr="00EC50A1">
        <w:rPr>
          <w:lang w:val="ru-RU"/>
        </w:rPr>
        <w:t>Для обеспечения стабильности и предсказуемости уровня ресурсов важно, чтобы Члены МСЭ своевременно и в полной мере выполняли свои обязательства. Мы отметили, что на 31 декабря 2022 года имелось 47,5 млн. швейцарских франков (49,1 млн. швейцарских франков в 2021 г.) начисленных взносов, подлежащих уплате Членами, причем большинство из них не было оплачено более 12 месяцев. Уровень непогашенной задолженности представляет собой значительное финансовое бремя для имеющихся у Союза денежных ресурсов для финансирования его основных видов деятельности. Для управления движением денежных средств МСЭ выставляет Членам счета за шесть месяцев. Использование будущих денежных ресурсов не является хорошей практикой, и использование этого варианта на постоянной основе не составляет устойчивый способ обеспечения деятельности ресурсами. Создается риск того, что ресурсы для пополнения средств, которые предназначены для других целей, могут оказаться недоступными.</w:t>
      </w:r>
    </w:p>
    <w:p w14:paraId="49E545B0" w14:textId="59CFCADA" w:rsidR="00EC50A1" w:rsidRPr="00EC50A1" w:rsidRDefault="009657C5" w:rsidP="00300852">
      <w:pPr>
        <w:rPr>
          <w:lang w:val="ru-RU"/>
        </w:rPr>
      </w:pPr>
      <w:r w:rsidRPr="00300852">
        <w:rPr>
          <w:b/>
          <w:bCs/>
          <w:lang w:val="ru-RU"/>
        </w:rPr>
        <w:t>31</w:t>
      </w:r>
      <w:r>
        <w:rPr>
          <w:lang w:val="ru-RU"/>
        </w:rPr>
        <w:tab/>
      </w:r>
      <w:r w:rsidR="00EC50A1" w:rsidRPr="00EC50A1">
        <w:rPr>
          <w:lang w:val="ru-RU"/>
        </w:rPr>
        <w:t>Для улучшения движения денежных средств и общего финансового состояния МСЭ следует выполнить всеобъемлющий анализ существующих механизмов регулирования отношений с должниками. Это должно включать более активный контроль над кредитами, более эффективные и определенные процессы взыскания платы, а также принятие стратегических решений для обеспечения эффективного управления задолженностью. Проведенная нами аудиторская проверка выявила существенные недостатки в оценке этих долгов, которые могут быть безнадежными, и результатом отсутствия своевременной оценки может стать неточная информация, на основе которой будут приниматься финансовые решения. Мы отметили, что в бюджетных ассигнованиях не учитываются тенденции в фактическом получении средств, и вследствие этого существует риск выделения ресурсов, которые фактически не будут получены в течение этого периода.</w:t>
      </w:r>
    </w:p>
    <w:p w14:paraId="7BAF423B" w14:textId="77777777" w:rsidR="00EC50A1" w:rsidRPr="009657C5" w:rsidRDefault="00EC50A1" w:rsidP="00CF4694">
      <w:pPr>
        <w:keepNext/>
        <w:rPr>
          <w:b/>
          <w:bCs/>
          <w:lang w:val="ru-RU"/>
        </w:rPr>
      </w:pPr>
      <w:r w:rsidRPr="009657C5">
        <w:rPr>
          <w:b/>
          <w:bCs/>
          <w:lang w:val="ru-RU"/>
        </w:rPr>
        <w:t>МСЭ следует</w:t>
      </w:r>
      <w:r w:rsidRPr="00300852">
        <w:rPr>
          <w:lang w:val="ru-RU"/>
        </w:rPr>
        <w:t>:</w:t>
      </w:r>
    </w:p>
    <w:p w14:paraId="0D8CD4B6" w14:textId="6081CB52" w:rsidR="00EC50A1" w:rsidRPr="009657C5" w:rsidRDefault="00EC50A1" w:rsidP="00CF4694">
      <w:pPr>
        <w:keepNext/>
        <w:rPr>
          <w:rStyle w:val="Bold"/>
          <w:b w:val="0"/>
          <w:bCs w:val="0"/>
          <w:lang w:val="ru-RU"/>
        </w:rPr>
      </w:pPr>
      <w:r w:rsidRPr="009657C5">
        <w:rPr>
          <w:b/>
          <w:bCs/>
          <w:lang w:val="ru-RU"/>
        </w:rPr>
        <w:t>Р5: пересмотреть процедуры регулирования отношений с должниками в целях обеспечения более активной последующей деятельности и мер по взысканию задолженности</w:t>
      </w:r>
      <w:r w:rsidRPr="00300852">
        <w:rPr>
          <w:lang w:val="ru-RU"/>
        </w:rPr>
        <w:t>;</w:t>
      </w:r>
    </w:p>
    <w:p w14:paraId="6EC90695" w14:textId="6E61F4E8" w:rsidR="00EC50A1" w:rsidRPr="00300852" w:rsidRDefault="00EC50A1" w:rsidP="009657C5">
      <w:pPr>
        <w:rPr>
          <w:rStyle w:val="Bold"/>
          <w:lang w:val="ru-RU"/>
        </w:rPr>
      </w:pPr>
      <w:r w:rsidRPr="009657C5">
        <w:rPr>
          <w:b/>
          <w:bCs/>
          <w:lang w:val="ru-RU"/>
        </w:rPr>
        <w:t>Р6: также обеспечить, чтобы при выделении бюджетных средств и при принятии финансовых решений учитывались реалистичные сроки поступления денежных средств, основанные на тенденциях прошлых периодов, с тем чтобы свести к минимуму риск перерасхода</w:t>
      </w:r>
      <w:r w:rsidRPr="00300852">
        <w:rPr>
          <w:lang w:val="ru-RU"/>
        </w:rPr>
        <w:t>.</w:t>
      </w:r>
    </w:p>
    <w:p w14:paraId="310E725F" w14:textId="77777777" w:rsidR="00EC50A1" w:rsidRPr="009657C5" w:rsidRDefault="00EC50A1" w:rsidP="009657C5">
      <w:pPr>
        <w:rPr>
          <w:rStyle w:val="Italic"/>
          <w:i w:val="0"/>
          <w:iCs w:val="0"/>
          <w:lang w:val="ru-RU"/>
        </w:rPr>
      </w:pPr>
      <w:r w:rsidRPr="009657C5">
        <w:rPr>
          <w:i/>
          <w:iCs/>
          <w:lang w:val="ru-RU"/>
        </w:rPr>
        <w:t>Руководство принимает эти рекомендации и продолжит рассмотрение причитающихся Организации сумм с целью внедрения надлежащего регулирования отношений с должниками совместно с Членами Совета и другими Членами. Кроме того, руководство МСЭ предлагает внести изменения в свой действующий Финансовый регламент и Финансовые правила для обеспечения усиления контроля над денежными средствами и их эквивалентами.</w:t>
      </w:r>
    </w:p>
    <w:p w14:paraId="12468440" w14:textId="77777777" w:rsidR="00EC50A1" w:rsidRPr="00EC50A1" w:rsidRDefault="00EC50A1" w:rsidP="00EC50A1">
      <w:pPr>
        <w:pStyle w:val="Heading3"/>
        <w:rPr>
          <w:lang w:val="ru-RU"/>
        </w:rPr>
      </w:pPr>
      <w:bookmarkStart w:id="24" w:name="_Hlk155692302"/>
      <w:r w:rsidRPr="00EC50A1">
        <w:rPr>
          <w:bCs/>
          <w:lang w:val="ru-RU"/>
        </w:rPr>
        <w:t>Вознаграждение сотрудников</w:t>
      </w:r>
    </w:p>
    <w:p w14:paraId="364C47A5" w14:textId="5887D8B8" w:rsidR="00EC50A1" w:rsidRPr="00EC50A1" w:rsidRDefault="009657C5" w:rsidP="00CF4694">
      <w:pPr>
        <w:rPr>
          <w:lang w:val="ru-RU"/>
        </w:rPr>
      </w:pPr>
      <w:r w:rsidRPr="00CF4694">
        <w:rPr>
          <w:b/>
          <w:bCs/>
          <w:lang w:val="ru-RU"/>
        </w:rPr>
        <w:t>32</w:t>
      </w:r>
      <w:r>
        <w:rPr>
          <w:lang w:val="ru-RU"/>
        </w:rPr>
        <w:tab/>
      </w:r>
      <w:r w:rsidR="00EC50A1" w:rsidRPr="00EC50A1">
        <w:rPr>
          <w:lang w:val="ru-RU"/>
        </w:rPr>
        <w:t>В 2022 году общая сумма расходов по персоналу, отображенная в финансовой отчетности, составила 153,5 млн. швейцарских франков (151,9 млн. швейцарских франков в 2021 г.), что составляет 75,6% (79,6% в 2021 г.) всех расходов за этот период. В Положениях о персонале и Правилах о персонале закреплены основополагающие условия службы и основные права, обязанности и обязательства сотрудников. Это касается окладов и соответствующих надбавок, а также выплат по линии социального страхования, включая доступ к Объединенному пенсионному фонду персонала ООН и Обязательства по медицинскому страхованию после выхода в отставку.</w:t>
      </w:r>
    </w:p>
    <w:p w14:paraId="276547DB" w14:textId="77777777" w:rsidR="00EC50A1" w:rsidRPr="00EC50A1" w:rsidRDefault="00EC50A1" w:rsidP="00EC50A1">
      <w:pPr>
        <w:pStyle w:val="Heading4"/>
        <w:rPr>
          <w:lang w:val="ru-RU"/>
        </w:rPr>
      </w:pPr>
      <w:r w:rsidRPr="00EC50A1">
        <w:rPr>
          <w:lang w:val="ru-RU"/>
        </w:rPr>
        <w:t>Пособия после прекращения службы</w:t>
      </w:r>
    </w:p>
    <w:p w14:paraId="738257E6" w14:textId="49E851B9" w:rsidR="00EC50A1" w:rsidRPr="00EC50A1" w:rsidRDefault="009657C5" w:rsidP="000B3DBD">
      <w:pPr>
        <w:rPr>
          <w:lang w:val="ru-RU"/>
        </w:rPr>
      </w:pPr>
      <w:r w:rsidRPr="000B3DBD">
        <w:rPr>
          <w:b/>
          <w:bCs/>
          <w:lang w:val="ru-RU"/>
        </w:rPr>
        <w:t>33</w:t>
      </w:r>
      <w:r>
        <w:rPr>
          <w:lang w:val="ru-RU"/>
        </w:rPr>
        <w:tab/>
      </w:r>
      <w:r w:rsidR="00EC50A1" w:rsidRPr="00EC50A1">
        <w:rPr>
          <w:lang w:val="ru-RU"/>
        </w:rPr>
        <w:t>Наиболее значительными обязательствами, отображаемыми МСЭ в своей финансовой отчетности, являются обязательства по вознаграждению сотрудников. Эти обязательства включают медицинское страхование сотрудников после выхода в отставку, их субсидий на репатриацию и накопленный ежегодный отпуск. Общие обязательства по вознаграждению сотрудников сократились до 368,7 млн. швейцарских франков (570,5 млн. швейцарских франков в 2021 г.).</w:t>
      </w:r>
    </w:p>
    <w:p w14:paraId="6A730D5C" w14:textId="1D208A93" w:rsidR="00EC50A1" w:rsidRPr="00EC50A1" w:rsidRDefault="009657C5" w:rsidP="000B3DBD">
      <w:pPr>
        <w:rPr>
          <w:lang w:val="ru-RU"/>
        </w:rPr>
      </w:pPr>
      <w:r w:rsidRPr="000B3DBD">
        <w:rPr>
          <w:b/>
          <w:bCs/>
          <w:lang w:val="ru-RU"/>
        </w:rPr>
        <w:t>34</w:t>
      </w:r>
      <w:r>
        <w:rPr>
          <w:lang w:val="ru-RU"/>
        </w:rPr>
        <w:tab/>
      </w:r>
      <w:r w:rsidR="00EC50A1" w:rsidRPr="00EC50A1">
        <w:rPr>
          <w:lang w:val="ru-RU"/>
        </w:rPr>
        <w:t>Обязательства по медицинскому страхованию после выхода в отставку на общую сумму 344,1 млн. швейцарских франков (545,6 млн. швейцарских франков в 2021 г.) рассчитываются независимым актуарием на основе исходных данных и предположений. Они отражают стоимость контрактных обязательств перед персоналом и вышедшими в отставку сотрудниками по состоянию на 31 декабря 2022 года, поскольку основные выплаты по заявкам ожидаются в будущем. Разница от года к году является результатом изменения актуарных предположений, в том числе предположений, касающихся затрат на заявки на возмещение медицинских расходов.</w:t>
      </w:r>
    </w:p>
    <w:p w14:paraId="5AD47789" w14:textId="4E1309D6" w:rsidR="00EC50A1" w:rsidRPr="00EC50A1" w:rsidRDefault="009657C5" w:rsidP="000B3DBD">
      <w:pPr>
        <w:rPr>
          <w:lang w:val="ru-RU"/>
        </w:rPr>
      </w:pPr>
      <w:r w:rsidRPr="000B3DBD">
        <w:rPr>
          <w:b/>
          <w:bCs/>
          <w:lang w:val="ru-RU"/>
        </w:rPr>
        <w:t>35</w:t>
      </w:r>
      <w:r>
        <w:rPr>
          <w:lang w:val="ru-RU"/>
        </w:rPr>
        <w:tab/>
      </w:r>
      <w:r w:rsidR="00EC50A1" w:rsidRPr="00EC50A1">
        <w:rPr>
          <w:lang w:val="ru-RU"/>
        </w:rPr>
        <w:t>МСЭ создал отдельный счет для средств, выделенных для будущего финансирования обязательств по медицинскому страхованию после выхода в отставку; по состоянию на декабрь 2022 года сумма составляла 14 млн. швейцарских франков (13 млн. швейцарских франков в 2021 г.). Эти средства были выделены в основном за счет перевода средств с резервного счета, в результате чего сформировались значительные необеспеченные обязательства. Такие необеспеченные обязательства являются общими в рамках всей системы ООН, но для Членов по-прежнему важно регулярно определять и утверждать, каким именно образом они желают планировать финансирование этих обязательств, в особенности тех, которые возникают в результате внебюджетного финансирования.</w:t>
      </w:r>
    </w:p>
    <w:p w14:paraId="23FA98F0" w14:textId="4B6D482F" w:rsidR="00EC50A1" w:rsidRPr="00EC50A1" w:rsidRDefault="009657C5" w:rsidP="000B3DBD">
      <w:pPr>
        <w:rPr>
          <w:lang w:val="ru-RU"/>
        </w:rPr>
      </w:pPr>
      <w:r w:rsidRPr="000B3DBD">
        <w:rPr>
          <w:b/>
          <w:bCs/>
          <w:lang w:val="ru-RU"/>
        </w:rPr>
        <w:t>36</w:t>
      </w:r>
      <w:r>
        <w:rPr>
          <w:lang w:val="ru-RU"/>
        </w:rPr>
        <w:tab/>
      </w:r>
      <w:r w:rsidR="00EC50A1" w:rsidRPr="00EC50A1">
        <w:rPr>
          <w:lang w:val="ru-RU"/>
        </w:rPr>
        <w:t>Наиболее значимыми факторами, которые повлияли на оценку обязательств, являются актуарные предположения, которые уменьшили обязательства на 215,5 млн. швейцарских франков (Рис. 2). Они включают:</w:t>
      </w:r>
    </w:p>
    <w:p w14:paraId="5FCA04AE" w14:textId="3A770D10" w:rsidR="00EC50A1" w:rsidRPr="00EC50A1" w:rsidRDefault="009657C5" w:rsidP="000B3DBD">
      <w:pPr>
        <w:pStyle w:val="enumlev1"/>
        <w:rPr>
          <w:lang w:val="ru-RU"/>
        </w:rPr>
      </w:pPr>
      <w:r>
        <w:rPr>
          <w:lang w:val="ru-RU"/>
        </w:rPr>
        <w:t>•</w:t>
      </w:r>
      <w:r>
        <w:rPr>
          <w:lang w:val="ru-RU"/>
        </w:rPr>
        <w:tab/>
      </w:r>
      <w:r w:rsidR="00EC50A1" w:rsidRPr="00EC50A1">
        <w:rPr>
          <w:lang w:val="ru-RU"/>
        </w:rPr>
        <w:t>прибыль в размере 133,6 млн. швейцарских франков в результате изменения финансовых предположений. Она охватывает обновления таких предположений, как ставки дисконтирования, инфляция и тенденции в сфере медицины. Прибыль в данном отношении связана в первую очередь с увеличением ставки дисконтирования с 0,5% до 2,5%, что существенно сокращает общие обязательства. Прибыль благотворно сказалась на финансовом состоянии МСЭ в 2022 году, однако она стала результатом изменений на финансовых рынках, а не активного управления обязательствами со стороны МСЭ и, вероятно, в будущие периоды будет наблюдаться обратная ситуация в случае снижения ставки дисконтирования;</w:t>
      </w:r>
    </w:p>
    <w:p w14:paraId="64226AB7" w14:textId="0446705D" w:rsidR="00EC50A1" w:rsidRPr="00EC50A1" w:rsidRDefault="009657C5" w:rsidP="000B3DBD">
      <w:pPr>
        <w:pStyle w:val="enumlev1"/>
        <w:rPr>
          <w:lang w:val="ru-RU"/>
        </w:rPr>
      </w:pPr>
      <w:r>
        <w:rPr>
          <w:lang w:val="ru-RU"/>
        </w:rPr>
        <w:t>•</w:t>
      </w:r>
      <w:r>
        <w:rPr>
          <w:lang w:val="ru-RU"/>
        </w:rPr>
        <w:tab/>
      </w:r>
      <w:r w:rsidR="00EC50A1" w:rsidRPr="00EC50A1">
        <w:rPr>
          <w:lang w:val="ru-RU"/>
        </w:rPr>
        <w:t>прибыль в размере 80,1 млн. швейцарских франков в результате изменения демографических предположений. Она охватывает обновление таких предположений, как текучесть персонала, смертность и инвалидность, выход в отставку и, что особенно важно, корректировки затрат на заявки на возмещение медицинских расходов, как показано ниже;</w:t>
      </w:r>
    </w:p>
    <w:p w14:paraId="1764D0B7" w14:textId="5175DFB9" w:rsidR="00EC50A1" w:rsidRPr="00EC50A1" w:rsidRDefault="009657C5" w:rsidP="000B3DBD">
      <w:pPr>
        <w:pStyle w:val="enumlev1"/>
        <w:rPr>
          <w:lang w:val="ru-RU"/>
        </w:rPr>
      </w:pPr>
      <w:r>
        <w:rPr>
          <w:lang w:val="ru-RU"/>
        </w:rPr>
        <w:t>•</w:t>
      </w:r>
      <w:r>
        <w:rPr>
          <w:lang w:val="ru-RU"/>
        </w:rPr>
        <w:tab/>
      </w:r>
      <w:r w:rsidR="00EC50A1" w:rsidRPr="00EC50A1">
        <w:rPr>
          <w:lang w:val="ru-RU"/>
        </w:rPr>
        <w:t>прибыль в размере 1,8 млн. швейцарских франков за счет изменения в наблюдениях. Она охватывает корректировки, которые требуется сделать в связи с разницей между предположениями и фактическими результатами.</w:t>
      </w:r>
    </w:p>
    <w:p w14:paraId="2E2F1674" w14:textId="77777777" w:rsidR="00AE2293" w:rsidRDefault="00EC50A1" w:rsidP="00810D30">
      <w:pPr>
        <w:pStyle w:val="FigureNo"/>
        <w:rPr>
          <w:lang w:val="ru-RU"/>
        </w:rPr>
      </w:pPr>
      <w:r w:rsidRPr="00EC50A1">
        <w:rPr>
          <w:lang w:val="ru-RU"/>
        </w:rPr>
        <w:t>Рисунок 2</w:t>
      </w:r>
    </w:p>
    <w:p w14:paraId="3E8FA0E9" w14:textId="07DEA39E" w:rsidR="00810D30" w:rsidRPr="00810D30" w:rsidRDefault="00810D30" w:rsidP="00810D30">
      <w:pPr>
        <w:pStyle w:val="Figuretitle"/>
        <w:rPr>
          <w:lang w:val="ru-RU"/>
        </w:rPr>
      </w:pPr>
      <w:r w:rsidRPr="00EC50A1">
        <w:rPr>
          <w:bCs/>
          <w:lang w:val="ru-RU"/>
        </w:rPr>
        <w:t>Динамика обязательств по пособиям, определенным для АСХИ</w:t>
      </w:r>
    </w:p>
    <w:tbl>
      <w:tblPr>
        <w:tblW w:w="5000" w:type="pct"/>
        <w:tblLayout w:type="fixed"/>
        <w:tblLook w:val="0600" w:firstRow="0" w:lastRow="0" w:firstColumn="0" w:lastColumn="0" w:noHBand="1" w:noVBand="1"/>
      </w:tblPr>
      <w:tblGrid>
        <w:gridCol w:w="5670"/>
        <w:gridCol w:w="1700"/>
        <w:gridCol w:w="1701"/>
      </w:tblGrid>
      <w:tr w:rsidR="00EC50A1" w:rsidRPr="00EC50A1" w14:paraId="2F3EE684" w14:textId="77777777" w:rsidTr="00810D30">
        <w:tc>
          <w:tcPr>
            <w:tcW w:w="5670" w:type="dxa"/>
          </w:tcPr>
          <w:p w14:paraId="69D6B302" w14:textId="77777777" w:rsidR="00EC50A1" w:rsidRPr="00EC50A1" w:rsidRDefault="00EC50A1" w:rsidP="00810D30">
            <w:pPr>
              <w:pStyle w:val="Tablehead"/>
              <w:rPr>
                <w:lang w:val="ru-RU"/>
              </w:rPr>
            </w:pPr>
          </w:p>
        </w:tc>
        <w:tc>
          <w:tcPr>
            <w:tcW w:w="1700" w:type="dxa"/>
          </w:tcPr>
          <w:p w14:paraId="6C9E4BE9" w14:textId="77777777" w:rsidR="00EC50A1" w:rsidRPr="00EC50A1" w:rsidRDefault="00EC50A1" w:rsidP="00810D30">
            <w:pPr>
              <w:pStyle w:val="Tablehead"/>
              <w:rPr>
                <w:lang w:val="ru-RU"/>
              </w:rPr>
            </w:pPr>
            <w:r w:rsidRPr="00EC50A1">
              <w:rPr>
                <w:bCs/>
                <w:lang w:val="ru-RU"/>
              </w:rPr>
              <w:t>2022</w:t>
            </w:r>
            <w:r w:rsidRPr="00EC50A1">
              <w:rPr>
                <w:lang w:val="ru-RU"/>
              </w:rPr>
              <w:t xml:space="preserve"> г.</w:t>
            </w:r>
          </w:p>
        </w:tc>
        <w:tc>
          <w:tcPr>
            <w:tcW w:w="1701" w:type="dxa"/>
          </w:tcPr>
          <w:p w14:paraId="0FD310F9" w14:textId="77777777" w:rsidR="00EC50A1" w:rsidRPr="00EC50A1" w:rsidRDefault="00EC50A1" w:rsidP="00810D30">
            <w:pPr>
              <w:pStyle w:val="Tablehead"/>
              <w:rPr>
                <w:lang w:val="ru-RU"/>
              </w:rPr>
            </w:pPr>
            <w:r w:rsidRPr="00EC50A1">
              <w:rPr>
                <w:bCs/>
                <w:lang w:val="ru-RU"/>
              </w:rPr>
              <w:t>2021</w:t>
            </w:r>
            <w:r w:rsidRPr="00EC50A1">
              <w:rPr>
                <w:lang w:val="ru-RU"/>
              </w:rPr>
              <w:t xml:space="preserve"> г.</w:t>
            </w:r>
          </w:p>
        </w:tc>
      </w:tr>
      <w:tr w:rsidR="00EC50A1" w:rsidRPr="00EC50A1" w14:paraId="43152154" w14:textId="77777777" w:rsidTr="00810D30">
        <w:tc>
          <w:tcPr>
            <w:tcW w:w="5670" w:type="dxa"/>
          </w:tcPr>
          <w:p w14:paraId="1B1E296D" w14:textId="77777777" w:rsidR="00EC50A1" w:rsidRPr="00EC50A1" w:rsidRDefault="00EC50A1" w:rsidP="00810D30">
            <w:pPr>
              <w:pStyle w:val="Tabletext"/>
              <w:rPr>
                <w:lang w:val="ru-RU"/>
              </w:rPr>
            </w:pPr>
            <w:r w:rsidRPr="00EC50A1">
              <w:rPr>
                <w:lang w:val="ru-RU"/>
              </w:rPr>
              <w:t>Обязательство по пособиям с 1 января</w:t>
            </w:r>
          </w:p>
        </w:tc>
        <w:tc>
          <w:tcPr>
            <w:tcW w:w="1700" w:type="dxa"/>
          </w:tcPr>
          <w:p w14:paraId="6F27FB68" w14:textId="77777777" w:rsidR="00EC50A1" w:rsidRPr="00EC50A1" w:rsidRDefault="00EC50A1" w:rsidP="00810D30">
            <w:pPr>
              <w:pStyle w:val="Tabletext"/>
              <w:jc w:val="right"/>
              <w:rPr>
                <w:lang w:val="ru-RU"/>
              </w:rPr>
            </w:pPr>
            <w:r w:rsidRPr="00EC50A1">
              <w:rPr>
                <w:lang w:val="ru-RU"/>
              </w:rPr>
              <w:t>545 636</w:t>
            </w:r>
          </w:p>
        </w:tc>
        <w:tc>
          <w:tcPr>
            <w:tcW w:w="1701" w:type="dxa"/>
          </w:tcPr>
          <w:p w14:paraId="6BE4C98D" w14:textId="77777777" w:rsidR="00EC50A1" w:rsidRPr="00EC50A1" w:rsidRDefault="00EC50A1" w:rsidP="00810D30">
            <w:pPr>
              <w:pStyle w:val="Tabletext"/>
              <w:jc w:val="right"/>
              <w:rPr>
                <w:lang w:val="ru-RU"/>
              </w:rPr>
            </w:pPr>
            <w:r w:rsidRPr="00EC50A1">
              <w:rPr>
                <w:lang w:val="ru-RU"/>
              </w:rPr>
              <w:t>631 870</w:t>
            </w:r>
          </w:p>
        </w:tc>
      </w:tr>
      <w:tr w:rsidR="00EC50A1" w:rsidRPr="00EC50A1" w14:paraId="63C1A3CC" w14:textId="77777777" w:rsidTr="00810D30">
        <w:tc>
          <w:tcPr>
            <w:tcW w:w="5670" w:type="dxa"/>
          </w:tcPr>
          <w:p w14:paraId="1CAC7E24" w14:textId="77777777" w:rsidR="00EC50A1" w:rsidRPr="00EC50A1" w:rsidRDefault="00EC50A1" w:rsidP="00810D30">
            <w:pPr>
              <w:pStyle w:val="Tabletext"/>
              <w:rPr>
                <w:lang w:val="ru-RU"/>
              </w:rPr>
            </w:pPr>
            <w:r w:rsidRPr="00EC50A1">
              <w:rPr>
                <w:lang w:val="ru-RU"/>
              </w:rPr>
              <w:t>Затраты на выплату процентов</w:t>
            </w:r>
          </w:p>
        </w:tc>
        <w:tc>
          <w:tcPr>
            <w:tcW w:w="1700" w:type="dxa"/>
          </w:tcPr>
          <w:p w14:paraId="206FF0C4" w14:textId="77777777" w:rsidR="00EC50A1" w:rsidRPr="00EC50A1" w:rsidRDefault="00EC50A1" w:rsidP="00810D30">
            <w:pPr>
              <w:pStyle w:val="Tabletext"/>
              <w:jc w:val="right"/>
              <w:rPr>
                <w:lang w:val="ru-RU"/>
              </w:rPr>
            </w:pPr>
            <w:r w:rsidRPr="00EC50A1">
              <w:rPr>
                <w:lang w:val="ru-RU"/>
              </w:rPr>
              <w:t>2 703</w:t>
            </w:r>
          </w:p>
        </w:tc>
        <w:tc>
          <w:tcPr>
            <w:tcW w:w="1701" w:type="dxa"/>
          </w:tcPr>
          <w:p w14:paraId="01743FD6" w14:textId="77777777" w:rsidR="00EC50A1" w:rsidRPr="00EC50A1" w:rsidRDefault="00EC50A1" w:rsidP="00810D30">
            <w:pPr>
              <w:pStyle w:val="Tabletext"/>
              <w:jc w:val="right"/>
              <w:rPr>
                <w:lang w:val="ru-RU"/>
              </w:rPr>
            </w:pPr>
            <w:r w:rsidRPr="00EC50A1">
              <w:rPr>
                <w:lang w:val="ru-RU"/>
              </w:rPr>
              <w:t>1 254</w:t>
            </w:r>
          </w:p>
        </w:tc>
      </w:tr>
      <w:tr w:rsidR="00EC50A1" w:rsidRPr="00EC50A1" w14:paraId="4020D2EB" w14:textId="77777777" w:rsidTr="00810D30">
        <w:tc>
          <w:tcPr>
            <w:tcW w:w="5670" w:type="dxa"/>
          </w:tcPr>
          <w:p w14:paraId="16B5A5A6" w14:textId="77777777" w:rsidR="00EC50A1" w:rsidRPr="00EC50A1" w:rsidRDefault="00EC50A1" w:rsidP="00810D30">
            <w:pPr>
              <w:pStyle w:val="Tabletext"/>
              <w:rPr>
                <w:lang w:val="ru-RU"/>
              </w:rPr>
            </w:pPr>
            <w:r w:rsidRPr="00EC50A1">
              <w:rPr>
                <w:lang w:val="ru-RU"/>
              </w:rPr>
              <w:t>Затраты на текущие услуги</w:t>
            </w:r>
          </w:p>
        </w:tc>
        <w:tc>
          <w:tcPr>
            <w:tcW w:w="1700" w:type="dxa"/>
          </w:tcPr>
          <w:p w14:paraId="51A09CC2" w14:textId="77777777" w:rsidR="00EC50A1" w:rsidRPr="00EC50A1" w:rsidRDefault="00EC50A1" w:rsidP="00810D30">
            <w:pPr>
              <w:pStyle w:val="Tabletext"/>
              <w:jc w:val="right"/>
              <w:rPr>
                <w:lang w:val="ru-RU"/>
              </w:rPr>
            </w:pPr>
            <w:r w:rsidRPr="00EC50A1">
              <w:rPr>
                <w:lang w:val="ru-RU"/>
              </w:rPr>
              <w:t>19 685</w:t>
            </w:r>
          </w:p>
        </w:tc>
        <w:tc>
          <w:tcPr>
            <w:tcW w:w="1701" w:type="dxa"/>
          </w:tcPr>
          <w:p w14:paraId="19AA94F2" w14:textId="77777777" w:rsidR="00EC50A1" w:rsidRPr="00EC50A1" w:rsidRDefault="00EC50A1" w:rsidP="00810D30">
            <w:pPr>
              <w:pStyle w:val="Tabletext"/>
              <w:jc w:val="right"/>
              <w:rPr>
                <w:lang w:val="ru-RU"/>
              </w:rPr>
            </w:pPr>
            <w:r w:rsidRPr="00EC50A1">
              <w:rPr>
                <w:lang w:val="ru-RU"/>
              </w:rPr>
              <w:t>25 171</w:t>
            </w:r>
          </w:p>
        </w:tc>
      </w:tr>
      <w:tr w:rsidR="00EC50A1" w:rsidRPr="00EC50A1" w14:paraId="463AB134" w14:textId="77777777" w:rsidTr="00810D30">
        <w:tc>
          <w:tcPr>
            <w:tcW w:w="5670" w:type="dxa"/>
          </w:tcPr>
          <w:p w14:paraId="46485464" w14:textId="77777777" w:rsidR="00EC50A1" w:rsidRPr="00EC50A1" w:rsidRDefault="00EC50A1" w:rsidP="00810D30">
            <w:pPr>
              <w:pStyle w:val="Tabletext"/>
              <w:rPr>
                <w:lang w:val="ru-RU"/>
              </w:rPr>
            </w:pPr>
            <w:r w:rsidRPr="00EC50A1">
              <w:rPr>
                <w:lang w:val="ru-RU"/>
              </w:rPr>
              <w:t>Уплаченные взносы</w:t>
            </w:r>
          </w:p>
        </w:tc>
        <w:tc>
          <w:tcPr>
            <w:tcW w:w="1700" w:type="dxa"/>
          </w:tcPr>
          <w:p w14:paraId="5FDA640E" w14:textId="38DBC205" w:rsidR="00EC50A1" w:rsidRPr="00EC50A1" w:rsidRDefault="00AE2293" w:rsidP="00810D30">
            <w:pPr>
              <w:pStyle w:val="Tabletext"/>
              <w:jc w:val="right"/>
              <w:rPr>
                <w:lang w:val="ru-RU"/>
              </w:rPr>
            </w:pPr>
            <w:r>
              <w:rPr>
                <w:lang w:val="ru-RU"/>
              </w:rPr>
              <w:t>−</w:t>
            </w:r>
            <w:r w:rsidR="00EC50A1" w:rsidRPr="00EC50A1">
              <w:rPr>
                <w:lang w:val="ru-RU"/>
              </w:rPr>
              <w:t>8 412</w:t>
            </w:r>
          </w:p>
        </w:tc>
        <w:tc>
          <w:tcPr>
            <w:tcW w:w="1701" w:type="dxa"/>
          </w:tcPr>
          <w:p w14:paraId="583D6439" w14:textId="6C8C9AC6" w:rsidR="00EC50A1" w:rsidRPr="00EC50A1" w:rsidRDefault="00AE2293" w:rsidP="00810D30">
            <w:pPr>
              <w:pStyle w:val="Tabletext"/>
              <w:jc w:val="right"/>
              <w:rPr>
                <w:lang w:val="ru-RU"/>
              </w:rPr>
            </w:pPr>
            <w:r>
              <w:rPr>
                <w:lang w:val="ru-RU"/>
              </w:rPr>
              <w:t>−</w:t>
            </w:r>
            <w:r w:rsidR="00EC50A1" w:rsidRPr="00EC50A1">
              <w:rPr>
                <w:lang w:val="ru-RU"/>
              </w:rPr>
              <w:t>9 160</w:t>
            </w:r>
          </w:p>
        </w:tc>
      </w:tr>
      <w:tr w:rsidR="00EC50A1" w:rsidRPr="00EC50A1" w14:paraId="0472DAD6" w14:textId="77777777" w:rsidTr="00810D30">
        <w:tc>
          <w:tcPr>
            <w:tcW w:w="5670" w:type="dxa"/>
          </w:tcPr>
          <w:p w14:paraId="54ACF134" w14:textId="77777777" w:rsidR="00EC50A1" w:rsidRPr="00EC50A1" w:rsidRDefault="00EC50A1" w:rsidP="00810D30">
            <w:pPr>
              <w:pStyle w:val="Tabletext"/>
              <w:rPr>
                <w:lang w:val="ru-RU"/>
              </w:rPr>
            </w:pPr>
            <w:r w:rsidRPr="00EC50A1">
              <w:rPr>
                <w:lang w:val="ru-RU"/>
              </w:rPr>
              <w:t>Изменения актуарных допущений</w:t>
            </w:r>
          </w:p>
        </w:tc>
        <w:tc>
          <w:tcPr>
            <w:tcW w:w="1700" w:type="dxa"/>
          </w:tcPr>
          <w:p w14:paraId="09AE4584" w14:textId="12785DE4" w:rsidR="00EC50A1" w:rsidRPr="00EC50A1" w:rsidRDefault="00AE2293" w:rsidP="00810D30">
            <w:pPr>
              <w:pStyle w:val="Tabletext"/>
              <w:jc w:val="right"/>
              <w:rPr>
                <w:lang w:val="ru-RU"/>
              </w:rPr>
            </w:pPr>
            <w:r>
              <w:rPr>
                <w:lang w:val="ru-RU"/>
              </w:rPr>
              <w:t>−</w:t>
            </w:r>
            <w:r w:rsidR="00EC50A1" w:rsidRPr="00EC50A1">
              <w:rPr>
                <w:lang w:val="ru-RU"/>
              </w:rPr>
              <w:t>215 510</w:t>
            </w:r>
          </w:p>
        </w:tc>
        <w:tc>
          <w:tcPr>
            <w:tcW w:w="1701" w:type="dxa"/>
          </w:tcPr>
          <w:p w14:paraId="7DAD8276" w14:textId="6270E07E" w:rsidR="00EC50A1" w:rsidRPr="00EC50A1" w:rsidRDefault="00AE2293" w:rsidP="00810D30">
            <w:pPr>
              <w:pStyle w:val="Tabletext"/>
              <w:jc w:val="right"/>
              <w:rPr>
                <w:lang w:val="ru-RU"/>
              </w:rPr>
            </w:pPr>
            <w:r>
              <w:rPr>
                <w:lang w:val="ru-RU"/>
              </w:rPr>
              <w:t>−</w:t>
            </w:r>
            <w:r w:rsidR="00EC50A1" w:rsidRPr="00EC50A1">
              <w:rPr>
                <w:lang w:val="ru-RU"/>
              </w:rPr>
              <w:t>103 499</w:t>
            </w:r>
          </w:p>
        </w:tc>
      </w:tr>
      <w:tr w:rsidR="00EC50A1" w:rsidRPr="00EC50A1" w14:paraId="71174C7C" w14:textId="77777777" w:rsidTr="00810D30">
        <w:tc>
          <w:tcPr>
            <w:tcW w:w="5670" w:type="dxa"/>
          </w:tcPr>
          <w:p w14:paraId="454201DC" w14:textId="77777777" w:rsidR="00EC50A1" w:rsidRPr="00EC50A1" w:rsidRDefault="00EC50A1" w:rsidP="00810D30">
            <w:pPr>
              <w:pStyle w:val="Tabletext"/>
              <w:rPr>
                <w:lang w:val="ru-RU"/>
              </w:rPr>
            </w:pPr>
            <w:r w:rsidRPr="00EC50A1">
              <w:rPr>
                <w:lang w:val="ru-RU"/>
              </w:rPr>
              <w:t>Обязательства по пособиям, определенные на 31 декабря</w:t>
            </w:r>
          </w:p>
        </w:tc>
        <w:tc>
          <w:tcPr>
            <w:tcW w:w="1700" w:type="dxa"/>
          </w:tcPr>
          <w:p w14:paraId="104E1EA8" w14:textId="77777777" w:rsidR="00EC50A1" w:rsidRPr="00EC50A1" w:rsidRDefault="00EC50A1" w:rsidP="00810D30">
            <w:pPr>
              <w:pStyle w:val="Tabletext"/>
              <w:jc w:val="right"/>
              <w:rPr>
                <w:lang w:val="ru-RU"/>
              </w:rPr>
            </w:pPr>
            <w:r w:rsidRPr="00EC50A1">
              <w:rPr>
                <w:lang w:val="ru-RU"/>
              </w:rPr>
              <w:t>344 102</w:t>
            </w:r>
          </w:p>
        </w:tc>
        <w:tc>
          <w:tcPr>
            <w:tcW w:w="1701" w:type="dxa"/>
          </w:tcPr>
          <w:p w14:paraId="1FFABC52" w14:textId="77777777" w:rsidR="00EC50A1" w:rsidRPr="00EC50A1" w:rsidRDefault="00EC50A1" w:rsidP="00810D30">
            <w:pPr>
              <w:pStyle w:val="Tabletext"/>
              <w:jc w:val="right"/>
              <w:rPr>
                <w:lang w:val="ru-RU"/>
              </w:rPr>
            </w:pPr>
            <w:r w:rsidRPr="00EC50A1">
              <w:rPr>
                <w:lang w:val="ru-RU"/>
              </w:rPr>
              <w:t>545 636</w:t>
            </w:r>
          </w:p>
        </w:tc>
      </w:tr>
      <w:tr w:rsidR="00EC50A1" w:rsidRPr="00EC50A1" w14:paraId="55C410A3" w14:textId="77777777" w:rsidTr="00810D30">
        <w:tc>
          <w:tcPr>
            <w:tcW w:w="9071" w:type="dxa"/>
            <w:gridSpan w:val="3"/>
          </w:tcPr>
          <w:p w14:paraId="25DE21D1" w14:textId="77777777" w:rsidR="00EC50A1" w:rsidRPr="00EC50A1" w:rsidRDefault="00EC50A1" w:rsidP="00810D30">
            <w:pPr>
              <w:pStyle w:val="Tablelegend"/>
              <w:rPr>
                <w:lang w:val="ru-RU"/>
              </w:rPr>
            </w:pPr>
            <w:r w:rsidRPr="00EC50A1">
              <w:rPr>
                <w:lang w:val="ru-RU"/>
              </w:rPr>
              <w:t>Источник: финансовая отчетность МСЭ</w:t>
            </w:r>
          </w:p>
        </w:tc>
      </w:tr>
    </w:tbl>
    <w:p w14:paraId="089C11FA" w14:textId="77777777" w:rsidR="00EC50A1" w:rsidRPr="00EC50A1" w:rsidRDefault="00EC50A1" w:rsidP="00EC50A1">
      <w:pPr>
        <w:pStyle w:val="Heading4"/>
        <w:rPr>
          <w:lang w:val="ru-RU"/>
        </w:rPr>
      </w:pPr>
      <w:r w:rsidRPr="00EC50A1">
        <w:rPr>
          <w:lang w:val="ru-RU"/>
        </w:rPr>
        <w:t>Затраты на заявки на возмещение медицинских расходов</w:t>
      </w:r>
    </w:p>
    <w:p w14:paraId="666A4623" w14:textId="043CFE6D" w:rsidR="00EC50A1" w:rsidRPr="00EC50A1" w:rsidRDefault="009657C5" w:rsidP="000B3DBD">
      <w:pPr>
        <w:rPr>
          <w:lang w:val="ru-RU"/>
        </w:rPr>
      </w:pPr>
      <w:r w:rsidRPr="000B3DBD">
        <w:rPr>
          <w:b/>
          <w:bCs/>
          <w:lang w:val="ru-RU"/>
        </w:rPr>
        <w:t>37</w:t>
      </w:r>
      <w:r>
        <w:rPr>
          <w:lang w:val="ru-RU"/>
        </w:rPr>
        <w:tab/>
      </w:r>
      <w:r w:rsidR="00EC50A1" w:rsidRPr="00EC50A1">
        <w:rPr>
          <w:lang w:val="ru-RU"/>
        </w:rPr>
        <w:t>Базовым обязательством МСЭ являются ожидаемые в будущем заявки на возмещение расходов, право на которые персонал, вышедшие в отставку сотрудники и их иждивенцы заработали в связи с их службой в организации. При составлении сметы актуарий МСЭ определяет ожидаемые затраты на заявки на возмещение расходов по возрастам; данные приведены в Примечании 18.1.2 к финансовой отчетности.</w:t>
      </w:r>
    </w:p>
    <w:p w14:paraId="6DD1AE5F" w14:textId="77777777" w:rsidR="00AE2293" w:rsidRDefault="00AE2293" w:rsidP="00AE2293">
      <w:pPr>
        <w:pStyle w:val="FigureNo"/>
        <w:rPr>
          <w:lang w:val="ru-RU"/>
        </w:rPr>
      </w:pPr>
      <w:r w:rsidRPr="00EC50A1">
        <w:rPr>
          <w:lang w:val="ru-RU"/>
        </w:rPr>
        <w:t>Рисунок 3</w:t>
      </w:r>
    </w:p>
    <w:p w14:paraId="722B9A9A" w14:textId="358D5249" w:rsidR="00AE2293" w:rsidRPr="00AE2293" w:rsidRDefault="00AE2293" w:rsidP="00AE2293">
      <w:pPr>
        <w:pStyle w:val="Figuretitle"/>
        <w:rPr>
          <w:lang w:val="ru-RU"/>
        </w:rPr>
      </w:pPr>
      <w:r w:rsidRPr="00EC50A1">
        <w:rPr>
          <w:lang w:val="ru-RU"/>
        </w:rPr>
        <w:t>Затраты на заявки на возмещение расходов</w:t>
      </w:r>
    </w:p>
    <w:tbl>
      <w:tblPr>
        <w:tblW w:w="5000" w:type="pct"/>
        <w:tblLayout w:type="fixed"/>
        <w:tblLook w:val="0600" w:firstRow="0" w:lastRow="0" w:firstColumn="0" w:lastColumn="0" w:noHBand="1" w:noVBand="1"/>
      </w:tblPr>
      <w:tblGrid>
        <w:gridCol w:w="3023"/>
        <w:gridCol w:w="3024"/>
        <w:gridCol w:w="3024"/>
      </w:tblGrid>
      <w:tr w:rsidR="00EC50A1" w:rsidRPr="00150ADD" w14:paraId="1B20EF09" w14:textId="77777777" w:rsidTr="005C0776">
        <w:tc>
          <w:tcPr>
            <w:tcW w:w="3023" w:type="dxa"/>
            <w:vAlign w:val="center"/>
          </w:tcPr>
          <w:p w14:paraId="47E4803F" w14:textId="5CF959F4" w:rsidR="00EC50A1" w:rsidRPr="00EC50A1" w:rsidRDefault="00EC50A1" w:rsidP="00AE2293">
            <w:pPr>
              <w:pStyle w:val="Tablehead"/>
              <w:rPr>
                <w:lang w:val="ru-RU"/>
              </w:rPr>
            </w:pPr>
            <w:r w:rsidRPr="00EC50A1">
              <w:rPr>
                <w:lang w:val="ru-RU"/>
              </w:rPr>
              <w:t>Возрастной</w:t>
            </w:r>
            <w:r w:rsidR="005C0776">
              <w:rPr>
                <w:lang w:val="ru-RU"/>
              </w:rPr>
              <w:br/>
            </w:r>
            <w:r w:rsidRPr="00EC50A1">
              <w:rPr>
                <w:lang w:val="ru-RU"/>
              </w:rPr>
              <w:t>диапазон</w:t>
            </w:r>
          </w:p>
        </w:tc>
        <w:tc>
          <w:tcPr>
            <w:tcW w:w="3024" w:type="dxa"/>
            <w:vAlign w:val="center"/>
          </w:tcPr>
          <w:p w14:paraId="2418BCF1" w14:textId="0AB85523" w:rsidR="00EC50A1" w:rsidRPr="00EC50A1" w:rsidRDefault="00EC50A1" w:rsidP="00AE2293">
            <w:pPr>
              <w:pStyle w:val="Tablehead"/>
              <w:rPr>
                <w:lang w:val="ru-RU"/>
              </w:rPr>
            </w:pPr>
            <w:r w:rsidRPr="00EC50A1">
              <w:rPr>
                <w:lang w:val="ru-RU"/>
              </w:rPr>
              <w:t>Затраты на заявки за 2022 г</w:t>
            </w:r>
            <w:r w:rsidR="005C0776">
              <w:rPr>
                <w:lang w:val="ru-RU"/>
              </w:rPr>
              <w:t>.</w:t>
            </w:r>
            <w:r w:rsidRPr="00EC50A1">
              <w:rPr>
                <w:lang w:val="ru-RU"/>
              </w:rPr>
              <w:t xml:space="preserve"> (шв. фр.)</w:t>
            </w:r>
          </w:p>
        </w:tc>
        <w:tc>
          <w:tcPr>
            <w:tcW w:w="3024" w:type="dxa"/>
            <w:vAlign w:val="center"/>
          </w:tcPr>
          <w:p w14:paraId="64152B09" w14:textId="4B6C1D73" w:rsidR="00EC50A1" w:rsidRPr="00EC50A1" w:rsidRDefault="00EC50A1" w:rsidP="00AE2293">
            <w:pPr>
              <w:pStyle w:val="Tablehead"/>
              <w:rPr>
                <w:lang w:val="ru-RU"/>
              </w:rPr>
            </w:pPr>
            <w:r w:rsidRPr="00EC50A1">
              <w:rPr>
                <w:lang w:val="ru-RU"/>
              </w:rPr>
              <w:t xml:space="preserve">Затраты на заявки за 2021 </w:t>
            </w:r>
            <w:r w:rsidR="005C0776">
              <w:rPr>
                <w:lang w:val="ru-RU"/>
              </w:rPr>
              <w:t>г.</w:t>
            </w:r>
            <w:r w:rsidRPr="00EC50A1">
              <w:rPr>
                <w:lang w:val="ru-RU"/>
              </w:rPr>
              <w:t xml:space="preserve"> (шв. фр.)</w:t>
            </w:r>
          </w:p>
        </w:tc>
      </w:tr>
      <w:tr w:rsidR="00EC50A1" w:rsidRPr="00EC50A1" w14:paraId="6AADD823" w14:textId="77777777" w:rsidTr="005C0776">
        <w:tc>
          <w:tcPr>
            <w:tcW w:w="3023" w:type="dxa"/>
          </w:tcPr>
          <w:p w14:paraId="597EDBEC" w14:textId="77777777" w:rsidR="00EC50A1" w:rsidRPr="00EC50A1" w:rsidRDefault="00EC50A1" w:rsidP="005C0776">
            <w:pPr>
              <w:pStyle w:val="Tabletext"/>
              <w:keepNext/>
              <w:jc w:val="center"/>
              <w:rPr>
                <w:lang w:val="ru-RU"/>
              </w:rPr>
            </w:pPr>
            <w:r w:rsidRPr="00EC50A1">
              <w:rPr>
                <w:lang w:val="ru-RU"/>
              </w:rPr>
              <w:t>50</w:t>
            </w:r>
          </w:p>
        </w:tc>
        <w:tc>
          <w:tcPr>
            <w:tcW w:w="3024" w:type="dxa"/>
          </w:tcPr>
          <w:p w14:paraId="72C7DAA7" w14:textId="77777777" w:rsidR="00EC50A1" w:rsidRPr="00EC50A1" w:rsidRDefault="00EC50A1" w:rsidP="005C0776">
            <w:pPr>
              <w:pStyle w:val="Tabletext"/>
              <w:keepNext/>
              <w:jc w:val="center"/>
              <w:rPr>
                <w:lang w:val="ru-RU"/>
              </w:rPr>
            </w:pPr>
            <w:r w:rsidRPr="00EC50A1">
              <w:rPr>
                <w:lang w:val="ru-RU"/>
              </w:rPr>
              <w:t>3 138</w:t>
            </w:r>
          </w:p>
        </w:tc>
        <w:tc>
          <w:tcPr>
            <w:tcW w:w="3024" w:type="dxa"/>
          </w:tcPr>
          <w:p w14:paraId="781C2469" w14:textId="77777777" w:rsidR="00EC50A1" w:rsidRPr="00EC50A1" w:rsidRDefault="00EC50A1" w:rsidP="005C0776">
            <w:pPr>
              <w:pStyle w:val="Tabletext"/>
              <w:keepNext/>
              <w:jc w:val="center"/>
              <w:rPr>
                <w:lang w:val="ru-RU"/>
              </w:rPr>
            </w:pPr>
            <w:r w:rsidRPr="00EC50A1">
              <w:rPr>
                <w:lang w:val="ru-RU"/>
              </w:rPr>
              <w:t>3 487</w:t>
            </w:r>
          </w:p>
        </w:tc>
      </w:tr>
      <w:tr w:rsidR="00EC50A1" w:rsidRPr="00EC50A1" w14:paraId="6B5304EF" w14:textId="77777777" w:rsidTr="005C0776">
        <w:tc>
          <w:tcPr>
            <w:tcW w:w="3023" w:type="dxa"/>
          </w:tcPr>
          <w:p w14:paraId="2A49AAA1" w14:textId="77777777" w:rsidR="00EC50A1" w:rsidRPr="00EC50A1" w:rsidRDefault="00EC50A1" w:rsidP="005C0776">
            <w:pPr>
              <w:pStyle w:val="Tabletext"/>
              <w:keepNext/>
              <w:jc w:val="center"/>
              <w:rPr>
                <w:lang w:val="ru-RU"/>
              </w:rPr>
            </w:pPr>
            <w:r w:rsidRPr="00EC50A1">
              <w:rPr>
                <w:lang w:val="ru-RU"/>
              </w:rPr>
              <w:t>55</w:t>
            </w:r>
          </w:p>
        </w:tc>
        <w:tc>
          <w:tcPr>
            <w:tcW w:w="3024" w:type="dxa"/>
          </w:tcPr>
          <w:p w14:paraId="6723BC40" w14:textId="77777777" w:rsidR="00EC50A1" w:rsidRPr="00EC50A1" w:rsidRDefault="00EC50A1" w:rsidP="005C0776">
            <w:pPr>
              <w:pStyle w:val="Tabletext"/>
              <w:keepNext/>
              <w:jc w:val="center"/>
              <w:rPr>
                <w:lang w:val="ru-RU"/>
              </w:rPr>
            </w:pPr>
            <w:r w:rsidRPr="00EC50A1">
              <w:rPr>
                <w:lang w:val="ru-RU"/>
              </w:rPr>
              <w:t>3 928</w:t>
            </w:r>
          </w:p>
        </w:tc>
        <w:tc>
          <w:tcPr>
            <w:tcW w:w="3024" w:type="dxa"/>
          </w:tcPr>
          <w:p w14:paraId="60F9D451" w14:textId="77777777" w:rsidR="00EC50A1" w:rsidRPr="00EC50A1" w:rsidRDefault="00EC50A1" w:rsidP="005C0776">
            <w:pPr>
              <w:pStyle w:val="Tabletext"/>
              <w:keepNext/>
              <w:jc w:val="center"/>
              <w:rPr>
                <w:lang w:val="ru-RU"/>
              </w:rPr>
            </w:pPr>
            <w:r w:rsidRPr="00EC50A1">
              <w:rPr>
                <w:lang w:val="ru-RU"/>
              </w:rPr>
              <w:t>4 365</w:t>
            </w:r>
          </w:p>
        </w:tc>
      </w:tr>
      <w:tr w:rsidR="00EC50A1" w:rsidRPr="00EC50A1" w14:paraId="022D360F" w14:textId="77777777" w:rsidTr="005C0776">
        <w:tc>
          <w:tcPr>
            <w:tcW w:w="3023" w:type="dxa"/>
          </w:tcPr>
          <w:p w14:paraId="6AF13909" w14:textId="77777777" w:rsidR="00EC50A1" w:rsidRPr="00EC50A1" w:rsidRDefault="00EC50A1" w:rsidP="005C0776">
            <w:pPr>
              <w:pStyle w:val="Tabletext"/>
              <w:keepNext/>
              <w:jc w:val="center"/>
              <w:rPr>
                <w:lang w:val="ru-RU"/>
              </w:rPr>
            </w:pPr>
            <w:r w:rsidRPr="00EC50A1">
              <w:rPr>
                <w:lang w:val="ru-RU"/>
              </w:rPr>
              <w:t>60</w:t>
            </w:r>
          </w:p>
        </w:tc>
        <w:tc>
          <w:tcPr>
            <w:tcW w:w="3024" w:type="dxa"/>
          </w:tcPr>
          <w:p w14:paraId="432603FB" w14:textId="77777777" w:rsidR="00EC50A1" w:rsidRPr="00EC50A1" w:rsidRDefault="00EC50A1" w:rsidP="005C0776">
            <w:pPr>
              <w:pStyle w:val="Tabletext"/>
              <w:keepNext/>
              <w:jc w:val="center"/>
              <w:rPr>
                <w:lang w:val="ru-RU"/>
              </w:rPr>
            </w:pPr>
            <w:r w:rsidRPr="00EC50A1">
              <w:rPr>
                <w:lang w:val="ru-RU"/>
              </w:rPr>
              <w:t>4 925</w:t>
            </w:r>
          </w:p>
        </w:tc>
        <w:tc>
          <w:tcPr>
            <w:tcW w:w="3024" w:type="dxa"/>
          </w:tcPr>
          <w:p w14:paraId="24739BD0" w14:textId="77777777" w:rsidR="00EC50A1" w:rsidRPr="00EC50A1" w:rsidRDefault="00EC50A1" w:rsidP="005C0776">
            <w:pPr>
              <w:pStyle w:val="Tabletext"/>
              <w:keepNext/>
              <w:jc w:val="center"/>
              <w:rPr>
                <w:lang w:val="ru-RU"/>
              </w:rPr>
            </w:pPr>
            <w:r w:rsidRPr="00EC50A1">
              <w:rPr>
                <w:lang w:val="ru-RU"/>
              </w:rPr>
              <w:t>5 472</w:t>
            </w:r>
          </w:p>
        </w:tc>
      </w:tr>
      <w:tr w:rsidR="00EC50A1" w:rsidRPr="00EC50A1" w14:paraId="13A967A5" w14:textId="77777777" w:rsidTr="005C0776">
        <w:tc>
          <w:tcPr>
            <w:tcW w:w="3023" w:type="dxa"/>
          </w:tcPr>
          <w:p w14:paraId="1B7F9978" w14:textId="77777777" w:rsidR="00EC50A1" w:rsidRPr="00EC50A1" w:rsidRDefault="00EC50A1" w:rsidP="005C0776">
            <w:pPr>
              <w:pStyle w:val="Tabletext"/>
              <w:keepNext/>
              <w:jc w:val="center"/>
              <w:rPr>
                <w:lang w:val="ru-RU"/>
              </w:rPr>
            </w:pPr>
            <w:r w:rsidRPr="00EC50A1">
              <w:rPr>
                <w:lang w:val="ru-RU"/>
              </w:rPr>
              <w:t>65</w:t>
            </w:r>
          </w:p>
        </w:tc>
        <w:tc>
          <w:tcPr>
            <w:tcW w:w="3024" w:type="dxa"/>
          </w:tcPr>
          <w:p w14:paraId="092F5708" w14:textId="77777777" w:rsidR="00EC50A1" w:rsidRPr="00EC50A1" w:rsidRDefault="00EC50A1" w:rsidP="005C0776">
            <w:pPr>
              <w:pStyle w:val="Tabletext"/>
              <w:keepNext/>
              <w:jc w:val="center"/>
              <w:rPr>
                <w:lang w:val="ru-RU"/>
              </w:rPr>
            </w:pPr>
            <w:r w:rsidRPr="00EC50A1">
              <w:rPr>
                <w:lang w:val="ru-RU"/>
              </w:rPr>
              <w:t>6 184</w:t>
            </w:r>
          </w:p>
        </w:tc>
        <w:tc>
          <w:tcPr>
            <w:tcW w:w="3024" w:type="dxa"/>
          </w:tcPr>
          <w:p w14:paraId="782A8E7E" w14:textId="77777777" w:rsidR="00EC50A1" w:rsidRPr="00EC50A1" w:rsidRDefault="00EC50A1" w:rsidP="005C0776">
            <w:pPr>
              <w:pStyle w:val="Tabletext"/>
              <w:keepNext/>
              <w:jc w:val="center"/>
              <w:rPr>
                <w:lang w:val="ru-RU"/>
              </w:rPr>
            </w:pPr>
            <w:r w:rsidRPr="00EC50A1">
              <w:rPr>
                <w:lang w:val="ru-RU"/>
              </w:rPr>
              <w:t>6 871</w:t>
            </w:r>
          </w:p>
        </w:tc>
      </w:tr>
      <w:tr w:rsidR="00EC50A1" w:rsidRPr="00EC50A1" w14:paraId="2789C190" w14:textId="77777777" w:rsidTr="005C0776">
        <w:tc>
          <w:tcPr>
            <w:tcW w:w="3023" w:type="dxa"/>
          </w:tcPr>
          <w:p w14:paraId="64F9DFC2" w14:textId="77777777" w:rsidR="00EC50A1" w:rsidRPr="00EC50A1" w:rsidRDefault="00EC50A1" w:rsidP="005C0776">
            <w:pPr>
              <w:pStyle w:val="Tabletext"/>
              <w:keepNext/>
              <w:jc w:val="center"/>
              <w:rPr>
                <w:lang w:val="ru-RU"/>
              </w:rPr>
            </w:pPr>
            <w:r w:rsidRPr="00EC50A1">
              <w:rPr>
                <w:lang w:val="ru-RU"/>
              </w:rPr>
              <w:t>70</w:t>
            </w:r>
          </w:p>
        </w:tc>
        <w:tc>
          <w:tcPr>
            <w:tcW w:w="3024" w:type="dxa"/>
          </w:tcPr>
          <w:p w14:paraId="610A05DE" w14:textId="77777777" w:rsidR="00EC50A1" w:rsidRPr="00EC50A1" w:rsidRDefault="00EC50A1" w:rsidP="005C0776">
            <w:pPr>
              <w:pStyle w:val="Tabletext"/>
              <w:keepNext/>
              <w:jc w:val="center"/>
              <w:rPr>
                <w:lang w:val="ru-RU"/>
              </w:rPr>
            </w:pPr>
            <w:r w:rsidRPr="00EC50A1">
              <w:rPr>
                <w:lang w:val="ru-RU"/>
              </w:rPr>
              <w:t>7 777</w:t>
            </w:r>
          </w:p>
        </w:tc>
        <w:tc>
          <w:tcPr>
            <w:tcW w:w="3024" w:type="dxa"/>
          </w:tcPr>
          <w:p w14:paraId="5890012B" w14:textId="77777777" w:rsidR="00EC50A1" w:rsidRPr="00EC50A1" w:rsidRDefault="00EC50A1" w:rsidP="005C0776">
            <w:pPr>
              <w:pStyle w:val="Tabletext"/>
              <w:keepNext/>
              <w:jc w:val="center"/>
              <w:rPr>
                <w:lang w:val="ru-RU"/>
              </w:rPr>
            </w:pPr>
            <w:r w:rsidRPr="00EC50A1">
              <w:rPr>
                <w:lang w:val="ru-RU"/>
              </w:rPr>
              <w:t>8 641</w:t>
            </w:r>
          </w:p>
        </w:tc>
      </w:tr>
      <w:tr w:rsidR="00EC50A1" w:rsidRPr="00EC50A1" w14:paraId="50B825A6" w14:textId="77777777" w:rsidTr="005C0776">
        <w:tc>
          <w:tcPr>
            <w:tcW w:w="3023" w:type="dxa"/>
          </w:tcPr>
          <w:p w14:paraId="6AD37D36" w14:textId="77777777" w:rsidR="00EC50A1" w:rsidRPr="00EC50A1" w:rsidRDefault="00EC50A1" w:rsidP="005C0776">
            <w:pPr>
              <w:pStyle w:val="Tabletext"/>
              <w:keepNext/>
              <w:jc w:val="center"/>
              <w:rPr>
                <w:lang w:val="ru-RU"/>
              </w:rPr>
            </w:pPr>
            <w:r w:rsidRPr="00EC50A1">
              <w:rPr>
                <w:lang w:val="ru-RU"/>
              </w:rPr>
              <w:t>75</w:t>
            </w:r>
          </w:p>
        </w:tc>
        <w:tc>
          <w:tcPr>
            <w:tcW w:w="3024" w:type="dxa"/>
          </w:tcPr>
          <w:p w14:paraId="4E7780E5" w14:textId="77777777" w:rsidR="00EC50A1" w:rsidRPr="00EC50A1" w:rsidRDefault="00EC50A1" w:rsidP="005C0776">
            <w:pPr>
              <w:pStyle w:val="Tabletext"/>
              <w:keepNext/>
              <w:jc w:val="center"/>
              <w:rPr>
                <w:lang w:val="ru-RU"/>
              </w:rPr>
            </w:pPr>
            <w:r w:rsidRPr="00EC50A1">
              <w:rPr>
                <w:lang w:val="ru-RU"/>
              </w:rPr>
              <w:t>9 800</w:t>
            </w:r>
          </w:p>
        </w:tc>
        <w:tc>
          <w:tcPr>
            <w:tcW w:w="3024" w:type="dxa"/>
          </w:tcPr>
          <w:p w14:paraId="5998A9D5" w14:textId="77777777" w:rsidR="00EC50A1" w:rsidRPr="00EC50A1" w:rsidRDefault="00EC50A1" w:rsidP="005C0776">
            <w:pPr>
              <w:pStyle w:val="Tabletext"/>
              <w:keepNext/>
              <w:jc w:val="center"/>
              <w:rPr>
                <w:lang w:val="ru-RU"/>
              </w:rPr>
            </w:pPr>
            <w:r w:rsidRPr="00EC50A1">
              <w:rPr>
                <w:lang w:val="ru-RU"/>
              </w:rPr>
              <w:t>10 889</w:t>
            </w:r>
          </w:p>
        </w:tc>
      </w:tr>
      <w:tr w:rsidR="00EC50A1" w:rsidRPr="00EC50A1" w14:paraId="2E57FCFC" w14:textId="77777777" w:rsidTr="005C0776">
        <w:tc>
          <w:tcPr>
            <w:tcW w:w="3023" w:type="dxa"/>
          </w:tcPr>
          <w:p w14:paraId="43891FE8" w14:textId="77777777" w:rsidR="00EC50A1" w:rsidRPr="00EC50A1" w:rsidRDefault="00EC50A1" w:rsidP="005C0776">
            <w:pPr>
              <w:pStyle w:val="Tabletext"/>
              <w:keepNext/>
              <w:jc w:val="center"/>
              <w:rPr>
                <w:lang w:val="ru-RU"/>
              </w:rPr>
            </w:pPr>
            <w:r w:rsidRPr="00EC50A1">
              <w:rPr>
                <w:lang w:val="ru-RU"/>
              </w:rPr>
              <w:t>80</w:t>
            </w:r>
          </w:p>
        </w:tc>
        <w:tc>
          <w:tcPr>
            <w:tcW w:w="3024" w:type="dxa"/>
          </w:tcPr>
          <w:p w14:paraId="7E99CF82" w14:textId="77777777" w:rsidR="00EC50A1" w:rsidRPr="00EC50A1" w:rsidRDefault="00EC50A1" w:rsidP="005C0776">
            <w:pPr>
              <w:pStyle w:val="Tabletext"/>
              <w:keepNext/>
              <w:jc w:val="center"/>
              <w:rPr>
                <w:lang w:val="ru-RU"/>
              </w:rPr>
            </w:pPr>
            <w:r w:rsidRPr="00EC50A1">
              <w:rPr>
                <w:lang w:val="ru-RU"/>
              </w:rPr>
              <w:t>12 369</w:t>
            </w:r>
          </w:p>
        </w:tc>
        <w:tc>
          <w:tcPr>
            <w:tcW w:w="3024" w:type="dxa"/>
          </w:tcPr>
          <w:p w14:paraId="6DBAB253" w14:textId="77777777" w:rsidR="00EC50A1" w:rsidRPr="00EC50A1" w:rsidRDefault="00EC50A1" w:rsidP="005C0776">
            <w:pPr>
              <w:pStyle w:val="Tabletext"/>
              <w:keepNext/>
              <w:jc w:val="center"/>
              <w:rPr>
                <w:lang w:val="ru-RU"/>
              </w:rPr>
            </w:pPr>
            <w:r w:rsidRPr="00EC50A1">
              <w:rPr>
                <w:lang w:val="ru-RU"/>
              </w:rPr>
              <w:t>13 743</w:t>
            </w:r>
          </w:p>
        </w:tc>
      </w:tr>
      <w:tr w:rsidR="00EC50A1" w:rsidRPr="00EC50A1" w14:paraId="46BF0303" w14:textId="77777777" w:rsidTr="005C0776">
        <w:tc>
          <w:tcPr>
            <w:tcW w:w="3023" w:type="dxa"/>
          </w:tcPr>
          <w:p w14:paraId="00911981" w14:textId="77777777" w:rsidR="00EC50A1" w:rsidRPr="00EC50A1" w:rsidRDefault="00EC50A1" w:rsidP="005C0776">
            <w:pPr>
              <w:pStyle w:val="Tabletext"/>
              <w:keepNext/>
              <w:jc w:val="center"/>
              <w:rPr>
                <w:lang w:val="ru-RU"/>
              </w:rPr>
            </w:pPr>
            <w:r w:rsidRPr="00EC50A1">
              <w:rPr>
                <w:lang w:val="ru-RU"/>
              </w:rPr>
              <w:t>90</w:t>
            </w:r>
          </w:p>
        </w:tc>
        <w:tc>
          <w:tcPr>
            <w:tcW w:w="3024" w:type="dxa"/>
          </w:tcPr>
          <w:p w14:paraId="598C280D" w14:textId="77777777" w:rsidR="00EC50A1" w:rsidRPr="00EC50A1" w:rsidRDefault="00EC50A1" w:rsidP="005C0776">
            <w:pPr>
              <w:pStyle w:val="Tabletext"/>
              <w:keepNext/>
              <w:jc w:val="center"/>
              <w:rPr>
                <w:lang w:val="ru-RU"/>
              </w:rPr>
            </w:pPr>
            <w:r w:rsidRPr="00EC50A1">
              <w:rPr>
                <w:lang w:val="ru-RU"/>
              </w:rPr>
              <w:t>16 491</w:t>
            </w:r>
          </w:p>
        </w:tc>
        <w:tc>
          <w:tcPr>
            <w:tcW w:w="3024" w:type="dxa"/>
          </w:tcPr>
          <w:p w14:paraId="70E971C8" w14:textId="77777777" w:rsidR="00EC50A1" w:rsidRPr="00EC50A1" w:rsidRDefault="00EC50A1" w:rsidP="005C0776">
            <w:pPr>
              <w:pStyle w:val="Tabletext"/>
              <w:keepNext/>
              <w:jc w:val="center"/>
              <w:rPr>
                <w:lang w:val="ru-RU"/>
              </w:rPr>
            </w:pPr>
            <w:r w:rsidRPr="00EC50A1">
              <w:rPr>
                <w:lang w:val="ru-RU"/>
              </w:rPr>
              <w:t>18 323</w:t>
            </w:r>
          </w:p>
        </w:tc>
      </w:tr>
      <w:tr w:rsidR="00EC50A1" w:rsidRPr="00150ADD" w14:paraId="35D6BAA2" w14:textId="77777777" w:rsidTr="00AE2293">
        <w:tc>
          <w:tcPr>
            <w:tcW w:w="9071" w:type="dxa"/>
            <w:gridSpan w:val="3"/>
          </w:tcPr>
          <w:p w14:paraId="28E35F96" w14:textId="77777777" w:rsidR="00EC50A1" w:rsidRPr="00EC50A1" w:rsidRDefault="00EC50A1" w:rsidP="00AE2293">
            <w:pPr>
              <w:pStyle w:val="Tablelegend"/>
              <w:rPr>
                <w:lang w:val="ru-RU"/>
              </w:rPr>
            </w:pPr>
            <w:r w:rsidRPr="00EC50A1">
              <w:rPr>
                <w:lang w:val="ru-RU"/>
              </w:rPr>
              <w:t>Источник: Финансовая отчетность МСЭ и отчеты МСЭ об оценке АСХИ согласно стандарту IPSAS 39</w:t>
            </w:r>
          </w:p>
        </w:tc>
      </w:tr>
    </w:tbl>
    <w:p w14:paraId="09C2BB16" w14:textId="32F94662" w:rsidR="00EC50A1" w:rsidRPr="00EC50A1" w:rsidRDefault="009657C5" w:rsidP="000B3DBD">
      <w:pPr>
        <w:rPr>
          <w:lang w:val="ru-RU"/>
        </w:rPr>
      </w:pPr>
      <w:r w:rsidRPr="000B3DBD">
        <w:rPr>
          <w:b/>
          <w:bCs/>
          <w:lang w:val="ru-RU"/>
        </w:rPr>
        <w:t>38</w:t>
      </w:r>
      <w:r>
        <w:rPr>
          <w:lang w:val="ru-RU"/>
        </w:rPr>
        <w:tab/>
      </w:r>
      <w:r w:rsidR="00EC50A1" w:rsidRPr="00EC50A1">
        <w:rPr>
          <w:lang w:val="ru-RU"/>
        </w:rPr>
        <w:t>Актуарий МСЭ провел исследование в 2018 году с использованием фактического опыта МСЭ в области затрат на заявки в период с 2015 по 2017 год, что соответствует периоду до присоединения к Обществу взаимного страхования персонала Организации Объединенных Наций (ЮНСМИС). Эта информация была использована для создания профиля ожидаемых заявок для всех возрастов от 50 до 90 лет.</w:t>
      </w:r>
    </w:p>
    <w:p w14:paraId="0E8FF37E" w14:textId="200DEC94" w:rsidR="00EC50A1" w:rsidRPr="00EC50A1" w:rsidRDefault="009657C5" w:rsidP="000B3DBD">
      <w:pPr>
        <w:rPr>
          <w:lang w:val="ru-RU"/>
        </w:rPr>
      </w:pPr>
      <w:r w:rsidRPr="000B3DBD">
        <w:rPr>
          <w:b/>
          <w:bCs/>
          <w:lang w:val="ru-RU"/>
        </w:rPr>
        <w:t>39</w:t>
      </w:r>
      <w:r>
        <w:rPr>
          <w:lang w:val="ru-RU"/>
        </w:rPr>
        <w:tab/>
      </w:r>
      <w:r w:rsidR="00EC50A1" w:rsidRPr="00EC50A1">
        <w:rPr>
          <w:lang w:val="ru-RU"/>
        </w:rPr>
        <w:t>По состоянию на 31 декабря 2022 года МСЭ, используя профиль, разработанный в ходе исследования 2018 года, обновил свое предположение с учетом последних данных ЮНСМИС о заявках. Данные показали, что фактическая средняя стоимость заявки на возмещение расходов с учетом инфляции на одного пенсионера составляет 9600 швейцарских франков. Впоследствии эти данные были подтверждены внутренним аудитом, после того как мы установили, что руководство не рассматривало вопрос о необходимости проверки достоверности таких внешних данных. Также мы провели независимые проверки данных заявок, которые были нам предоставлены, смогли подробно согласовать средние затраты на заявки и вследствие этого пришли к заключению, что предположения о затратах на заявки на 31 декабря 2022 года были корректными.</w:t>
      </w:r>
    </w:p>
    <w:p w14:paraId="437CDA9A" w14:textId="5139AE79" w:rsidR="00EC50A1" w:rsidRPr="00EC50A1" w:rsidRDefault="009657C5" w:rsidP="000B3DBD">
      <w:pPr>
        <w:rPr>
          <w:lang w:val="ru-RU"/>
        </w:rPr>
      </w:pPr>
      <w:r w:rsidRPr="000B3DBD">
        <w:rPr>
          <w:b/>
          <w:bCs/>
          <w:lang w:val="ru-RU"/>
        </w:rPr>
        <w:t>40</w:t>
      </w:r>
      <w:r>
        <w:rPr>
          <w:lang w:val="ru-RU"/>
        </w:rPr>
        <w:tab/>
      </w:r>
      <w:r w:rsidR="00EC50A1" w:rsidRPr="00EC50A1">
        <w:rPr>
          <w:lang w:val="ru-RU"/>
        </w:rPr>
        <w:t>Принимая во внимание изменения в плане, в частности, присоединение к ЮНСМИС и изменения в глобальных тенденциях в области здравоохранения в целом (в особенности из-за пандемии COVID-19), МСЭ следует провести новое всеобъемлющее исследование затрат на заявки, с тем чтобы обновить профиль и поддержать будущие оценки. МСЭ следует также обеспечить надежную проверку руководством всех данных третьих сторон, используемых в таких исследованиях. Это необходимые требования для обеспечения подготовки руководством финансовой отчетности в соответствии со стандартами IPSAS, что позволяет нам затем представить заключение в соответствии с Международными стандартами аудита, следующее из обоснованности оценок руководства.</w:t>
      </w:r>
    </w:p>
    <w:p w14:paraId="27DB17C5" w14:textId="77777777" w:rsidR="00EC50A1" w:rsidRPr="000B3DBD" w:rsidRDefault="00EC50A1" w:rsidP="0041297C">
      <w:pPr>
        <w:rPr>
          <w:rStyle w:val="Bold"/>
          <w:lang w:val="ru-RU"/>
        </w:rPr>
      </w:pPr>
      <w:r w:rsidRPr="009657C5">
        <w:rPr>
          <w:b/>
          <w:bCs/>
          <w:lang w:val="ru-RU"/>
        </w:rPr>
        <w:t>МСЭ следует</w:t>
      </w:r>
      <w:r w:rsidRPr="000B3DBD">
        <w:rPr>
          <w:lang w:val="ru-RU"/>
        </w:rPr>
        <w:t>:</w:t>
      </w:r>
    </w:p>
    <w:p w14:paraId="1B2BA188" w14:textId="77777777" w:rsidR="00EC50A1" w:rsidRPr="000B3DBD" w:rsidRDefault="00EC50A1" w:rsidP="0041297C">
      <w:pPr>
        <w:rPr>
          <w:rStyle w:val="Bold"/>
          <w:lang w:val="ru-RU"/>
        </w:rPr>
      </w:pPr>
      <w:r w:rsidRPr="009657C5">
        <w:rPr>
          <w:b/>
          <w:bCs/>
          <w:lang w:val="ru-RU"/>
        </w:rPr>
        <w:t>Р7: регулярно выполнять исследования затрат на возмещение медицинских расходов для поддержки оценки своих обязательств по вознаграждению сотрудников и разрабатывать политику для обновления этих предположений в период между всеобъемлющими исследованиями</w:t>
      </w:r>
      <w:r w:rsidRPr="000B3DBD">
        <w:rPr>
          <w:lang w:val="ru-RU"/>
        </w:rPr>
        <w:t>;</w:t>
      </w:r>
    </w:p>
    <w:p w14:paraId="73E0A463" w14:textId="77777777" w:rsidR="00EC50A1" w:rsidRPr="000B3DBD" w:rsidRDefault="00EC50A1" w:rsidP="0041297C">
      <w:pPr>
        <w:rPr>
          <w:rStyle w:val="Bold"/>
          <w:lang w:val="ru-RU"/>
        </w:rPr>
      </w:pPr>
      <w:r w:rsidRPr="009657C5">
        <w:rPr>
          <w:b/>
          <w:bCs/>
          <w:lang w:val="ru-RU"/>
        </w:rPr>
        <w:t>Р8: обеспечить надлежащую проверку всех данных третьих сторон, используемых при оценке обязательств по вознаграждению сотрудников</w:t>
      </w:r>
      <w:r w:rsidRPr="000B3DBD">
        <w:rPr>
          <w:lang w:val="ru-RU"/>
        </w:rPr>
        <w:t>.</w:t>
      </w:r>
    </w:p>
    <w:p w14:paraId="0C0F5CD5" w14:textId="77777777" w:rsidR="00EC50A1" w:rsidRPr="009657C5" w:rsidRDefault="00EC50A1" w:rsidP="009657C5">
      <w:pPr>
        <w:rPr>
          <w:rStyle w:val="Italic"/>
          <w:i w:val="0"/>
          <w:iCs w:val="0"/>
          <w:lang w:val="ru-RU"/>
        </w:rPr>
      </w:pPr>
      <w:r w:rsidRPr="009657C5">
        <w:rPr>
          <w:i/>
          <w:iCs/>
          <w:lang w:val="ru-RU"/>
        </w:rPr>
        <w:t>Руководство МСЭ принимает эти рекомендации.</w:t>
      </w:r>
    </w:p>
    <w:bookmarkEnd w:id="24"/>
    <w:p w14:paraId="44691C63" w14:textId="77777777" w:rsidR="00EC50A1" w:rsidRPr="00EC50A1" w:rsidRDefault="00EC50A1" w:rsidP="00EC50A1">
      <w:pPr>
        <w:pStyle w:val="Heading4"/>
        <w:rPr>
          <w:lang w:val="ru-RU"/>
        </w:rPr>
      </w:pPr>
      <w:r w:rsidRPr="00EC50A1">
        <w:rPr>
          <w:lang w:val="ru-RU"/>
        </w:rPr>
        <w:t>ЮНСМИС</w:t>
      </w:r>
    </w:p>
    <w:p w14:paraId="0F72E6F9" w14:textId="2CE74774" w:rsidR="00EC50A1" w:rsidRPr="00EC50A1" w:rsidRDefault="009657C5" w:rsidP="000B3DBD">
      <w:pPr>
        <w:rPr>
          <w:lang w:val="ru-RU"/>
        </w:rPr>
      </w:pPr>
      <w:r w:rsidRPr="000B3DBD">
        <w:rPr>
          <w:b/>
          <w:bCs/>
          <w:lang w:val="ru-RU"/>
        </w:rPr>
        <w:t>41</w:t>
      </w:r>
      <w:r>
        <w:rPr>
          <w:lang w:val="ru-RU"/>
        </w:rPr>
        <w:tab/>
      </w:r>
      <w:r w:rsidR="00EC50A1" w:rsidRPr="00EC50A1">
        <w:rPr>
          <w:lang w:val="ru-RU"/>
        </w:rPr>
        <w:t>В 2019 году в соответствии с рекомендацией Комитета управления Плана коллективного медицинского страхования (ПКМС) МСЭ и по результатам рассмотрения Объединенным консультативным комитетом и Координационным комитетом Генеральный секретарь подписал вступивший в силу в январе 2020 года меморандум о взаимопонимании с Отделением ООН в Женеве о присоединении к Обществу взаимного страхования персонала ООН от болезней и несчастных случаев (ЮНСМИС) для обеспечения медицинского страхования в соответствии с Положениями о персонале МСЭ.</w:t>
      </w:r>
    </w:p>
    <w:p w14:paraId="46138C3D" w14:textId="7A5837DF" w:rsidR="00EC50A1" w:rsidRPr="00EC50A1" w:rsidRDefault="009657C5" w:rsidP="000B3DBD">
      <w:pPr>
        <w:rPr>
          <w:lang w:val="ru-RU"/>
        </w:rPr>
      </w:pPr>
      <w:r w:rsidRPr="000B3DBD">
        <w:rPr>
          <w:b/>
          <w:bCs/>
          <w:lang w:val="ru-RU"/>
        </w:rPr>
        <w:t>42</w:t>
      </w:r>
      <w:r>
        <w:rPr>
          <w:lang w:val="ru-RU"/>
        </w:rPr>
        <w:tab/>
      </w:r>
      <w:r w:rsidR="00EC50A1" w:rsidRPr="00EC50A1">
        <w:rPr>
          <w:lang w:val="ru-RU"/>
        </w:rPr>
        <w:t>В качестве условия присоединения к системе МСЭ внес первоначальный взнос в Резервный фонд ЮНСМИС в размере 19,5 млн. долларов США. Помимо этого, ввиду демографических показателей членов АСХИ МСЭ должен вносить дополнительный ежегодный взнос в Резервный фонд в течение 13 лет на общую сумму 22,5 млн. долл. США. В дополнение к этим взносам повышение пособий и сокращение затрат для персонала и пенсионеров в рамках нового плана увеличили общие обязательства МСЭ по АСХИ на 50 млн. швейцарских франков. По нашему мнению, дополнительные затраты такого масштаба, как правило, требуют специального утверждения руководящим органом организации, а также проведения подробного анализа затрат и преимуществ, связанных с внесением изменений в эту систему.</w:t>
      </w:r>
    </w:p>
    <w:p w14:paraId="76F7D952" w14:textId="7E037084" w:rsidR="00EC50A1" w:rsidRPr="00EC50A1" w:rsidRDefault="009657C5" w:rsidP="000B3DBD">
      <w:pPr>
        <w:rPr>
          <w:lang w:val="ru-RU"/>
        </w:rPr>
      </w:pPr>
      <w:r w:rsidRPr="000B3DBD">
        <w:rPr>
          <w:b/>
          <w:bCs/>
          <w:lang w:val="ru-RU"/>
        </w:rPr>
        <w:t>43</w:t>
      </w:r>
      <w:r>
        <w:rPr>
          <w:lang w:val="ru-RU"/>
        </w:rPr>
        <w:tab/>
      </w:r>
      <w:r w:rsidR="00EC50A1" w:rsidRPr="00EC50A1">
        <w:rPr>
          <w:lang w:val="ru-RU"/>
        </w:rPr>
        <w:t xml:space="preserve">При присоединении к ЮНСМИС уменьшились ставки взносов, был исключен "излишек" затрат на заявки, т. е. вычитаемая франшиза для отдельных лиц, а также обеспечивалась некоторая дополнительная выгода, однако неясно, получает ли МСЭ в контексте этих существенных дополнительных затрат и обязательств хорошее соотношение цены и качества. По нашему мнению, МСЭ следует пересмотреть свое первоначальное экономическое обоснование в отношении присоединения к </w:t>
      </w:r>
      <w:r w:rsidR="00AE2293" w:rsidRPr="00AE2293">
        <w:rPr>
          <w:lang w:val="ru-RU"/>
        </w:rPr>
        <w:t>ЮНСМИС</w:t>
      </w:r>
      <w:r w:rsidR="00EC50A1" w:rsidRPr="00EC50A1">
        <w:rPr>
          <w:lang w:val="ru-RU"/>
        </w:rPr>
        <w:t xml:space="preserve"> и представить Совету отчет о связанных с этим затратах и преимуществах, связанных с этим важным инвестиционным решением, с тем чтобы обеспечить соответствие действий намерениям Совета.</w:t>
      </w:r>
    </w:p>
    <w:p w14:paraId="1D5924D7" w14:textId="77777777" w:rsidR="00EC50A1" w:rsidRPr="000B3DBD" w:rsidRDefault="00EC50A1" w:rsidP="009657C5">
      <w:pPr>
        <w:rPr>
          <w:rStyle w:val="Bold"/>
          <w:lang w:val="ru-RU"/>
        </w:rPr>
      </w:pPr>
      <w:r w:rsidRPr="009657C5">
        <w:rPr>
          <w:b/>
          <w:bCs/>
          <w:lang w:val="ru-RU"/>
        </w:rPr>
        <w:t>МСЭ следует</w:t>
      </w:r>
      <w:r w:rsidRPr="000B3DBD">
        <w:rPr>
          <w:lang w:val="ru-RU"/>
        </w:rPr>
        <w:t>:</w:t>
      </w:r>
    </w:p>
    <w:p w14:paraId="7FE6FDEE" w14:textId="77777777" w:rsidR="00EC50A1" w:rsidRPr="000B3DBD" w:rsidRDefault="00EC50A1" w:rsidP="009657C5">
      <w:pPr>
        <w:rPr>
          <w:rStyle w:val="Bold"/>
          <w:lang w:val="ru-RU"/>
        </w:rPr>
      </w:pPr>
      <w:r w:rsidRPr="009657C5">
        <w:rPr>
          <w:b/>
          <w:bCs/>
          <w:lang w:val="ru-RU"/>
        </w:rPr>
        <w:t>Р9: пересмотреть первоначальное экономическое обоснование в отношении присоединения к ЮНСМИС и представить Совету отчет о связанных с этим затратах и преимуществах для Союза в связи с этим важным инвестиционным решением</w:t>
      </w:r>
      <w:r w:rsidRPr="000B3DBD">
        <w:rPr>
          <w:lang w:val="ru-RU"/>
        </w:rPr>
        <w:t>.</w:t>
      </w:r>
    </w:p>
    <w:p w14:paraId="5BA88BA5" w14:textId="77777777" w:rsidR="00EC50A1" w:rsidRPr="009657C5" w:rsidRDefault="00EC50A1" w:rsidP="009657C5">
      <w:pPr>
        <w:rPr>
          <w:rStyle w:val="Italic"/>
          <w:i w:val="0"/>
          <w:iCs w:val="0"/>
          <w:lang w:val="ru-RU"/>
        </w:rPr>
      </w:pPr>
      <w:r w:rsidRPr="009657C5">
        <w:rPr>
          <w:i/>
          <w:iCs/>
          <w:lang w:val="ru-RU"/>
        </w:rPr>
        <w:t>Руководство принимает данную рекомендацию и будет работать с другими учреждениями ООН для обеспечения соответствия уровню защиты медицинского страхования, предоставляемой его вышедшим в отставку и действующим сотрудникам.</w:t>
      </w:r>
    </w:p>
    <w:p w14:paraId="6C022044" w14:textId="3FACEB68" w:rsidR="00EC50A1" w:rsidRPr="00EC50A1" w:rsidRDefault="00EC50A1" w:rsidP="00EC50A1">
      <w:pPr>
        <w:pStyle w:val="Heading4"/>
        <w:rPr>
          <w:lang w:val="ru-RU"/>
        </w:rPr>
      </w:pPr>
      <w:r w:rsidRPr="00EC50A1">
        <w:rPr>
          <w:lang w:val="ru-RU"/>
        </w:rPr>
        <w:t>Объединенный пенсионный фонд персонала ООН</w:t>
      </w:r>
    </w:p>
    <w:p w14:paraId="289CBD0D" w14:textId="67CFCC72" w:rsidR="00EC50A1" w:rsidRPr="00EC50A1" w:rsidRDefault="009657C5" w:rsidP="000B3DBD">
      <w:pPr>
        <w:rPr>
          <w:lang w:val="ru-RU"/>
        </w:rPr>
      </w:pPr>
      <w:r w:rsidRPr="000B3DBD">
        <w:rPr>
          <w:b/>
          <w:bCs/>
          <w:lang w:val="ru-RU"/>
        </w:rPr>
        <w:t>44</w:t>
      </w:r>
      <w:r>
        <w:rPr>
          <w:lang w:val="ru-RU"/>
        </w:rPr>
        <w:tab/>
      </w:r>
      <w:r w:rsidR="00EC50A1" w:rsidRPr="00EC50A1">
        <w:rPr>
          <w:lang w:val="ru-RU"/>
        </w:rPr>
        <w:t>МСЭ является аффилированной организацией в Объединенном пенсионном фонде персонала Организации Объединенных Наций (ОПФП ООН) через своих сотрудников. Однако поскольку система пенсионного обеспечения не может точно определить надежную оценку соответствующего риска, который несет каждая участвующая организация, в финансовой отчетности МСЭ не фигурируют актуарные обязательства по плану пенсионного обеспечения.</w:t>
      </w:r>
    </w:p>
    <w:p w14:paraId="200D6860" w14:textId="22EA1E6B" w:rsidR="00EC50A1" w:rsidRPr="00EC50A1" w:rsidRDefault="009657C5" w:rsidP="000B3DBD">
      <w:pPr>
        <w:rPr>
          <w:lang w:val="ru-RU"/>
        </w:rPr>
      </w:pPr>
      <w:r w:rsidRPr="000B3DBD">
        <w:rPr>
          <w:b/>
          <w:bCs/>
          <w:lang w:val="ru-RU"/>
        </w:rPr>
        <w:t>45</w:t>
      </w:r>
      <w:r>
        <w:rPr>
          <w:lang w:val="ru-RU"/>
        </w:rPr>
        <w:tab/>
      </w:r>
      <w:r w:rsidR="00EC50A1" w:rsidRPr="00EC50A1">
        <w:rPr>
          <w:lang w:val="ru-RU"/>
        </w:rPr>
        <w:t>Характеристики системы пенсионного обеспечения ООН изложены в Примечании 18.3 к финансовой отчетности, и эта информация является единой для множества участвующих организаций. На последнюю актуарную дату 31 декабря 2021 года ОПФП ООН пришел к заключению, что необходимости производить платежи в счет дефицита в соответствии со Статьей 26 Положений о Фонде не было, поскольку уровень его финансирования увеличился с момента представления последнего актуарного отчета до 117% (107,1% в 2019 г.). Если эта ситуация изменится в будущем, от МСЭ и других участвующих структур системы ООН потребуется покрытие дефицита. Такая ситуация представляет собой потенциальный будущий финансовый риск для организации, который необходимо отслеживать и далее.</w:t>
      </w:r>
    </w:p>
    <w:p w14:paraId="3D69FDBF" w14:textId="63BB48F1" w:rsidR="00EC50A1" w:rsidRPr="00EC50A1" w:rsidRDefault="00EC50A1" w:rsidP="00EC50A1">
      <w:pPr>
        <w:pStyle w:val="Heading3"/>
        <w:rPr>
          <w:lang w:val="ru-RU"/>
        </w:rPr>
      </w:pPr>
      <w:r w:rsidRPr="00EC50A1">
        <w:rPr>
          <w:bCs/>
          <w:lang w:val="ru-RU"/>
        </w:rPr>
        <w:t>Стратегическое управление финансами</w:t>
      </w:r>
    </w:p>
    <w:p w14:paraId="26385E2E" w14:textId="33D028A7" w:rsidR="00EC50A1" w:rsidRPr="00EC50A1" w:rsidRDefault="009657C5" w:rsidP="000B3DBD">
      <w:pPr>
        <w:rPr>
          <w:lang w:val="ru-RU"/>
        </w:rPr>
      </w:pPr>
      <w:r w:rsidRPr="000B3DBD">
        <w:rPr>
          <w:b/>
          <w:bCs/>
          <w:lang w:val="ru-RU"/>
        </w:rPr>
        <w:t>46</w:t>
      </w:r>
      <w:r>
        <w:rPr>
          <w:lang w:val="ru-RU"/>
        </w:rPr>
        <w:tab/>
      </w:r>
      <w:r w:rsidR="00EC50A1" w:rsidRPr="00EC50A1">
        <w:rPr>
          <w:lang w:val="ru-RU"/>
        </w:rPr>
        <w:t>Стратегическое управление финансами включает рассмотрение способов использования ресурсов для финансирования долгосрочных задач Союза. Это включает рассмотрение того, как именно ресурсы увязаны с целями Членов и как планируются ресурсы для долгосрочных обязательств, таких как капитальные работы и финансирование медицинского страхования после выхода в отставку. Оно также требует комплексного подхода к тому, как общие резервные фонды МСЭ могут использоваться для финансирования деятельности.</w:t>
      </w:r>
    </w:p>
    <w:p w14:paraId="5B81E3B9" w14:textId="7A30AFC3" w:rsidR="00EC50A1" w:rsidRPr="00EC50A1" w:rsidRDefault="009657C5" w:rsidP="000B3DBD">
      <w:pPr>
        <w:rPr>
          <w:lang w:val="ru-RU"/>
        </w:rPr>
      </w:pPr>
      <w:r w:rsidRPr="000B3DBD">
        <w:rPr>
          <w:b/>
          <w:bCs/>
          <w:lang w:val="ru-RU"/>
        </w:rPr>
        <w:t>47</w:t>
      </w:r>
      <w:r>
        <w:rPr>
          <w:lang w:val="ru-RU"/>
        </w:rPr>
        <w:tab/>
      </w:r>
      <w:r w:rsidR="00EC50A1" w:rsidRPr="00EC50A1">
        <w:rPr>
          <w:lang w:val="ru-RU"/>
        </w:rPr>
        <w:t>Стратегический план МСЭ, охватывающий четырехгодичный период, представляется на Полномочных конференциях в Резолюции 71; последняя Полномочная конференция состоялась в 2022 году, и на ней был утвержден Стратегический план на 2024–2027 годы. Дополняющий финансовый план разрабатывается в рамках Решения 5 (Доходы и расходы Союза), и в нем распределяются финансовые ресурсы на стратегические цели Союза. Неосновная деятельность МСЭ, включая внебюджетные виды деятельности, финансируемые МСЭ, или взносами доноров; управление капиталом; и средства, относящиеся к медицинскому страхованию и другим вопросам, связанным с персоналом, планируются и представляются отдельно. По нашему мнению, стратегический план должен лучше отражать планы в отношении этих других неосновных ресурсов и более тесно увязывать их с общими стратегическими задачами Членов. Это позволит получить более полную оценку общих показателей деятельности Союза и использования ресурсов и более четко продемонстрировать, как именно другие виды деятельности способствуют достижению конечных результатов. Далее в рамках нашего мандата мы планируем рассмотреть вопрос о том, как управление, ориентированное на результаты, поддерживает отчетность о достигнутых результатах в соответствии с планами.</w:t>
      </w:r>
    </w:p>
    <w:p w14:paraId="210A2852" w14:textId="2FD1B977" w:rsidR="00EC50A1" w:rsidRPr="00EC50A1" w:rsidRDefault="009657C5" w:rsidP="000B3DBD">
      <w:pPr>
        <w:rPr>
          <w:lang w:val="ru-RU"/>
        </w:rPr>
      </w:pPr>
      <w:r w:rsidRPr="000B3DBD">
        <w:rPr>
          <w:b/>
          <w:bCs/>
          <w:lang w:val="ru-RU"/>
        </w:rPr>
        <w:t>48</w:t>
      </w:r>
      <w:r>
        <w:rPr>
          <w:lang w:val="ru-RU"/>
        </w:rPr>
        <w:tab/>
      </w:r>
      <w:r w:rsidR="00EC50A1" w:rsidRPr="00EC50A1">
        <w:rPr>
          <w:lang w:val="ru-RU"/>
        </w:rPr>
        <w:t>При эффективном управлении финансами резервы используются для сглаживания потребностей Союза в ресурсах и для выполнения известных обязательств или обязанностей. Несмотря на давление на основные ресурсы, МСЭ располагает резервами и счетами, на которых размещены денежные средства. Некоторые остатки средств могут быть ограничены конкретными целями, но другие доступны для МСЭ, и в ходе рассмотрения финансовой отчетности мы сочли, что формулирование использования этих ресурсов и отчетность Членам по ним могут быть усовершенствованы.</w:t>
      </w:r>
    </w:p>
    <w:p w14:paraId="1DB98BC9" w14:textId="77777777" w:rsidR="00EC50A1" w:rsidRPr="009657C5" w:rsidRDefault="00EC50A1" w:rsidP="009657C5">
      <w:pPr>
        <w:rPr>
          <w:rStyle w:val="Bold"/>
          <w:b w:val="0"/>
          <w:bCs w:val="0"/>
          <w:lang w:val="ru-RU"/>
        </w:rPr>
      </w:pPr>
      <w:r w:rsidRPr="009657C5">
        <w:rPr>
          <w:b/>
          <w:bCs/>
          <w:lang w:val="ru-RU"/>
        </w:rPr>
        <w:t>МСЭ следует</w:t>
      </w:r>
      <w:r w:rsidRPr="000B3DBD">
        <w:rPr>
          <w:lang w:val="ru-RU"/>
        </w:rPr>
        <w:t>:</w:t>
      </w:r>
    </w:p>
    <w:p w14:paraId="7234681F" w14:textId="77777777" w:rsidR="00EC50A1" w:rsidRPr="00EC50A1" w:rsidRDefault="00EC50A1" w:rsidP="009657C5">
      <w:pPr>
        <w:rPr>
          <w:lang w:val="ru-RU"/>
        </w:rPr>
      </w:pPr>
      <w:r w:rsidRPr="009657C5">
        <w:rPr>
          <w:b/>
          <w:bCs/>
          <w:lang w:val="ru-RU"/>
        </w:rPr>
        <w:t>Р10: пересмотреть все имеющиеся в настоящее время остатки средств и резервов, а также возможности рационализации и упрощения, проанализировать актуальность средств для финансовых планов Союза</w:t>
      </w:r>
      <w:r w:rsidRPr="0036686D">
        <w:rPr>
          <w:b/>
          <w:bCs/>
          <w:lang w:val="ru-RU"/>
        </w:rPr>
        <w:t>. Это должно быть сделано в контексте общей стратегии поддержания резервов и средств, согласованной со стратегическими планами МСЭ</w:t>
      </w:r>
      <w:r w:rsidRPr="00EC50A1">
        <w:rPr>
          <w:lang w:val="ru-RU"/>
        </w:rPr>
        <w:t>.</w:t>
      </w:r>
    </w:p>
    <w:p w14:paraId="5F8B5FC0" w14:textId="77777777" w:rsidR="00EC50A1" w:rsidRPr="009657C5" w:rsidRDefault="00EC50A1" w:rsidP="009657C5">
      <w:pPr>
        <w:rPr>
          <w:rStyle w:val="Italic"/>
          <w:i w:val="0"/>
          <w:iCs w:val="0"/>
          <w:lang w:val="ru-RU"/>
        </w:rPr>
      </w:pPr>
      <w:r w:rsidRPr="009657C5">
        <w:rPr>
          <w:i/>
          <w:iCs/>
          <w:lang w:val="ru-RU"/>
        </w:rPr>
        <w:t>Руководство принимает эту рекомендацию и предложило внести изменения в Финансовый регламент и Финансовые правила, направленные на совершенствование существующего управления средствами в целях содействия прозрачности, ответственности и отчетности.</w:t>
      </w:r>
    </w:p>
    <w:p w14:paraId="00E53793" w14:textId="77777777" w:rsidR="00EC50A1" w:rsidRPr="00EC50A1" w:rsidRDefault="00EC50A1" w:rsidP="00EC50A1">
      <w:pPr>
        <w:pStyle w:val="Heading2"/>
        <w:rPr>
          <w:lang w:val="ru-RU"/>
        </w:rPr>
      </w:pPr>
      <w:bookmarkStart w:id="25" w:name="_Toc135202458"/>
      <w:bookmarkStart w:id="26" w:name="_Toc163060676"/>
      <w:bookmarkStart w:id="27" w:name="_Toc163227693"/>
      <w:r w:rsidRPr="00EC50A1">
        <w:rPr>
          <w:lang w:val="ru-RU"/>
        </w:rPr>
        <w:t>Другие вопросы для Членов</w:t>
      </w:r>
      <w:bookmarkEnd w:id="25"/>
      <w:bookmarkEnd w:id="26"/>
      <w:bookmarkEnd w:id="27"/>
    </w:p>
    <w:p w14:paraId="7491A850" w14:textId="29E31F30" w:rsidR="00EC50A1" w:rsidRPr="00EC50A1" w:rsidRDefault="009657C5" w:rsidP="0041297C">
      <w:pPr>
        <w:keepLines/>
        <w:rPr>
          <w:lang w:val="ru-RU"/>
        </w:rPr>
      </w:pPr>
      <w:r w:rsidRPr="009657C5">
        <w:rPr>
          <w:b/>
          <w:bCs/>
          <w:lang w:val="ru-RU"/>
        </w:rPr>
        <w:t>49</w:t>
      </w:r>
      <w:r>
        <w:rPr>
          <w:lang w:val="ru-RU"/>
        </w:rPr>
        <w:tab/>
      </w:r>
      <w:r w:rsidR="00EC50A1" w:rsidRPr="00EC50A1">
        <w:rPr>
          <w:lang w:val="ru-RU"/>
        </w:rPr>
        <w:t>В соответствии со Статьей 28 Финансового регламента (</w:t>
      </w:r>
      <w:r w:rsidR="0036686D">
        <w:rPr>
          <w:lang w:val="ru-RU"/>
        </w:rPr>
        <w:t>в</w:t>
      </w:r>
      <w:r w:rsidR="00EC50A1" w:rsidRPr="00EC50A1">
        <w:rPr>
          <w:lang w:val="ru-RU"/>
        </w:rPr>
        <w:t>нешняя проверка) Генеральный секретарь должна представить нам отчеты обо всех выявленных случаях мошенничества. Нам не было сообщено ни о каких подобных случаях, и мы не выявили никаких случаев мошенничества в ходе работы по аудиторской проверке.</w:t>
      </w:r>
    </w:p>
    <w:p w14:paraId="12F301D3" w14:textId="2BF2BCEC" w:rsidR="00EC50A1" w:rsidRPr="00EC50A1" w:rsidRDefault="009657C5" w:rsidP="009657C5">
      <w:pPr>
        <w:rPr>
          <w:lang w:val="ru-RU"/>
        </w:rPr>
      </w:pPr>
      <w:r w:rsidRPr="009657C5">
        <w:rPr>
          <w:b/>
          <w:bCs/>
          <w:lang w:val="ru-RU"/>
        </w:rPr>
        <w:t>50</w:t>
      </w:r>
      <w:r>
        <w:rPr>
          <w:lang w:val="ru-RU"/>
        </w:rPr>
        <w:tab/>
      </w:r>
      <w:r w:rsidR="00EC50A1" w:rsidRPr="00EC50A1">
        <w:rPr>
          <w:lang w:val="ru-RU"/>
        </w:rPr>
        <w:t>Информация о добровольных платежах, о которых нам сообщили, представлена в Примечании 28 к финансовой отчетности в соответствии с требованиями Стати 10 Финансового регламента. Этот вопрос более подробно рассмотрен в пп. 7–9, выше.</w:t>
      </w:r>
    </w:p>
    <w:p w14:paraId="0F99A4F1" w14:textId="77777777" w:rsidR="00EC50A1" w:rsidRPr="00EC50A1" w:rsidRDefault="00EC50A1" w:rsidP="00EC50A1">
      <w:pPr>
        <w:pStyle w:val="Heading2"/>
        <w:rPr>
          <w:lang w:val="ru-RU"/>
        </w:rPr>
      </w:pPr>
      <w:bookmarkStart w:id="28" w:name="_Toc163060677"/>
      <w:bookmarkStart w:id="29" w:name="_Toc163227694"/>
      <w:r w:rsidRPr="00EC50A1">
        <w:rPr>
          <w:lang w:val="ru-RU"/>
        </w:rPr>
        <w:t>Выражение признательности</w:t>
      </w:r>
      <w:bookmarkEnd w:id="19"/>
      <w:bookmarkEnd w:id="20"/>
      <w:bookmarkEnd w:id="28"/>
      <w:bookmarkEnd w:id="29"/>
    </w:p>
    <w:p w14:paraId="14596840" w14:textId="31ADC78E" w:rsidR="00EC50A1" w:rsidRPr="00EC50A1" w:rsidRDefault="009657C5" w:rsidP="009657C5">
      <w:pPr>
        <w:rPr>
          <w:lang w:val="ru-RU"/>
        </w:rPr>
      </w:pPr>
      <w:r w:rsidRPr="009657C5">
        <w:rPr>
          <w:b/>
          <w:bCs/>
          <w:lang w:val="ru-RU"/>
        </w:rPr>
        <w:t>51</w:t>
      </w:r>
      <w:r>
        <w:rPr>
          <w:lang w:val="ru-RU"/>
        </w:rPr>
        <w:tab/>
      </w:r>
      <w:r w:rsidR="00EC50A1" w:rsidRPr="00EC50A1">
        <w:rPr>
          <w:lang w:val="ru-RU"/>
        </w:rPr>
        <w:t>Мы хотели бы поблагодарить Генерального секретаря и ее персонал за их сотрудничество в содействии нашей работе по выполнению аудиторской проверки.</w:t>
      </w:r>
    </w:p>
    <w:p w14:paraId="450129A7" w14:textId="5E0519A6" w:rsidR="00EC50A1" w:rsidRPr="00EC50A1" w:rsidRDefault="00AE2293" w:rsidP="00EC50A1">
      <w:pPr>
        <w:rPr>
          <w:rStyle w:val="Bold"/>
          <w:lang w:val="ru-RU"/>
        </w:rPr>
      </w:pPr>
      <w:bookmarkStart w:id="30" w:name="SW0023"/>
      <w:r w:rsidRPr="00BA05B3">
        <w:rPr>
          <w:noProof/>
        </w:rPr>
        <w:drawing>
          <wp:inline distT="0" distB="0" distL="0" distR="0" wp14:anchorId="04B5D524" wp14:editId="4EBE85C4">
            <wp:extent cx="1587500" cy="716915"/>
            <wp:effectExtent l="0" t="0" r="0" b="6985"/>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0" cy="716915"/>
                    </a:xfrm>
                    <a:prstGeom prst="rect">
                      <a:avLst/>
                    </a:prstGeom>
                    <a:noFill/>
                    <a:ln>
                      <a:noFill/>
                    </a:ln>
                  </pic:spPr>
                </pic:pic>
              </a:graphicData>
            </a:graphic>
          </wp:inline>
        </w:drawing>
      </w:r>
    </w:p>
    <w:p w14:paraId="07C2DC93" w14:textId="657FB74F" w:rsidR="00EC50A1" w:rsidRPr="009657C5" w:rsidRDefault="00EC50A1" w:rsidP="009657C5">
      <w:pPr>
        <w:rPr>
          <w:b/>
          <w:bCs/>
          <w:lang w:val="ru-RU"/>
        </w:rPr>
      </w:pPr>
      <w:r w:rsidRPr="009657C5">
        <w:rPr>
          <w:b/>
          <w:bCs/>
          <w:lang w:val="ru-RU"/>
        </w:rPr>
        <w:t>Гарет Дэвис</w:t>
      </w:r>
      <w:r w:rsidR="00AE2293" w:rsidRPr="009657C5">
        <w:rPr>
          <w:b/>
          <w:bCs/>
          <w:lang w:val="ru-RU"/>
        </w:rPr>
        <w:br/>
      </w:r>
      <w:r w:rsidRPr="009657C5">
        <w:rPr>
          <w:b/>
          <w:bCs/>
          <w:lang w:val="ru-RU"/>
        </w:rPr>
        <w:t>Контролер и Генеральный ревизор, Соединенное Королевство – Внешний аудитор</w:t>
      </w:r>
    </w:p>
    <w:p w14:paraId="5994ABAC" w14:textId="77777777" w:rsidR="00EC50A1" w:rsidRPr="009657C5" w:rsidRDefault="00EC50A1" w:rsidP="009657C5">
      <w:pPr>
        <w:rPr>
          <w:b/>
          <w:bCs/>
          <w:lang w:val="ru-RU"/>
        </w:rPr>
      </w:pPr>
      <w:r w:rsidRPr="009657C5">
        <w:rPr>
          <w:b/>
          <w:bCs/>
          <w:lang w:val="ru-RU"/>
        </w:rPr>
        <w:t>24 января 2024 года</w:t>
      </w:r>
      <w:bookmarkEnd w:id="30"/>
    </w:p>
    <w:sectPr w:rsidR="00EC50A1" w:rsidRPr="009657C5" w:rsidSect="00D42F17">
      <w:headerReference w:type="default" r:id="rId17"/>
      <w:head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37C4" w14:textId="77777777" w:rsidR="00D42F17" w:rsidRDefault="00D42F17">
      <w:r>
        <w:separator/>
      </w:r>
    </w:p>
  </w:endnote>
  <w:endnote w:type="continuationSeparator" w:id="0">
    <w:p w14:paraId="478F652B" w14:textId="77777777" w:rsidR="00D42F17" w:rsidRDefault="00D4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6BA5913" w14:textId="77777777" w:rsidTr="00E31DCE">
      <w:trPr>
        <w:jc w:val="center"/>
      </w:trPr>
      <w:tc>
        <w:tcPr>
          <w:tcW w:w="1803" w:type="dxa"/>
          <w:vAlign w:val="center"/>
        </w:tcPr>
        <w:p w14:paraId="357B7746" w14:textId="03A41053" w:rsidR="00672F8A" w:rsidRDefault="00672F8A" w:rsidP="00672F8A">
          <w:pPr>
            <w:pStyle w:val="Header"/>
            <w:jc w:val="left"/>
            <w:rPr>
              <w:noProof/>
            </w:rPr>
          </w:pPr>
          <w:r>
            <w:rPr>
              <w:noProof/>
            </w:rPr>
            <w:t xml:space="preserve">DPS </w:t>
          </w:r>
          <w:r w:rsidR="00EC50A1" w:rsidRPr="00EC50A1">
            <w:rPr>
              <w:noProof/>
            </w:rPr>
            <w:t>534336</w:t>
          </w:r>
        </w:p>
      </w:tc>
      <w:tc>
        <w:tcPr>
          <w:tcW w:w="8261" w:type="dxa"/>
        </w:tcPr>
        <w:p w14:paraId="5C9B8E99" w14:textId="7EDF57D8"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EC50A1">
            <w:rPr>
              <w:bCs/>
              <w:lang w:val="ru-RU"/>
            </w:rPr>
            <w:t>41</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45F81168"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C51D2D1" w14:textId="77777777" w:rsidTr="00E31DCE">
      <w:trPr>
        <w:jc w:val="center"/>
      </w:trPr>
      <w:tc>
        <w:tcPr>
          <w:tcW w:w="1803" w:type="dxa"/>
          <w:vAlign w:val="center"/>
        </w:tcPr>
        <w:p w14:paraId="6F46100D" w14:textId="77777777" w:rsidR="00672F8A" w:rsidRDefault="00672F8A" w:rsidP="00672F8A">
          <w:pPr>
            <w:pStyle w:val="Header"/>
            <w:jc w:val="left"/>
            <w:rPr>
              <w:noProof/>
            </w:rPr>
          </w:pPr>
          <w:r w:rsidRPr="00660449">
            <w:rPr>
              <w:color w:val="0563C1"/>
              <w:szCs w:val="14"/>
            </w:rPr>
            <w:t>www.itu.int/council</w:t>
          </w:r>
        </w:p>
      </w:tc>
      <w:tc>
        <w:tcPr>
          <w:tcW w:w="8261" w:type="dxa"/>
        </w:tcPr>
        <w:p w14:paraId="6DE2AE9E" w14:textId="3F2BD5E5"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D42F17">
            <w:rPr>
              <w:bCs/>
              <w:lang w:val="ru-RU"/>
            </w:rPr>
            <w:t>41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5A1179A9" w14:textId="77777777" w:rsidR="000E568E" w:rsidRPr="00672F8A" w:rsidRDefault="000E568E" w:rsidP="00672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C50A1" w:rsidRPr="00784011" w14:paraId="56239874" w14:textId="77777777" w:rsidTr="00E31DCE">
      <w:trPr>
        <w:jc w:val="center"/>
      </w:trPr>
      <w:tc>
        <w:tcPr>
          <w:tcW w:w="1803" w:type="dxa"/>
          <w:vAlign w:val="center"/>
        </w:tcPr>
        <w:p w14:paraId="68C96761" w14:textId="6583D25A" w:rsidR="00EC50A1" w:rsidRDefault="00EC50A1" w:rsidP="00672F8A">
          <w:pPr>
            <w:pStyle w:val="Header"/>
            <w:jc w:val="left"/>
            <w:rPr>
              <w:noProof/>
            </w:rPr>
          </w:pPr>
          <w:r>
            <w:rPr>
              <w:noProof/>
            </w:rPr>
            <w:t xml:space="preserve">DPS </w:t>
          </w:r>
          <w:r w:rsidRPr="00EC50A1">
            <w:rPr>
              <w:noProof/>
            </w:rPr>
            <w:t>534336</w:t>
          </w:r>
        </w:p>
      </w:tc>
      <w:tc>
        <w:tcPr>
          <w:tcW w:w="8261" w:type="dxa"/>
        </w:tcPr>
        <w:p w14:paraId="118FD679" w14:textId="77777777" w:rsidR="00EC50A1" w:rsidRPr="00E06FD5" w:rsidRDefault="00EC50A1"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lang w:val="ru-RU"/>
            </w:rPr>
            <w:t>41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E9C7255" w14:textId="77777777" w:rsidR="00EC50A1" w:rsidRPr="00672F8A" w:rsidRDefault="00EC50A1"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DE8C" w14:textId="77777777" w:rsidR="00D42F17" w:rsidRDefault="00D42F17">
      <w:r>
        <w:t>____________________</w:t>
      </w:r>
    </w:p>
  </w:footnote>
  <w:footnote w:type="continuationSeparator" w:id="0">
    <w:p w14:paraId="2D18CD43" w14:textId="77777777" w:rsidR="00D42F17" w:rsidRDefault="00D42F17">
      <w:r>
        <w:continuationSeparator/>
      </w:r>
    </w:p>
  </w:footnote>
  <w:footnote w:id="1">
    <w:p w14:paraId="378ACF22" w14:textId="517DF657" w:rsidR="00EC50A1" w:rsidRPr="008B14DE" w:rsidRDefault="00EC50A1" w:rsidP="009A78C9">
      <w:pPr>
        <w:pStyle w:val="FootnoteText"/>
        <w:tabs>
          <w:tab w:val="clear" w:pos="255"/>
        </w:tabs>
        <w:rPr>
          <w:lang w:val="ru-RU"/>
        </w:rPr>
      </w:pPr>
      <w:r>
        <w:rPr>
          <w:rStyle w:val="FootnoteReference"/>
          <w:lang w:val="ru-RU"/>
        </w:rPr>
        <w:footnoteRef/>
      </w:r>
      <w:r w:rsidR="009A78C9">
        <w:rPr>
          <w:lang w:val="ru-RU"/>
        </w:rPr>
        <w:tab/>
      </w:r>
      <w:r>
        <w:rPr>
          <w:lang w:val="ru-RU"/>
        </w:rPr>
        <w:t>Все цифры, использованные в настоящем Отчете, отражают сравнение с проверенными (пересчитанными) результатами финансовой деятельности за предыдущие финансовые годы.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F521" w14:textId="60129692" w:rsidR="00D42F17" w:rsidRDefault="00D42F17" w:rsidP="00D42F17">
    <w:pPr>
      <w:pStyle w:val="Header"/>
      <w:jc w:val="right"/>
    </w:pPr>
    <w:r>
      <w:rPr>
        <w:noProof/>
        <w:lang w:eastAsia="en-GB"/>
      </w:rPr>
      <w:drawing>
        <wp:inline distT="0" distB="0" distL="0" distR="0" wp14:anchorId="4427532E" wp14:editId="33AED405">
          <wp:extent cx="1666875" cy="714375"/>
          <wp:effectExtent l="0" t="0" r="9525" b="9525"/>
          <wp:docPr id="19" name="Picture 19"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68CA477C" w14:textId="77777777" w:rsidTr="00E31DCE">
      <w:trPr>
        <w:trHeight w:val="1104"/>
        <w:jc w:val="center"/>
      </w:trPr>
      <w:tc>
        <w:tcPr>
          <w:tcW w:w="4390" w:type="dxa"/>
          <w:vAlign w:val="center"/>
        </w:tcPr>
        <w:p w14:paraId="718742F2" w14:textId="77777777" w:rsidR="00796BD3" w:rsidRPr="009621F8" w:rsidRDefault="00660449" w:rsidP="00796BD3">
          <w:pPr>
            <w:pStyle w:val="Header"/>
            <w:jc w:val="left"/>
            <w:rPr>
              <w:rFonts w:ascii="Arial" w:hAnsi="Arial" w:cs="Arial"/>
              <w:b/>
              <w:bCs/>
              <w:color w:val="009CD6"/>
              <w:sz w:val="36"/>
              <w:szCs w:val="36"/>
            </w:rPr>
          </w:pPr>
          <w:bookmarkStart w:id="7" w:name="_Hlk133422111"/>
          <w:r>
            <w:rPr>
              <w:noProof/>
            </w:rPr>
            <w:drawing>
              <wp:inline distT="0" distB="0" distL="0" distR="0" wp14:anchorId="2891F30C" wp14:editId="0225EEC7">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6D203C77" w14:textId="77777777" w:rsidR="00796BD3" w:rsidRDefault="00796BD3" w:rsidP="00796BD3">
          <w:pPr>
            <w:pStyle w:val="Header"/>
            <w:jc w:val="right"/>
            <w:rPr>
              <w:rFonts w:ascii="Arial" w:hAnsi="Arial" w:cs="Arial"/>
              <w:b/>
              <w:bCs/>
              <w:color w:val="009CD6"/>
              <w:szCs w:val="18"/>
            </w:rPr>
          </w:pPr>
        </w:p>
        <w:p w14:paraId="08BC997E" w14:textId="77777777" w:rsidR="00796BD3" w:rsidRDefault="00796BD3" w:rsidP="00796BD3">
          <w:pPr>
            <w:pStyle w:val="Header"/>
            <w:jc w:val="right"/>
            <w:rPr>
              <w:rFonts w:ascii="Arial" w:hAnsi="Arial" w:cs="Arial"/>
              <w:b/>
              <w:bCs/>
              <w:color w:val="009CD6"/>
              <w:szCs w:val="18"/>
            </w:rPr>
          </w:pPr>
        </w:p>
        <w:p w14:paraId="46593EC8"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33254F2B"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445EC7D" wp14:editId="098E20A0">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59D23"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9A58" w14:textId="689635C1" w:rsidR="00EC50A1" w:rsidRDefault="00EC50A1" w:rsidP="00D42F1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490A" w14:textId="659913D7" w:rsidR="00D42F17" w:rsidRPr="00D42F17" w:rsidRDefault="00EC50A1" w:rsidP="00EC50A1">
    <w:pPr>
      <w:pStyle w:val="Header"/>
      <w:jc w:val="right"/>
    </w:pPr>
    <w:r>
      <w:rPr>
        <w:noProof/>
        <w:lang w:eastAsia="en-GB"/>
      </w:rPr>
      <w:drawing>
        <wp:inline distT="0" distB="0" distL="0" distR="0" wp14:anchorId="3C9AFA12" wp14:editId="20784BA6">
          <wp:extent cx="1666875" cy="714375"/>
          <wp:effectExtent l="0" t="0" r="9525" b="9525"/>
          <wp:docPr id="1737336079" name="Picture 1737336079"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46D1" w14:textId="32F40843" w:rsidR="009A78C9" w:rsidRPr="009A78C9" w:rsidRDefault="009A78C9" w:rsidP="009A78C9">
    <w:pPr>
      <w:pStyle w:val="Header"/>
      <w:jc w:val="right"/>
      <w:rPr>
        <w:lang w:val="ru-RU"/>
      </w:rPr>
    </w:pPr>
    <w:r>
      <w:rPr>
        <w:lang w:val="ru-RU"/>
      </w:rPr>
      <w:t xml:space="preserve">Заключительный отчет </w:t>
    </w:r>
    <w:r w:rsidRPr="009A78C9">
      <w:rPr>
        <w:b/>
        <w:bCs/>
        <w:lang w:val="ru-RU"/>
      </w:rPr>
      <w:t>Внешнего аудитора по финансовой отчетности МСЭ за 2022 год</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5C5D" w14:textId="778CDADC" w:rsidR="009A78C9" w:rsidRPr="009A78C9" w:rsidRDefault="009A78C9" w:rsidP="00EC50A1">
    <w:pPr>
      <w:pStyle w:val="Header"/>
      <w:jc w:val="right"/>
      <w:rPr>
        <w:lang w:val="ru-RU"/>
      </w:rPr>
    </w:pPr>
    <w:r>
      <w:rPr>
        <w:lang w:val="ru-RU"/>
      </w:rPr>
      <w:t xml:space="preserve">Заключительный отчет </w:t>
    </w:r>
    <w:r w:rsidRPr="009A78C9">
      <w:rPr>
        <w:b/>
        <w:bCs/>
        <w:lang w:val="ru-RU"/>
      </w:rPr>
      <w:t>Внешнего аудитора по финансовой отчетности МСЭ за 2022 год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34693786">
    <w:abstractNumId w:val="0"/>
  </w:num>
  <w:num w:numId="2" w16cid:durableId="1815222890">
    <w:abstractNumId w:val="2"/>
  </w:num>
  <w:num w:numId="3" w16cid:durableId="965621903">
    <w:abstractNumId w:val="3"/>
  </w:num>
  <w:num w:numId="4" w16cid:durableId="212927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B3DBD"/>
    <w:rsid w:val="000E568E"/>
    <w:rsid w:val="0014734F"/>
    <w:rsid w:val="00150ADD"/>
    <w:rsid w:val="0015710D"/>
    <w:rsid w:val="00163A32"/>
    <w:rsid w:val="00165D06"/>
    <w:rsid w:val="00192B41"/>
    <w:rsid w:val="001B7B09"/>
    <w:rsid w:val="001E6719"/>
    <w:rsid w:val="001E7F50"/>
    <w:rsid w:val="00225368"/>
    <w:rsid w:val="00227FF0"/>
    <w:rsid w:val="00291EB6"/>
    <w:rsid w:val="002D2F57"/>
    <w:rsid w:val="002D48C5"/>
    <w:rsid w:val="00300852"/>
    <w:rsid w:val="0033025A"/>
    <w:rsid w:val="0036686D"/>
    <w:rsid w:val="003F099E"/>
    <w:rsid w:val="003F235E"/>
    <w:rsid w:val="004023E0"/>
    <w:rsid w:val="00403DD8"/>
    <w:rsid w:val="0041297C"/>
    <w:rsid w:val="00424E76"/>
    <w:rsid w:val="00442515"/>
    <w:rsid w:val="0045686C"/>
    <w:rsid w:val="004918C4"/>
    <w:rsid w:val="00497703"/>
    <w:rsid w:val="004A0374"/>
    <w:rsid w:val="004A45B5"/>
    <w:rsid w:val="004D0129"/>
    <w:rsid w:val="005A64D5"/>
    <w:rsid w:val="005B3DEC"/>
    <w:rsid w:val="005C0776"/>
    <w:rsid w:val="00601994"/>
    <w:rsid w:val="00660449"/>
    <w:rsid w:val="00672F8A"/>
    <w:rsid w:val="006E2D42"/>
    <w:rsid w:val="00703676"/>
    <w:rsid w:val="00707304"/>
    <w:rsid w:val="00732269"/>
    <w:rsid w:val="00762555"/>
    <w:rsid w:val="00785ABD"/>
    <w:rsid w:val="00796BD3"/>
    <w:rsid w:val="007A2DD4"/>
    <w:rsid w:val="007D38B5"/>
    <w:rsid w:val="007E7EA0"/>
    <w:rsid w:val="00807255"/>
    <w:rsid w:val="0081023E"/>
    <w:rsid w:val="00810D30"/>
    <w:rsid w:val="008173AA"/>
    <w:rsid w:val="00840A14"/>
    <w:rsid w:val="008B62B4"/>
    <w:rsid w:val="008D2D7B"/>
    <w:rsid w:val="008E0737"/>
    <w:rsid w:val="008F7C2C"/>
    <w:rsid w:val="00940E96"/>
    <w:rsid w:val="009657C5"/>
    <w:rsid w:val="009A78C9"/>
    <w:rsid w:val="009B0BAE"/>
    <w:rsid w:val="009C1C89"/>
    <w:rsid w:val="009F3448"/>
    <w:rsid w:val="00A01CF9"/>
    <w:rsid w:val="00A71773"/>
    <w:rsid w:val="00AE2293"/>
    <w:rsid w:val="00AE2C85"/>
    <w:rsid w:val="00B12A37"/>
    <w:rsid w:val="00B41837"/>
    <w:rsid w:val="00B63EF2"/>
    <w:rsid w:val="00BA7D89"/>
    <w:rsid w:val="00BC0D39"/>
    <w:rsid w:val="00BC7BC0"/>
    <w:rsid w:val="00BD57B7"/>
    <w:rsid w:val="00BE63E2"/>
    <w:rsid w:val="00C34F8E"/>
    <w:rsid w:val="00C62315"/>
    <w:rsid w:val="00CD2009"/>
    <w:rsid w:val="00CF4694"/>
    <w:rsid w:val="00CF629C"/>
    <w:rsid w:val="00D42F17"/>
    <w:rsid w:val="00D92EEA"/>
    <w:rsid w:val="00DA5D4E"/>
    <w:rsid w:val="00E176BA"/>
    <w:rsid w:val="00E423EC"/>
    <w:rsid w:val="00E55121"/>
    <w:rsid w:val="00EB4FCB"/>
    <w:rsid w:val="00EC50A1"/>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4166"/>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D3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10"/>
    <w:qFormat/>
    <w:rsid w:val="00227FF0"/>
    <w:pPr>
      <w:keepNext/>
      <w:keepLines/>
      <w:spacing w:before="480"/>
      <w:ind w:left="794" w:hanging="794"/>
      <w:outlineLvl w:val="0"/>
    </w:pPr>
    <w:rPr>
      <w:b/>
      <w:sz w:val="26"/>
    </w:rPr>
  </w:style>
  <w:style w:type="paragraph" w:styleId="Heading2">
    <w:name w:val="heading 2"/>
    <w:basedOn w:val="Heading1"/>
    <w:next w:val="Normal"/>
    <w:link w:val="Heading2Char"/>
    <w:uiPriority w:val="11"/>
    <w:qFormat/>
    <w:rsid w:val="00300852"/>
    <w:pPr>
      <w:spacing w:before="320"/>
      <w:outlineLvl w:val="1"/>
    </w:pPr>
    <w:rPr>
      <w:b w:val="0"/>
    </w:rPr>
  </w:style>
  <w:style w:type="paragraph" w:styleId="Heading3">
    <w:name w:val="heading 3"/>
    <w:basedOn w:val="Heading1"/>
    <w:next w:val="Normal"/>
    <w:uiPriority w:val="12"/>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810D30"/>
    <w:pPr>
      <w:tabs>
        <w:tab w:val="clear" w:pos="794"/>
        <w:tab w:val="clear" w:pos="1191"/>
        <w:tab w:val="clear" w:pos="1588"/>
        <w:tab w:val="clear" w:pos="1985"/>
      </w:tabs>
      <w:outlineLvl w:val="3"/>
    </w:pPr>
    <w:rPr>
      <w:b w:val="0"/>
      <w:u w:val="single"/>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R"/>
    <w:basedOn w:val="DefaultParagraphFont"/>
    <w:rsid w:val="00227FF0"/>
    <w:rPr>
      <w:position w:val="6"/>
      <w:sz w:val="16"/>
    </w:rPr>
  </w:style>
  <w:style w:type="paragraph" w:styleId="FootnoteText">
    <w:name w:val="footnote text"/>
    <w:basedOn w:val="Normal"/>
    <w:qFormat/>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9A78C9"/>
    <w:pPr>
      <w:spacing w:before="240" w:after="24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zzDocType">
    <w:name w:val="zzDocType"/>
    <w:basedOn w:val="Normal"/>
    <w:rsid w:val="00D42F17"/>
    <w:pPr>
      <w:tabs>
        <w:tab w:val="clear" w:pos="794"/>
        <w:tab w:val="clear" w:pos="1191"/>
        <w:tab w:val="clear" w:pos="1588"/>
        <w:tab w:val="clear" w:pos="1985"/>
      </w:tabs>
      <w:overflowPunct/>
      <w:autoSpaceDE/>
      <w:autoSpaceDN/>
      <w:adjustRightInd/>
      <w:spacing w:after="120" w:line="240" w:lineRule="exact"/>
      <w:textAlignment w:val="auto"/>
    </w:pPr>
    <w:rPr>
      <w:rFonts w:ascii="Arial" w:hAnsi="Arial"/>
      <w:b/>
      <w:sz w:val="20"/>
      <w:szCs w:val="24"/>
      <w:lang w:eastAsia="en-GB"/>
    </w:rPr>
  </w:style>
  <w:style w:type="paragraph" w:customStyle="1" w:styleId="zzReporttitle">
    <w:name w:val="zz Report title"/>
    <w:basedOn w:val="Normal"/>
    <w:rsid w:val="00D42F17"/>
    <w:pPr>
      <w:keepNext/>
      <w:widowControl w:val="0"/>
      <w:tabs>
        <w:tab w:val="clear" w:pos="794"/>
        <w:tab w:val="clear" w:pos="1191"/>
        <w:tab w:val="clear" w:pos="1588"/>
        <w:tab w:val="clear" w:pos="1985"/>
      </w:tabs>
      <w:overflowPunct/>
      <w:autoSpaceDE/>
      <w:autoSpaceDN/>
      <w:spacing w:before="200" w:after="200" w:line="560" w:lineRule="exact"/>
    </w:pPr>
    <w:rPr>
      <w:rFonts w:ascii="Arial" w:hAnsi="Arial" w:cs="HelveticaNeue-Light"/>
      <w:color w:val="000000"/>
      <w:spacing w:val="-6"/>
      <w:sz w:val="48"/>
      <w:szCs w:val="56"/>
      <w:lang w:eastAsia="en-GB"/>
    </w:rPr>
  </w:style>
  <w:style w:type="paragraph" w:customStyle="1" w:styleId="zzDepartmentname">
    <w:name w:val="zz Department name"/>
    <w:rsid w:val="00D42F17"/>
    <w:pPr>
      <w:pBdr>
        <w:top w:val="single" w:sz="4" w:space="1" w:color="auto"/>
      </w:pBdr>
      <w:spacing w:before="4000" w:after="120" w:line="276" w:lineRule="auto"/>
    </w:pPr>
    <w:rPr>
      <w:rFonts w:ascii="Arial" w:hAnsi="Arial" w:cs="Arial"/>
      <w:b/>
      <w:position w:val="-36"/>
      <w:sz w:val="28"/>
      <w:szCs w:val="28"/>
      <w:lang w:val="en-GB" w:eastAsia="en-GB"/>
    </w:rPr>
  </w:style>
  <w:style w:type="paragraph" w:customStyle="1" w:styleId="HeaderzzContents">
    <w:name w:val="Header zz Contents"/>
    <w:rsid w:val="00EC50A1"/>
    <w:pPr>
      <w:widowControl w:val="0"/>
      <w:adjustRightInd w:val="0"/>
      <w:spacing w:after="480" w:line="360" w:lineRule="atLeast"/>
      <w:jc w:val="both"/>
      <w:textAlignment w:val="baseline"/>
    </w:pPr>
    <w:rPr>
      <w:rFonts w:ascii="Arial" w:hAnsi="Arial" w:cs="HelveticaNeue-Light"/>
      <w:color w:val="000000"/>
      <w:spacing w:val="-6"/>
      <w:sz w:val="48"/>
      <w:szCs w:val="56"/>
      <w:lang w:val="en-GB" w:eastAsia="en-US"/>
    </w:rPr>
  </w:style>
  <w:style w:type="paragraph" w:customStyle="1" w:styleId="Bullet">
    <w:name w:val="Bullet"/>
    <w:uiPriority w:val="5"/>
    <w:qFormat/>
    <w:rsid w:val="00EC50A1"/>
    <w:pPr>
      <w:widowControl w:val="0"/>
      <w:numPr>
        <w:numId w:val="4"/>
      </w:numPr>
      <w:adjustRightInd w:val="0"/>
      <w:spacing w:after="170" w:line="280" w:lineRule="exact"/>
      <w:textAlignment w:val="baseline"/>
    </w:pPr>
    <w:rPr>
      <w:rFonts w:ascii="Arial" w:hAnsi="Arial" w:cs="Arial"/>
      <w:color w:val="000000"/>
      <w:lang w:val="en-GB" w:eastAsia="en-US"/>
    </w:rPr>
  </w:style>
  <w:style w:type="character" w:customStyle="1" w:styleId="Italic">
    <w:name w:val="Italic"/>
    <w:rsid w:val="00EC50A1"/>
    <w:rPr>
      <w:i/>
      <w:iCs/>
    </w:rPr>
  </w:style>
  <w:style w:type="character" w:customStyle="1" w:styleId="Bold">
    <w:name w:val="Bold"/>
    <w:uiPriority w:val="3"/>
    <w:qFormat/>
    <w:rsid w:val="00EC50A1"/>
    <w:rPr>
      <w:b/>
      <w:bCs/>
    </w:rPr>
  </w:style>
  <w:style w:type="paragraph" w:customStyle="1" w:styleId="MainTextNumbered">
    <w:name w:val="MainText Numbered"/>
    <w:basedOn w:val="Number1"/>
    <w:qFormat/>
    <w:rsid w:val="00EC50A1"/>
    <w:pPr>
      <w:numPr>
        <w:numId w:val="2"/>
      </w:numPr>
      <w:tabs>
        <w:tab w:val="clear" w:pos="0"/>
        <w:tab w:val="num" w:pos="360"/>
      </w:tabs>
    </w:pPr>
    <w:rPr>
      <w:rFonts w:cs="Verdana"/>
    </w:rPr>
  </w:style>
  <w:style w:type="paragraph" w:customStyle="1" w:styleId="Number1">
    <w:name w:val="Number 1"/>
    <w:link w:val="Number1Char"/>
    <w:uiPriority w:val="2"/>
    <w:qFormat/>
    <w:rsid w:val="00EC50A1"/>
    <w:pPr>
      <w:numPr>
        <w:numId w:val="3"/>
      </w:numPr>
      <w:tabs>
        <w:tab w:val="left" w:pos="454"/>
      </w:tabs>
      <w:adjustRightInd w:val="0"/>
      <w:spacing w:before="120" w:after="170" w:line="280" w:lineRule="exact"/>
      <w:textAlignment w:val="baseline"/>
    </w:pPr>
    <w:rPr>
      <w:rFonts w:ascii="Arial" w:hAnsi="Arial" w:cs="Arial"/>
      <w:color w:val="000000"/>
      <w:szCs w:val="24"/>
      <w:lang w:val="en-GB" w:eastAsia="en-US"/>
    </w:rPr>
  </w:style>
  <w:style w:type="paragraph" w:styleId="Caption">
    <w:name w:val="caption"/>
    <w:basedOn w:val="Normal"/>
    <w:next w:val="Normal"/>
    <w:uiPriority w:val="35"/>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b/>
      <w:bCs/>
      <w:sz w:val="20"/>
    </w:rPr>
  </w:style>
  <w:style w:type="character" w:customStyle="1" w:styleId="Number1Char">
    <w:name w:val="Number 1 Char"/>
    <w:link w:val="Number1"/>
    <w:uiPriority w:val="2"/>
    <w:rsid w:val="00EC50A1"/>
    <w:rPr>
      <w:rFonts w:ascii="Arial" w:hAnsi="Arial" w:cs="Arial"/>
      <w:color w:val="000000"/>
      <w:szCs w:val="24"/>
      <w:lang w:val="en-GB" w:eastAsia="en-US"/>
    </w:rPr>
  </w:style>
  <w:style w:type="paragraph" w:customStyle="1" w:styleId="FigureSource">
    <w:name w:val="Figure Source"/>
    <w:uiPriority w:val="21"/>
    <w:qFormat/>
    <w:rsid w:val="00EC50A1"/>
    <w:pPr>
      <w:spacing w:before="60" w:after="40" w:line="180" w:lineRule="exact"/>
    </w:pPr>
    <w:rPr>
      <w:rFonts w:ascii="Arial" w:hAnsi="Arial"/>
      <w:sz w:val="14"/>
      <w:szCs w:val="16"/>
      <w:lang w:val="en-GB" w:eastAsia="en-GB"/>
    </w:rPr>
  </w:style>
  <w:style w:type="paragraph" w:customStyle="1" w:styleId="Figuretext">
    <w:name w:val="Figure text"/>
    <w:basedOn w:val="Normal"/>
    <w:link w:val="FiguretextChar"/>
    <w:uiPriority w:val="20"/>
    <w:qFormat/>
    <w:rsid w:val="00EC50A1"/>
    <w:pPr>
      <w:tabs>
        <w:tab w:val="clear" w:pos="794"/>
        <w:tab w:val="clear" w:pos="1191"/>
        <w:tab w:val="clear" w:pos="1588"/>
        <w:tab w:val="clear" w:pos="1985"/>
      </w:tabs>
      <w:overflowPunct/>
      <w:autoSpaceDE/>
      <w:autoSpaceDN/>
      <w:adjustRightInd/>
      <w:spacing w:before="40" w:after="40" w:line="220" w:lineRule="exact"/>
      <w:textAlignment w:val="auto"/>
    </w:pPr>
    <w:rPr>
      <w:rFonts w:ascii="Arial" w:hAnsi="Arial"/>
      <w:color w:val="000000"/>
      <w:sz w:val="16"/>
      <w:szCs w:val="16"/>
      <w:lang w:eastAsia="en-GB"/>
    </w:rPr>
  </w:style>
  <w:style w:type="character" w:customStyle="1" w:styleId="Heading2Char">
    <w:name w:val="Heading 2 Char"/>
    <w:link w:val="Heading2"/>
    <w:uiPriority w:val="11"/>
    <w:rsid w:val="00300852"/>
    <w:rPr>
      <w:rFonts w:ascii="Calibri" w:hAnsi="Calibri"/>
      <w:sz w:val="26"/>
      <w:lang w:val="en-GB" w:eastAsia="en-US"/>
    </w:rPr>
  </w:style>
  <w:style w:type="paragraph" w:customStyle="1" w:styleId="ColumnHeading">
    <w:name w:val="Column Heading"/>
    <w:basedOn w:val="Normal"/>
    <w:uiPriority w:val="19"/>
    <w:qFormat/>
    <w:rsid w:val="00EC50A1"/>
    <w:pPr>
      <w:tabs>
        <w:tab w:val="clear" w:pos="794"/>
        <w:tab w:val="clear" w:pos="1191"/>
        <w:tab w:val="clear" w:pos="1588"/>
        <w:tab w:val="clear" w:pos="1985"/>
      </w:tabs>
      <w:overflowPunct/>
      <w:autoSpaceDE/>
      <w:autoSpaceDN/>
      <w:adjustRightInd/>
      <w:spacing w:after="120" w:line="220" w:lineRule="exact"/>
      <w:textAlignment w:val="auto"/>
    </w:pPr>
    <w:rPr>
      <w:rFonts w:ascii="Arial" w:hAnsi="Arial"/>
      <w:b/>
      <w:color w:val="000000"/>
      <w:sz w:val="16"/>
      <w:szCs w:val="16"/>
      <w:lang w:eastAsia="en-GB"/>
    </w:rPr>
  </w:style>
  <w:style w:type="character" w:customStyle="1" w:styleId="Heading1Char">
    <w:name w:val="Heading 1 Char"/>
    <w:link w:val="Heading1"/>
    <w:uiPriority w:val="10"/>
    <w:rsid w:val="00EC50A1"/>
    <w:rPr>
      <w:rFonts w:ascii="Calibri" w:hAnsi="Calibri"/>
      <w:b/>
      <w:sz w:val="26"/>
      <w:lang w:val="en-GB" w:eastAsia="en-US"/>
    </w:rPr>
  </w:style>
  <w:style w:type="character" w:customStyle="1" w:styleId="FiguretextChar">
    <w:name w:val="Figure text Char"/>
    <w:link w:val="Figuretext"/>
    <w:uiPriority w:val="20"/>
    <w:rsid w:val="00EC50A1"/>
    <w:rPr>
      <w:rFonts w:ascii="Arial" w:hAnsi="Arial"/>
      <w:color w:val="000000"/>
      <w:sz w:val="16"/>
      <w:szCs w:val="16"/>
      <w:lang w:val="en-GB" w:eastAsia="en-GB"/>
    </w:rPr>
  </w:style>
  <w:style w:type="paragraph" w:styleId="BodyText">
    <w:name w:val="Body Text"/>
    <w:basedOn w:val="Normal"/>
    <w:link w:val="BodyTextChar"/>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BodyTextChar">
    <w:name w:val="Body Text Char"/>
    <w:basedOn w:val="DefaultParagraphFont"/>
    <w:link w:val="BodyText"/>
    <w:rsid w:val="00EC50A1"/>
    <w:rPr>
      <w:rFonts w:ascii="Arial" w:hAnsi="Arial" w:cs="Arial"/>
      <w:szCs w:val="24"/>
      <w:lang w:val="en-GB" w:eastAsia="en-US"/>
    </w:rPr>
  </w:style>
  <w:style w:type="paragraph" w:customStyle="1" w:styleId="KeyFactsStatisticSmall">
    <w:name w:val="Key Facts Statistic Small"/>
    <w:basedOn w:val="BodyText"/>
    <w:qFormat/>
    <w:rsid w:val="00EC50A1"/>
    <w:pPr>
      <w:spacing w:before="60" w:after="60" w:line="280" w:lineRule="exact"/>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ties/Documents/Financial-regulations/S-GEN-REG_RGTFIN-2018-PDF-R.pdf"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5384-9322-48CA-821A-57A0D3F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2</TotalTime>
  <Pages>18</Pages>
  <Words>5577</Words>
  <Characters>38544</Characters>
  <Application>Microsoft Office Word</Application>
  <DocSecurity>0</DocSecurity>
  <Lines>321</Lines>
  <Paragraphs>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44033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Antipina, Nadezda</dc:creator>
  <cp:keywords>C2024, C24, Council-24</cp:keywords>
  <dc:description/>
  <cp:lastModifiedBy>Brouard, Ricarda</cp:lastModifiedBy>
  <cp:revision>3</cp:revision>
  <cp:lastPrinted>2006-03-28T16:12:00Z</cp:lastPrinted>
  <dcterms:created xsi:type="dcterms:W3CDTF">2024-05-24T10:08:00Z</dcterms:created>
  <dcterms:modified xsi:type="dcterms:W3CDTF">2024-05-24T10:08:00Z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